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地方财政科学技术支出调查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相关工作说明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为更好地推动地方财政科学技术支出调查工作的开展，现将开、关网时间安排及相关工作做如下说明：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color w:val="FF000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一、各管理层级开、关网时间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系统开网时间：</w:t>
      </w:r>
      <w:r>
        <w:rPr>
          <w:rFonts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2018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6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11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9: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区县级截止上报及验收时间：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2018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月13日</w:t>
      </w:r>
      <w:r>
        <w:rPr>
          <w:rFonts w:ascii="Times New Roman" w:hAnsi="Times New Roman" w:eastAsia="仿宋_GB2312"/>
          <w:b/>
          <w:color w:val="000000"/>
          <w:sz w:val="32"/>
          <w:szCs w:val="32"/>
        </w:rPr>
        <w:t>23:59</w:t>
      </w:r>
      <w:r>
        <w:rPr>
          <w:rFonts w:hint="eastAsia" w:ascii="Times New Roman" w:hAnsi="Times New Roman" w:eastAsia="仿宋_GB2312"/>
          <w:b/>
          <w:color w:val="000000"/>
          <w:sz w:val="32"/>
          <w:szCs w:val="32"/>
        </w:rPr>
        <w:t>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超过截止上报时间，将无法进行任何操作。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pacing w:val="-1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二、用户名和密码设置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【帐号】,【帐号名称】,【密码】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445202DC,榕城区,jy666!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445203DC,揭东区,jy666!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445222DC,揭西县,jy666!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445224DC,惠来县,jy666!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445250DC,空港经济区,jy666!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445251DC,产业转移工业园,jy666!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445252DC,普宁华侨管理区,jy666!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445253DC,大南山华侨管理区,jy666!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445281DC,普宁市,jy666!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密码为统一密码，请各填报员登录后自行修改密码。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三、、各级科技管理部门均填报全区和本级两张报表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随着各级转移支付的普遍出现，仅填报一张报表不能完全展示财政科技支出全貌。同时，为便于全区、本级和下级数据汇总、审核和校验，各级政府需填报全省（市、区）和本级两张报表。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报表填报过程中请注意：</w:t>
      </w:r>
    </w:p>
    <w:p>
      <w:pPr>
        <w:pStyle w:val="12"/>
        <w:numPr>
          <w:ilvl w:val="0"/>
          <w:numId w:val="1"/>
        </w:numPr>
        <w:spacing w:line="560" w:lineRule="exact"/>
        <w:ind w:left="0" w:firstLine="643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新增“表</w:t>
      </w:r>
      <w:r>
        <w:rPr>
          <w:rFonts w:ascii="Times New Roman" w:hAnsi="Times New Roman" w:eastAsia="仿宋_GB2312"/>
          <w:b/>
          <w:sz w:val="32"/>
          <w:szCs w:val="32"/>
        </w:rPr>
        <w:t xml:space="preserve">2  </w:t>
      </w:r>
      <w:r>
        <w:rPr>
          <w:rFonts w:hint="eastAsia" w:ascii="Times New Roman" w:hAnsi="Times New Roman" w:eastAsia="仿宋_GB2312"/>
          <w:b/>
          <w:sz w:val="32"/>
          <w:szCs w:val="32"/>
        </w:rPr>
        <w:t>地方财政其他功能支出中用于科学技术的支出情况”（</w:t>
      </w:r>
      <w:r>
        <w:rPr>
          <w:rFonts w:ascii="Times New Roman" w:hAnsi="Times New Roman" w:eastAsia="仿宋_GB2312"/>
          <w:b/>
          <w:sz w:val="32"/>
          <w:szCs w:val="32"/>
        </w:rPr>
        <w:t>DC-2</w:t>
      </w:r>
      <w:r>
        <w:rPr>
          <w:rFonts w:hint="eastAsia" w:ascii="Times New Roman" w:hAnsi="Times New Roman" w:eastAsia="仿宋_GB2312"/>
          <w:b/>
          <w:sz w:val="32"/>
          <w:szCs w:val="32"/>
        </w:rPr>
        <w:t>）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该表考察非</w:t>
      </w:r>
      <w:r>
        <w:rPr>
          <w:rFonts w:ascii="Times New Roman" w:hAnsi="Times New Roman" w:eastAsia="仿宋_GB2312"/>
          <w:sz w:val="32"/>
          <w:szCs w:val="32"/>
        </w:rPr>
        <w:t>206</w:t>
      </w:r>
      <w:r>
        <w:rPr>
          <w:rFonts w:hint="eastAsia" w:ascii="Times New Roman" w:hAnsi="Times New Roman" w:eastAsia="仿宋_GB2312"/>
          <w:sz w:val="32"/>
          <w:szCs w:val="32"/>
        </w:rPr>
        <w:t>科目财政支出中用于科学技术支出的情况。</w:t>
      </w:r>
      <w:bookmarkStart w:id="0" w:name="_Hlk485042662"/>
      <w:r>
        <w:rPr>
          <w:rFonts w:hint="eastAsia" w:ascii="Times New Roman" w:hAnsi="Times New Roman" w:eastAsia="仿宋_GB2312"/>
          <w:sz w:val="32"/>
          <w:szCs w:val="32"/>
        </w:rPr>
        <w:t>表中列举了非</w:t>
      </w:r>
      <w:r>
        <w:rPr>
          <w:rFonts w:ascii="Times New Roman" w:hAnsi="Times New Roman" w:eastAsia="仿宋_GB2312"/>
          <w:sz w:val="32"/>
          <w:szCs w:val="32"/>
        </w:rPr>
        <w:t>206</w:t>
      </w:r>
      <w:r>
        <w:rPr>
          <w:rFonts w:hint="eastAsia" w:ascii="Times New Roman" w:hAnsi="Times New Roman" w:eastAsia="仿宋_GB2312"/>
          <w:sz w:val="32"/>
          <w:szCs w:val="32"/>
        </w:rPr>
        <w:t>科目中可能有科学技术支出的情况，不一定都用于科学技术支出，也不一定完整。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如有需要，可根据实际情况补充。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若</w:t>
      </w:r>
      <w:r>
        <w:rPr>
          <w:rFonts w:ascii="Times New Roman" w:hAnsi="Times New Roman" w:eastAsia="仿宋_GB2312"/>
          <w:sz w:val="32"/>
          <w:szCs w:val="32"/>
        </w:rPr>
        <w:t>DC-2</w:t>
      </w:r>
      <w:r>
        <w:rPr>
          <w:rFonts w:hint="eastAsia" w:ascii="Times New Roman" w:hAnsi="Times New Roman" w:eastAsia="仿宋_GB2312"/>
          <w:sz w:val="32"/>
          <w:szCs w:val="32"/>
        </w:rPr>
        <w:t>表所有指标填报均为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，系统会出现核实性提示，请填报单位选择为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的原因，三个解释原因只能选择一个。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若经核实地方财政其他功能支出中用于科学技术支出确实为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，在原因解释处填写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若因财政决算无法按照表中类款项细分，数据无法提取，故填报为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，在原因解释处填写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若是其他原因，在原因解释处填写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，并写明具体原因。</w:t>
      </w:r>
    </w:p>
    <w:p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加强全省、省级和地区之间的数据核查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随着各级财政转移支付情况的普遍存在，多数省市上报数据存在全省不等于省级和地区合计的情况。如果出现这种情况，请结合各地自身实际情况，加以解释说明。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、报表数据和上传证明文件导出</w:t>
      </w:r>
    </w:p>
    <w:p>
      <w:pPr>
        <w:spacing w:line="560" w:lineRule="exact"/>
        <w:ind w:firstLine="645"/>
        <w:rPr>
          <w:rFonts w:ascii="Times New Roman" w:hAnsi="Times New Roman" w:eastAsia="仿宋_GB2312"/>
          <w:spacing w:val="-30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b/>
          <w:sz w:val="32"/>
          <w:szCs w:val="32"/>
        </w:rPr>
        <w:t>业</w:t>
      </w:r>
      <w:r>
        <w:rPr>
          <w:rFonts w:hint="eastAsia" w:ascii="Times New Roman" w:hAnsi="Times New Roman" w:eastAsia="仿宋_GB2312"/>
          <w:b/>
          <w:spacing w:val="-30"/>
          <w:sz w:val="32"/>
          <w:szCs w:val="32"/>
        </w:rPr>
        <w:t>务管理</w:t>
      </w:r>
      <w:r>
        <w:rPr>
          <w:rFonts w:ascii="Times New Roman" w:hAnsi="Times New Roman" w:eastAsia="仿宋_GB2312"/>
          <w:b/>
          <w:spacing w:val="-30"/>
          <w:sz w:val="32"/>
          <w:szCs w:val="32"/>
        </w:rPr>
        <w:t>-</w:t>
      </w:r>
      <w:r>
        <w:rPr>
          <w:rFonts w:hint="eastAsia" w:ascii="Times New Roman" w:hAnsi="Times New Roman" w:eastAsia="仿宋_GB2312"/>
          <w:b/>
          <w:spacing w:val="-30"/>
          <w:sz w:val="32"/>
          <w:szCs w:val="32"/>
        </w:rPr>
        <w:t>数据查询功能</w:t>
      </w:r>
    </w:p>
    <w:p>
      <w:pPr>
        <w:spacing w:line="56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01</w:t>
      </w:r>
      <w:r>
        <w:rPr>
          <w:rFonts w:hint="eastAsia" w:ascii="Times New Roman" w:hAnsi="Times New Roman" w:eastAsia="仿宋_GB2312"/>
          <w:sz w:val="32"/>
          <w:szCs w:val="32"/>
        </w:rPr>
        <w:t>模板可导出全部报表指标数据；</w:t>
      </w:r>
    </w:p>
    <w:p>
      <w:pPr>
        <w:spacing w:line="56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02</w:t>
      </w:r>
      <w:r>
        <w:rPr>
          <w:rFonts w:hint="eastAsia" w:ascii="Times New Roman" w:hAnsi="Times New Roman" w:eastAsia="仿宋_GB2312"/>
          <w:sz w:val="32"/>
          <w:szCs w:val="32"/>
        </w:rPr>
        <w:t>模板可导出</w:t>
      </w:r>
      <w:r>
        <w:rPr>
          <w:rFonts w:ascii="Times New Roman" w:hAnsi="Times New Roman" w:eastAsia="仿宋_GB2312"/>
          <w:sz w:val="32"/>
          <w:szCs w:val="32"/>
        </w:rPr>
        <w:t>DC-2</w:t>
      </w:r>
      <w:r>
        <w:rPr>
          <w:rFonts w:hint="eastAsia" w:ascii="Times New Roman" w:hAnsi="Times New Roman" w:eastAsia="仿宋_GB2312"/>
          <w:sz w:val="32"/>
          <w:szCs w:val="32"/>
        </w:rPr>
        <w:t>表中补充类款项条目单位填报数据；</w:t>
      </w:r>
    </w:p>
    <w:p>
      <w:pPr>
        <w:spacing w:line="560" w:lineRule="exact"/>
        <w:ind w:left="643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b/>
          <w:sz w:val="32"/>
          <w:szCs w:val="32"/>
        </w:rPr>
        <w:t>业务管理</w:t>
      </w:r>
      <w:r>
        <w:rPr>
          <w:rFonts w:ascii="Times New Roman" w:hAnsi="Times New Roman" w:eastAsia="仿宋_GB2312"/>
          <w:b/>
          <w:sz w:val="32"/>
          <w:szCs w:val="32"/>
        </w:rPr>
        <w:t>-</w:t>
      </w:r>
      <w:r>
        <w:rPr>
          <w:rFonts w:hint="eastAsia" w:ascii="Times New Roman" w:hAnsi="Times New Roman" w:eastAsia="仿宋_GB2312"/>
          <w:b/>
          <w:sz w:val="32"/>
          <w:szCs w:val="32"/>
        </w:rPr>
        <w:t>数据审核</w:t>
      </w:r>
      <w:r>
        <w:rPr>
          <w:rFonts w:ascii="Times New Roman" w:hAnsi="Times New Roman" w:eastAsia="仿宋_GB2312"/>
          <w:b/>
          <w:sz w:val="32"/>
          <w:szCs w:val="32"/>
        </w:rPr>
        <w:t>/</w:t>
      </w:r>
      <w:r>
        <w:rPr>
          <w:rFonts w:hint="eastAsia" w:ascii="Times New Roman" w:hAnsi="Times New Roman" w:eastAsia="仿宋_GB2312"/>
          <w:b/>
          <w:sz w:val="32"/>
          <w:szCs w:val="32"/>
        </w:rPr>
        <w:t>检查</w:t>
      </w:r>
      <w:r>
        <w:rPr>
          <w:rFonts w:ascii="Times New Roman" w:hAnsi="Times New Roman" w:eastAsia="仿宋_GB2312"/>
          <w:b/>
          <w:sz w:val="32"/>
          <w:szCs w:val="32"/>
        </w:rPr>
        <w:t>-</w:t>
      </w:r>
      <w:r>
        <w:rPr>
          <w:rFonts w:hint="eastAsia" w:ascii="Times New Roman" w:hAnsi="Times New Roman" w:eastAsia="仿宋_GB2312"/>
          <w:b/>
          <w:sz w:val="32"/>
          <w:szCs w:val="32"/>
        </w:rPr>
        <w:t>数据审核</w:t>
      </w:r>
      <w:r>
        <w:rPr>
          <w:rFonts w:ascii="Times New Roman" w:hAnsi="Times New Roman" w:eastAsia="仿宋_GB2312"/>
          <w:b/>
          <w:sz w:val="32"/>
          <w:szCs w:val="32"/>
        </w:rPr>
        <w:t>/</w:t>
      </w:r>
      <w:r>
        <w:rPr>
          <w:rFonts w:hint="eastAsia" w:ascii="Times New Roman" w:hAnsi="Times New Roman" w:eastAsia="仿宋_GB2312"/>
          <w:b/>
          <w:sz w:val="32"/>
          <w:szCs w:val="32"/>
        </w:rPr>
        <w:t>检查功能</w:t>
      </w:r>
    </w:p>
    <w:p>
      <w:pPr>
        <w:spacing w:line="56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可导出全部需进行系统错误、核实性审核和人工核实性审核的清单。</w:t>
      </w:r>
    </w:p>
    <w:p>
      <w:pPr>
        <w:spacing w:line="560" w:lineRule="exact"/>
        <w:ind w:left="643"/>
        <w:rPr>
          <w:rFonts w:ascii="Times New Roman" w:hAnsi="Times New Roman" w:eastAsia="仿宋_GB2312"/>
          <w:b/>
          <w:spacing w:val="-20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b/>
          <w:sz w:val="32"/>
          <w:szCs w:val="32"/>
        </w:rPr>
        <w:t>业务管</w:t>
      </w:r>
      <w:r>
        <w:rPr>
          <w:rFonts w:hint="eastAsia" w:ascii="Times New Roman" w:hAnsi="Times New Roman" w:eastAsia="仿宋_GB2312"/>
          <w:b/>
          <w:spacing w:val="-20"/>
          <w:sz w:val="32"/>
          <w:szCs w:val="32"/>
        </w:rPr>
        <w:t>理</w:t>
      </w:r>
      <w:r>
        <w:rPr>
          <w:rFonts w:ascii="Times New Roman" w:hAnsi="Times New Roman" w:eastAsia="仿宋_GB2312"/>
          <w:b/>
          <w:spacing w:val="-20"/>
          <w:sz w:val="32"/>
          <w:szCs w:val="32"/>
        </w:rPr>
        <w:t>-</w:t>
      </w:r>
      <w:r>
        <w:rPr>
          <w:rFonts w:hint="eastAsia" w:ascii="Times New Roman" w:hAnsi="Times New Roman" w:eastAsia="仿宋_GB2312"/>
          <w:b/>
          <w:spacing w:val="-20"/>
          <w:sz w:val="32"/>
          <w:szCs w:val="32"/>
        </w:rPr>
        <w:t>导入导出功能</w:t>
      </w:r>
    </w:p>
    <w:p>
      <w:pPr>
        <w:spacing w:line="56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DC-1</w:t>
      </w:r>
      <w:r>
        <w:rPr>
          <w:rFonts w:hint="eastAsia" w:ascii="Times New Roman" w:hAnsi="Times New Roman" w:eastAsia="仿宋_GB2312"/>
          <w:sz w:val="32"/>
          <w:szCs w:val="32"/>
        </w:rPr>
        <w:t>模板可导出</w:t>
      </w:r>
      <w:r>
        <w:rPr>
          <w:rFonts w:ascii="Times New Roman" w:hAnsi="Times New Roman" w:eastAsia="仿宋_GB2312"/>
          <w:sz w:val="32"/>
          <w:szCs w:val="32"/>
        </w:rPr>
        <w:t>DC-1</w:t>
      </w:r>
      <w:r>
        <w:rPr>
          <w:rFonts w:hint="eastAsia" w:ascii="Times New Roman" w:hAnsi="Times New Roman" w:eastAsia="仿宋_GB2312"/>
          <w:sz w:val="32"/>
          <w:szCs w:val="32"/>
        </w:rPr>
        <w:t>表全部报表指标数据；</w:t>
      </w:r>
    </w:p>
    <w:p>
      <w:pPr>
        <w:spacing w:line="56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DC-2</w:t>
      </w:r>
      <w:r>
        <w:rPr>
          <w:rFonts w:hint="eastAsia" w:ascii="Times New Roman" w:hAnsi="Times New Roman" w:eastAsia="仿宋_GB2312"/>
          <w:sz w:val="32"/>
          <w:szCs w:val="32"/>
        </w:rPr>
        <w:t>模板可导出</w:t>
      </w:r>
      <w:r>
        <w:rPr>
          <w:rFonts w:ascii="Times New Roman" w:hAnsi="Times New Roman" w:eastAsia="仿宋_GB2312"/>
          <w:sz w:val="32"/>
          <w:szCs w:val="32"/>
        </w:rPr>
        <w:t>DC-2</w:t>
      </w:r>
      <w:r>
        <w:rPr>
          <w:rFonts w:hint="eastAsia" w:ascii="Times New Roman" w:hAnsi="Times New Roman" w:eastAsia="仿宋_GB2312"/>
          <w:sz w:val="32"/>
          <w:szCs w:val="32"/>
        </w:rPr>
        <w:t>表全部报表指标数据；</w:t>
      </w:r>
    </w:p>
    <w:p>
      <w:pPr>
        <w:spacing w:line="56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WBYYB3</w:t>
      </w:r>
      <w:r>
        <w:rPr>
          <w:rFonts w:hint="eastAsia" w:ascii="Times New Roman" w:hAnsi="Times New Roman" w:eastAsia="仿宋_GB2312"/>
          <w:sz w:val="32"/>
          <w:szCs w:val="32"/>
        </w:rPr>
        <w:t>模板可导出全部未报单位清单。</w:t>
      </w:r>
    </w:p>
    <w:p>
      <w:pPr>
        <w:spacing w:line="560" w:lineRule="exact"/>
        <w:ind w:left="643"/>
        <w:rPr>
          <w:rFonts w:ascii="Times New Roman" w:hAnsi="Times New Roman" w:eastAsia="仿宋_GB2312"/>
          <w:b/>
          <w:spacing w:val="-20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b/>
          <w:sz w:val="32"/>
          <w:szCs w:val="32"/>
        </w:rPr>
        <w:t>业务管</w:t>
      </w:r>
      <w:r>
        <w:rPr>
          <w:rFonts w:hint="eastAsia" w:ascii="Times New Roman" w:hAnsi="Times New Roman" w:eastAsia="仿宋_GB2312"/>
          <w:b/>
          <w:spacing w:val="-20"/>
          <w:sz w:val="32"/>
          <w:szCs w:val="32"/>
        </w:rPr>
        <w:t>理</w:t>
      </w:r>
      <w:r>
        <w:rPr>
          <w:rFonts w:ascii="Times New Roman" w:hAnsi="Times New Roman" w:eastAsia="仿宋_GB2312"/>
          <w:b/>
          <w:spacing w:val="-20"/>
          <w:sz w:val="32"/>
          <w:szCs w:val="32"/>
        </w:rPr>
        <w:t>-</w:t>
      </w:r>
      <w:r>
        <w:rPr>
          <w:rFonts w:hint="eastAsia" w:ascii="Times New Roman" w:hAnsi="Times New Roman" w:eastAsia="仿宋_GB2312"/>
          <w:b/>
          <w:spacing w:val="-20"/>
          <w:sz w:val="32"/>
          <w:szCs w:val="32"/>
        </w:rPr>
        <w:t>文件管理功能</w:t>
      </w:r>
    </w:p>
    <w:p>
      <w:pPr>
        <w:spacing w:line="56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选择未报原因点击导出文件导出全部未报原因盖章件；</w:t>
      </w:r>
    </w:p>
    <w:p>
      <w:pPr>
        <w:spacing w:line="560" w:lineRule="exact"/>
        <w:ind w:firstLine="6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选择统一导出可导出全部封面盖章件、全部核实性审核原因解释清单表及原因解释上传证明文件。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、填报注意事项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用户需下载平台客户端完成安装后在线填报。具体填报流程如下：下载平台客户端—系统登录—数据录入—保存数据—数据审核—数据修改—封面上传—确认上报—上级管理部门验收。验收通过即完成上报。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/>
          <w:sz w:val="32"/>
          <w:szCs w:val="32"/>
        </w:rPr>
        <w:t>区县科技管理部门仅需按照报表填报流程完成全区（县）、区（县）本级报表填报。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sz w:val="32"/>
          <w:szCs w:val="32"/>
        </w:rPr>
        <w:t>填报过程中可随时点击“保存审核”功能，提高数据的准确性。若出现错误警示必须修改。若出现核实性审核提示必须进行解释说明。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sz w:val="32"/>
          <w:szCs w:val="32"/>
        </w:rPr>
        <w:t>请在填报过程中随时保存数据以防止数据丢失。若不及时保存，再次登录在线调查平台时，之前所填的数据将全部丢失。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/>
          <w:sz w:val="32"/>
          <w:szCs w:val="32"/>
        </w:rPr>
        <w:t>报表填报完成计算机审核无误后，点击打印。将报表封面加盖科技管理部门公章后在平台中上传，不需报送纸质盖章件。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6．为进一步规范填报流程，各级管理员只可填写本单位数据和查看下级单位数据，不可修改下级数据。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、省市数据上报要求及材料清单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市数据上报省前请确认：</w:t>
      </w:r>
    </w:p>
    <w:p>
      <w:pPr>
        <w:pStyle w:val="12"/>
        <w:numPr>
          <w:ilvl w:val="0"/>
          <w:numId w:val="2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全部调查单位均已完成在线填报并确认上报或已设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置未报原因；</w:t>
      </w:r>
    </w:p>
    <w:p>
      <w:pPr>
        <w:pStyle w:val="12"/>
        <w:numPr>
          <w:ilvl w:val="0"/>
          <w:numId w:val="2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全部</w:t>
      </w:r>
      <w:bookmarkStart w:id="1" w:name="_GoBack"/>
      <w:bookmarkEnd w:id="1"/>
      <w:r>
        <w:rPr>
          <w:rFonts w:hint="eastAsia" w:ascii="Times New Roman" w:hAnsi="Times New Roman" w:eastAsia="仿宋_GB2312"/>
          <w:sz w:val="32"/>
          <w:szCs w:val="32"/>
        </w:rPr>
        <w:t>区县级报表均已完成验收；</w:t>
      </w:r>
    </w:p>
    <w:p>
      <w:pPr>
        <w:pStyle w:val="12"/>
        <w:numPr>
          <w:ilvl w:val="0"/>
          <w:numId w:val="2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数据审核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检查中存在系统审核错误的单位均有详细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解释说明，并且解释说明通过上级科技管理部门核实认可；</w:t>
      </w:r>
    </w:p>
    <w:p>
      <w:pPr>
        <w:pStyle w:val="12"/>
        <w:numPr>
          <w:ilvl w:val="0"/>
          <w:numId w:val="2"/>
        </w:numPr>
        <w:spacing w:line="56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数据审核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检查中存在人工检查核实性错误的单位均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需认真核实，并且有详细解释说明；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sz w:val="32"/>
          <w:szCs w:val="32"/>
        </w:rPr>
        <w:t>数据审核/检查管理上报。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7851194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CC8"/>
    <w:multiLevelType w:val="multilevel"/>
    <w:tmpl w:val="188A1CC8"/>
    <w:lvl w:ilvl="0" w:tentative="0">
      <w:start w:val="1"/>
      <w:numFmt w:val="decimal"/>
      <w:lvlText w:val="%1."/>
      <w:lvlJc w:val="left"/>
      <w:pPr>
        <w:ind w:left="1138" w:hanging="49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3976D9C"/>
    <w:multiLevelType w:val="multilevel"/>
    <w:tmpl w:val="33976D9C"/>
    <w:lvl w:ilvl="0" w:tentative="0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eastAsia="仿宋_GB2312" w:cstheme="minorBidi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54"/>
    <w:rsid w:val="00010740"/>
    <w:rsid w:val="00013F24"/>
    <w:rsid w:val="00032766"/>
    <w:rsid w:val="000408C1"/>
    <w:rsid w:val="00063926"/>
    <w:rsid w:val="00070C82"/>
    <w:rsid w:val="0007311E"/>
    <w:rsid w:val="00075121"/>
    <w:rsid w:val="00076D04"/>
    <w:rsid w:val="00084CCB"/>
    <w:rsid w:val="000871A0"/>
    <w:rsid w:val="000A013D"/>
    <w:rsid w:val="000A38C9"/>
    <w:rsid w:val="000B0163"/>
    <w:rsid w:val="000C322D"/>
    <w:rsid w:val="000D0714"/>
    <w:rsid w:val="000E7D52"/>
    <w:rsid w:val="000F38A7"/>
    <w:rsid w:val="00101017"/>
    <w:rsid w:val="001051E9"/>
    <w:rsid w:val="00113F8C"/>
    <w:rsid w:val="001502C7"/>
    <w:rsid w:val="001811E0"/>
    <w:rsid w:val="00185B37"/>
    <w:rsid w:val="00190948"/>
    <w:rsid w:val="001976C8"/>
    <w:rsid w:val="001A14F2"/>
    <w:rsid w:val="001B1F7B"/>
    <w:rsid w:val="001C0639"/>
    <w:rsid w:val="001C41A1"/>
    <w:rsid w:val="001D590A"/>
    <w:rsid w:val="001D7AA7"/>
    <w:rsid w:val="001F7D0A"/>
    <w:rsid w:val="00210267"/>
    <w:rsid w:val="00212EEC"/>
    <w:rsid w:val="002519F9"/>
    <w:rsid w:val="0025235B"/>
    <w:rsid w:val="00287B66"/>
    <w:rsid w:val="002A775D"/>
    <w:rsid w:val="002D28BB"/>
    <w:rsid w:val="002D74A4"/>
    <w:rsid w:val="002E3D1B"/>
    <w:rsid w:val="002F65BF"/>
    <w:rsid w:val="00307CF9"/>
    <w:rsid w:val="00312D4A"/>
    <w:rsid w:val="00323C8A"/>
    <w:rsid w:val="00324985"/>
    <w:rsid w:val="00331CA1"/>
    <w:rsid w:val="00331F22"/>
    <w:rsid w:val="00333F06"/>
    <w:rsid w:val="0034237D"/>
    <w:rsid w:val="00346C52"/>
    <w:rsid w:val="003613AF"/>
    <w:rsid w:val="00361C9F"/>
    <w:rsid w:val="003620E1"/>
    <w:rsid w:val="003635F0"/>
    <w:rsid w:val="0036569C"/>
    <w:rsid w:val="00371350"/>
    <w:rsid w:val="0037426A"/>
    <w:rsid w:val="00375701"/>
    <w:rsid w:val="0038482B"/>
    <w:rsid w:val="00393BEA"/>
    <w:rsid w:val="003A4108"/>
    <w:rsid w:val="003B4DA4"/>
    <w:rsid w:val="003B72B3"/>
    <w:rsid w:val="003C65BD"/>
    <w:rsid w:val="003E6D93"/>
    <w:rsid w:val="003E7BDC"/>
    <w:rsid w:val="003F3DB5"/>
    <w:rsid w:val="004047CB"/>
    <w:rsid w:val="004100AE"/>
    <w:rsid w:val="00412E9C"/>
    <w:rsid w:val="004163F2"/>
    <w:rsid w:val="00425DC1"/>
    <w:rsid w:val="00463EF7"/>
    <w:rsid w:val="0046714F"/>
    <w:rsid w:val="00472AA5"/>
    <w:rsid w:val="004841C7"/>
    <w:rsid w:val="00487195"/>
    <w:rsid w:val="004C0446"/>
    <w:rsid w:val="004C539E"/>
    <w:rsid w:val="004D5F12"/>
    <w:rsid w:val="004D7D62"/>
    <w:rsid w:val="004E2E86"/>
    <w:rsid w:val="005031E7"/>
    <w:rsid w:val="00523507"/>
    <w:rsid w:val="00525484"/>
    <w:rsid w:val="00544D4A"/>
    <w:rsid w:val="00575BF4"/>
    <w:rsid w:val="00580B38"/>
    <w:rsid w:val="00584050"/>
    <w:rsid w:val="005842DB"/>
    <w:rsid w:val="00585423"/>
    <w:rsid w:val="00587614"/>
    <w:rsid w:val="005A3745"/>
    <w:rsid w:val="005A3D8C"/>
    <w:rsid w:val="005A456E"/>
    <w:rsid w:val="005A484E"/>
    <w:rsid w:val="005A4A9F"/>
    <w:rsid w:val="005A717D"/>
    <w:rsid w:val="005B0B54"/>
    <w:rsid w:val="005D4730"/>
    <w:rsid w:val="005E45A2"/>
    <w:rsid w:val="005E4ADB"/>
    <w:rsid w:val="005F3389"/>
    <w:rsid w:val="006079A2"/>
    <w:rsid w:val="006160F3"/>
    <w:rsid w:val="00617B3C"/>
    <w:rsid w:val="00624940"/>
    <w:rsid w:val="006338E2"/>
    <w:rsid w:val="00634548"/>
    <w:rsid w:val="0063727F"/>
    <w:rsid w:val="00637503"/>
    <w:rsid w:val="00637C7B"/>
    <w:rsid w:val="006428F5"/>
    <w:rsid w:val="006479C4"/>
    <w:rsid w:val="00667869"/>
    <w:rsid w:val="00670F44"/>
    <w:rsid w:val="00677B1C"/>
    <w:rsid w:val="00687A79"/>
    <w:rsid w:val="006B6645"/>
    <w:rsid w:val="006B791D"/>
    <w:rsid w:val="006C4E38"/>
    <w:rsid w:val="006D4907"/>
    <w:rsid w:val="006D4E86"/>
    <w:rsid w:val="00706F6C"/>
    <w:rsid w:val="007103E0"/>
    <w:rsid w:val="00723E62"/>
    <w:rsid w:val="007310E8"/>
    <w:rsid w:val="007372A7"/>
    <w:rsid w:val="00741B4E"/>
    <w:rsid w:val="00763778"/>
    <w:rsid w:val="00776188"/>
    <w:rsid w:val="0078628A"/>
    <w:rsid w:val="007B153C"/>
    <w:rsid w:val="007B3B35"/>
    <w:rsid w:val="007B40CC"/>
    <w:rsid w:val="007B64EC"/>
    <w:rsid w:val="007E29A1"/>
    <w:rsid w:val="007E2E97"/>
    <w:rsid w:val="007E579B"/>
    <w:rsid w:val="0080370F"/>
    <w:rsid w:val="0081500B"/>
    <w:rsid w:val="00841240"/>
    <w:rsid w:val="00843137"/>
    <w:rsid w:val="008546A7"/>
    <w:rsid w:val="0085527A"/>
    <w:rsid w:val="00873DD8"/>
    <w:rsid w:val="00877059"/>
    <w:rsid w:val="008A0412"/>
    <w:rsid w:val="008A62DB"/>
    <w:rsid w:val="008B35A0"/>
    <w:rsid w:val="008E0B98"/>
    <w:rsid w:val="008E2DB5"/>
    <w:rsid w:val="008E71B2"/>
    <w:rsid w:val="009033C5"/>
    <w:rsid w:val="0090650D"/>
    <w:rsid w:val="00913BE1"/>
    <w:rsid w:val="00914F47"/>
    <w:rsid w:val="009477CE"/>
    <w:rsid w:val="00977CB7"/>
    <w:rsid w:val="00986FD6"/>
    <w:rsid w:val="00986FF7"/>
    <w:rsid w:val="00992993"/>
    <w:rsid w:val="009949D3"/>
    <w:rsid w:val="00995D88"/>
    <w:rsid w:val="009B25FD"/>
    <w:rsid w:val="009B2D1B"/>
    <w:rsid w:val="009C09C2"/>
    <w:rsid w:val="009C0FC0"/>
    <w:rsid w:val="009D1C6B"/>
    <w:rsid w:val="009D43D3"/>
    <w:rsid w:val="009E7A1A"/>
    <w:rsid w:val="009F1056"/>
    <w:rsid w:val="00A1035F"/>
    <w:rsid w:val="00A12B2F"/>
    <w:rsid w:val="00A14431"/>
    <w:rsid w:val="00A17825"/>
    <w:rsid w:val="00A2566E"/>
    <w:rsid w:val="00A32EAD"/>
    <w:rsid w:val="00A33554"/>
    <w:rsid w:val="00A365DC"/>
    <w:rsid w:val="00A422C5"/>
    <w:rsid w:val="00A440DE"/>
    <w:rsid w:val="00A44EDD"/>
    <w:rsid w:val="00A51063"/>
    <w:rsid w:val="00A53879"/>
    <w:rsid w:val="00A67753"/>
    <w:rsid w:val="00A7033C"/>
    <w:rsid w:val="00A86292"/>
    <w:rsid w:val="00A975C1"/>
    <w:rsid w:val="00AA0EEB"/>
    <w:rsid w:val="00AA566B"/>
    <w:rsid w:val="00AB7FE5"/>
    <w:rsid w:val="00AC6064"/>
    <w:rsid w:val="00AE2614"/>
    <w:rsid w:val="00AE79DA"/>
    <w:rsid w:val="00AF2CB5"/>
    <w:rsid w:val="00B004F3"/>
    <w:rsid w:val="00B13509"/>
    <w:rsid w:val="00B15EB3"/>
    <w:rsid w:val="00B17796"/>
    <w:rsid w:val="00B27A36"/>
    <w:rsid w:val="00B33C67"/>
    <w:rsid w:val="00B3652C"/>
    <w:rsid w:val="00B43F35"/>
    <w:rsid w:val="00B4581E"/>
    <w:rsid w:val="00B61AA2"/>
    <w:rsid w:val="00B71353"/>
    <w:rsid w:val="00B759B1"/>
    <w:rsid w:val="00B80692"/>
    <w:rsid w:val="00B84DC7"/>
    <w:rsid w:val="00B9575C"/>
    <w:rsid w:val="00B97F76"/>
    <w:rsid w:val="00BA1349"/>
    <w:rsid w:val="00BA65F3"/>
    <w:rsid w:val="00BB0771"/>
    <w:rsid w:val="00BF3418"/>
    <w:rsid w:val="00C00A3E"/>
    <w:rsid w:val="00C26C59"/>
    <w:rsid w:val="00C339EF"/>
    <w:rsid w:val="00C43E28"/>
    <w:rsid w:val="00C57FE0"/>
    <w:rsid w:val="00C76C4E"/>
    <w:rsid w:val="00CB0D8C"/>
    <w:rsid w:val="00CB5712"/>
    <w:rsid w:val="00CC11DB"/>
    <w:rsid w:val="00CC7D02"/>
    <w:rsid w:val="00CD6494"/>
    <w:rsid w:val="00CE2F87"/>
    <w:rsid w:val="00D10EB4"/>
    <w:rsid w:val="00D55F10"/>
    <w:rsid w:val="00D61806"/>
    <w:rsid w:val="00D66B4F"/>
    <w:rsid w:val="00D82BDA"/>
    <w:rsid w:val="00D84F2C"/>
    <w:rsid w:val="00D8570D"/>
    <w:rsid w:val="00D95D10"/>
    <w:rsid w:val="00DC07C3"/>
    <w:rsid w:val="00DD5C75"/>
    <w:rsid w:val="00DF1703"/>
    <w:rsid w:val="00E15E83"/>
    <w:rsid w:val="00E20665"/>
    <w:rsid w:val="00E36316"/>
    <w:rsid w:val="00E533D3"/>
    <w:rsid w:val="00E53AE7"/>
    <w:rsid w:val="00E6674A"/>
    <w:rsid w:val="00E67F53"/>
    <w:rsid w:val="00E91BCA"/>
    <w:rsid w:val="00E942DB"/>
    <w:rsid w:val="00EA651B"/>
    <w:rsid w:val="00EC0956"/>
    <w:rsid w:val="00EC7E59"/>
    <w:rsid w:val="00ED7819"/>
    <w:rsid w:val="00EE493E"/>
    <w:rsid w:val="00EE4B2C"/>
    <w:rsid w:val="00EF6F2B"/>
    <w:rsid w:val="00EF752A"/>
    <w:rsid w:val="00F009C9"/>
    <w:rsid w:val="00F13A8E"/>
    <w:rsid w:val="00F14894"/>
    <w:rsid w:val="00F3628E"/>
    <w:rsid w:val="00F36BFB"/>
    <w:rsid w:val="00F372C9"/>
    <w:rsid w:val="00F4174D"/>
    <w:rsid w:val="00F50529"/>
    <w:rsid w:val="00F52840"/>
    <w:rsid w:val="00F61AC8"/>
    <w:rsid w:val="00F65339"/>
    <w:rsid w:val="00F70FCD"/>
    <w:rsid w:val="00F75EF3"/>
    <w:rsid w:val="00F80B16"/>
    <w:rsid w:val="00F82727"/>
    <w:rsid w:val="00F92092"/>
    <w:rsid w:val="00FA22A8"/>
    <w:rsid w:val="00FA49E6"/>
    <w:rsid w:val="00FC4300"/>
    <w:rsid w:val="00FF1F6D"/>
    <w:rsid w:val="00FF38C8"/>
    <w:rsid w:val="22A75D90"/>
    <w:rsid w:val="28A0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uiPriority w:val="99"/>
    <w:rPr>
      <w:b/>
      <w:bCs/>
    </w:rPr>
  </w:style>
  <w:style w:type="paragraph" w:styleId="3">
    <w:name w:val="annotation text"/>
    <w:basedOn w:val="1"/>
    <w:link w:val="13"/>
    <w:unhideWhenUsed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7"/>
    <w:link w:val="3"/>
    <w:semiHidden/>
    <w:qFormat/>
    <w:uiPriority w:val="99"/>
  </w:style>
  <w:style w:type="character" w:customStyle="1" w:styleId="14">
    <w:name w:val="批注主题 Char"/>
    <w:basedOn w:val="13"/>
    <w:link w:val="2"/>
    <w:semiHidden/>
    <w:qFormat/>
    <w:uiPriority w:val="99"/>
    <w:rPr>
      <w:b/>
      <w:bCs/>
    </w:rPr>
  </w:style>
  <w:style w:type="character" w:customStyle="1" w:styleId="15">
    <w:name w:val="批注框文本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9DF0A1-C4DE-4777-BC6F-DD5CD83C99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357</Words>
  <Characters>2039</Characters>
  <Lines>16</Lines>
  <Paragraphs>4</Paragraphs>
  <TotalTime>8</TotalTime>
  <ScaleCrop>false</ScaleCrop>
  <LinksUpToDate>false</LinksUpToDate>
  <CharactersWithSpaces>2392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2017-06-12T07:08:00Z</dcterms:created>
  <dc:creator>wangjp</dc:creator>
  <cp:lastModifiedBy>USER</cp:lastModifiedBy>
  <dcterms:modified xsi:type="dcterms:W3CDTF">2018-06-13T02:46:00Z</dcterms:modified>
  <dc:title>地方财政科学技术支出调查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