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28"/>
          <w:szCs w:val="28"/>
          <w:lang w:val="en-US" w:eastAsia="zh-CN"/>
        </w:rPr>
      </w:pPr>
      <w:r>
        <w:rPr>
          <w:rFonts w:hint="eastAsia" w:ascii="黑体" w:hAnsi="黑体" w:eastAsia="黑体" w:cs="黑体"/>
          <w:sz w:val="36"/>
          <w:szCs w:val="36"/>
          <w:lang w:val="en-US" w:eastAsia="zh-CN"/>
        </w:rPr>
        <w:t>附件</w:t>
      </w:r>
      <w:r>
        <w:rPr>
          <w:rFonts w:hint="eastAsia"/>
          <w:sz w:val="28"/>
          <w:szCs w:val="28"/>
          <w:lang w:val="en-US" w:eastAsia="zh-CN"/>
        </w:rPr>
        <w:t xml:space="preserve">：   </w:t>
      </w:r>
    </w:p>
    <w:p>
      <w:pPr>
        <w:jc w:val="center"/>
        <w:rPr>
          <w:rFonts w:hint="eastAsia" w:ascii="黑体" w:hAnsi="黑体" w:eastAsia="黑体" w:cs="黑体"/>
          <w:sz w:val="44"/>
          <w:szCs w:val="44"/>
          <w:lang w:val="en-US" w:eastAsia="zh-CN"/>
        </w:rPr>
      </w:pPr>
      <w:r>
        <w:rPr>
          <w:rFonts w:hint="eastAsia" w:ascii="黑体" w:hAnsi="黑体" w:eastAsia="黑体" w:cs="黑体"/>
          <w:sz w:val="36"/>
          <w:szCs w:val="36"/>
          <w:lang w:val="en-US" w:eastAsia="zh-CN"/>
        </w:rPr>
        <w:t>揭阳市绿源新能源公共交通股份有限公司电动汽车充换电设施情况表</w:t>
      </w:r>
    </w:p>
    <w:tbl>
      <w:tblPr>
        <w:tblStyle w:val="6"/>
        <w:tblpPr w:leftFromText="180" w:rightFromText="180" w:vertAnchor="text" w:horzAnchor="page" w:tblpX="1328" w:tblpY="454"/>
        <w:tblOverlap w:val="never"/>
        <w:tblW w:w="14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35"/>
        <w:gridCol w:w="3297"/>
        <w:gridCol w:w="1380"/>
        <w:gridCol w:w="1350"/>
        <w:gridCol w:w="1065"/>
        <w:gridCol w:w="1020"/>
        <w:gridCol w:w="1695"/>
        <w:gridCol w:w="165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510" w:type="dxa"/>
            <w:vMerge w:val="restart"/>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635" w:type="dxa"/>
            <w:vMerge w:val="restart"/>
          </w:tcPr>
          <w:p>
            <w:pPr>
              <w:jc w:val="both"/>
              <w:rPr>
                <w:rFonts w:hint="eastAsia" w:ascii="仿宋" w:hAnsi="仿宋" w:eastAsia="仿宋" w:cs="仿宋"/>
                <w:position w:val="28"/>
                <w:sz w:val="28"/>
                <w:szCs w:val="28"/>
                <w:vertAlign w:val="baseline"/>
                <w:lang w:val="en-US" w:eastAsia="zh-CN"/>
              </w:rPr>
            </w:pPr>
          </w:p>
          <w:p>
            <w:pPr>
              <w:jc w:val="center"/>
              <w:rPr>
                <w:rFonts w:hint="eastAsia" w:ascii="仿宋" w:hAnsi="仿宋" w:eastAsia="仿宋" w:cs="仿宋"/>
                <w:position w:val="28"/>
                <w:sz w:val="28"/>
                <w:szCs w:val="28"/>
                <w:vertAlign w:val="baseline"/>
                <w:lang w:val="en-US" w:eastAsia="zh-CN"/>
              </w:rPr>
            </w:pPr>
            <w:r>
              <w:rPr>
                <w:rFonts w:hint="eastAsia" w:ascii="仿宋" w:hAnsi="仿宋" w:eastAsia="仿宋" w:cs="仿宋"/>
                <w:position w:val="28"/>
                <w:sz w:val="28"/>
                <w:szCs w:val="28"/>
                <w:vertAlign w:val="baseline"/>
                <w:lang w:val="en-US" w:eastAsia="zh-CN"/>
              </w:rPr>
              <w:t>站 点</w:t>
            </w:r>
          </w:p>
        </w:tc>
        <w:tc>
          <w:tcPr>
            <w:tcW w:w="3297" w:type="dxa"/>
            <w:vMerge w:val="restart"/>
          </w:tcPr>
          <w:p>
            <w:pPr>
              <w:jc w:val="left"/>
              <w:rPr>
                <w:rFonts w:hint="eastAsia" w:ascii="仿宋" w:hAnsi="仿宋" w:eastAsia="仿宋" w:cs="仿宋"/>
                <w:position w:val="28"/>
                <w:sz w:val="28"/>
                <w:szCs w:val="28"/>
                <w:vertAlign w:val="baseline"/>
                <w:lang w:val="en-US" w:eastAsia="zh-CN"/>
              </w:rPr>
            </w:pPr>
            <w:r>
              <w:rPr>
                <w:rFonts w:hint="eastAsia" w:ascii="仿宋" w:hAnsi="仿宋" w:eastAsia="仿宋" w:cs="仿宋"/>
                <w:position w:val="28"/>
                <w:sz w:val="28"/>
                <w:szCs w:val="28"/>
                <w:vertAlign w:val="baseline"/>
                <w:lang w:val="en-US" w:eastAsia="zh-CN"/>
              </w:rPr>
              <w:t xml:space="preserve">  </w:t>
            </w:r>
          </w:p>
          <w:p>
            <w:pPr>
              <w:jc w:val="center"/>
              <w:rPr>
                <w:rFonts w:hint="eastAsia" w:ascii="仿宋" w:hAnsi="仿宋" w:eastAsia="仿宋" w:cs="仿宋"/>
                <w:position w:val="28"/>
                <w:sz w:val="28"/>
                <w:szCs w:val="28"/>
                <w:vertAlign w:val="baseline"/>
                <w:lang w:val="en-US" w:eastAsia="zh-CN"/>
              </w:rPr>
            </w:pPr>
            <w:r>
              <w:rPr>
                <w:rFonts w:hint="eastAsia" w:ascii="仿宋" w:hAnsi="仿宋" w:eastAsia="仿宋" w:cs="仿宋"/>
                <w:position w:val="28"/>
                <w:sz w:val="28"/>
                <w:szCs w:val="28"/>
                <w:vertAlign w:val="baseline"/>
                <w:lang w:val="en-US" w:eastAsia="zh-CN"/>
              </w:rPr>
              <w:t>建  设  地  址</w:t>
            </w:r>
          </w:p>
        </w:tc>
        <w:tc>
          <w:tcPr>
            <w:tcW w:w="1380" w:type="dxa"/>
            <w:vMerge w:val="restart"/>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建设面积（㎡）</w:t>
            </w:r>
          </w:p>
        </w:tc>
        <w:tc>
          <w:tcPr>
            <w:tcW w:w="1350" w:type="dxa"/>
            <w:vMerge w:val="restart"/>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占地面积</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w:t>
            </w:r>
          </w:p>
        </w:tc>
        <w:tc>
          <w:tcPr>
            <w:tcW w:w="2085" w:type="dxa"/>
            <w:gridSpan w:val="2"/>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变 压 器</w:t>
            </w:r>
          </w:p>
        </w:tc>
        <w:tc>
          <w:tcPr>
            <w:tcW w:w="4290" w:type="dxa"/>
            <w:gridSpan w:val="3"/>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充  电  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Merge w:val="continue"/>
          </w:tcPr>
          <w:p>
            <w:pPr>
              <w:jc w:val="center"/>
              <w:rPr>
                <w:rFonts w:hint="eastAsia" w:ascii="仿宋" w:hAnsi="仿宋" w:eastAsia="仿宋" w:cs="仿宋"/>
                <w:sz w:val="28"/>
                <w:szCs w:val="28"/>
                <w:vertAlign w:val="baseline"/>
                <w:lang w:val="en-US" w:eastAsia="zh-CN"/>
              </w:rPr>
            </w:pPr>
          </w:p>
        </w:tc>
        <w:tc>
          <w:tcPr>
            <w:tcW w:w="1635" w:type="dxa"/>
            <w:vMerge w:val="continue"/>
          </w:tcPr>
          <w:p>
            <w:pPr>
              <w:jc w:val="left"/>
              <w:rPr>
                <w:rFonts w:hint="eastAsia" w:ascii="仿宋" w:hAnsi="仿宋" w:eastAsia="仿宋" w:cs="仿宋"/>
                <w:sz w:val="28"/>
                <w:szCs w:val="28"/>
                <w:vertAlign w:val="baseline"/>
                <w:lang w:val="en-US" w:eastAsia="zh-CN"/>
              </w:rPr>
            </w:pPr>
          </w:p>
        </w:tc>
        <w:tc>
          <w:tcPr>
            <w:tcW w:w="3297" w:type="dxa"/>
            <w:vMerge w:val="continue"/>
          </w:tcPr>
          <w:p>
            <w:pPr>
              <w:jc w:val="left"/>
              <w:rPr>
                <w:rFonts w:hint="eastAsia" w:ascii="仿宋" w:hAnsi="仿宋" w:eastAsia="仿宋" w:cs="仿宋"/>
                <w:sz w:val="28"/>
                <w:szCs w:val="28"/>
                <w:vertAlign w:val="baseline"/>
                <w:lang w:val="en-US" w:eastAsia="zh-CN"/>
              </w:rPr>
            </w:pPr>
          </w:p>
        </w:tc>
        <w:tc>
          <w:tcPr>
            <w:tcW w:w="1380" w:type="dxa"/>
            <w:vMerge w:val="continue"/>
          </w:tcPr>
          <w:p>
            <w:pPr>
              <w:jc w:val="left"/>
              <w:rPr>
                <w:rFonts w:hint="eastAsia" w:ascii="仿宋" w:hAnsi="仿宋" w:eastAsia="仿宋" w:cs="仿宋"/>
                <w:sz w:val="28"/>
                <w:szCs w:val="28"/>
                <w:vertAlign w:val="baseline"/>
                <w:lang w:val="en-US" w:eastAsia="zh-CN"/>
              </w:rPr>
            </w:pPr>
          </w:p>
        </w:tc>
        <w:tc>
          <w:tcPr>
            <w:tcW w:w="1350" w:type="dxa"/>
            <w:vMerge w:val="continue"/>
          </w:tcPr>
          <w:p>
            <w:pPr>
              <w:jc w:val="left"/>
              <w:rPr>
                <w:rFonts w:hint="eastAsia" w:ascii="仿宋" w:hAnsi="仿宋" w:eastAsia="仿宋" w:cs="仿宋"/>
                <w:sz w:val="28"/>
                <w:szCs w:val="28"/>
                <w:vertAlign w:val="baseline"/>
                <w:lang w:val="en-US" w:eastAsia="zh-CN"/>
              </w:rPr>
            </w:pPr>
          </w:p>
        </w:tc>
        <w:tc>
          <w:tcPr>
            <w:tcW w:w="1065" w:type="dxa"/>
          </w:tcPr>
          <w:p>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功率</w:t>
            </w:r>
          </w:p>
        </w:tc>
        <w:tc>
          <w:tcPr>
            <w:tcW w:w="10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数量（台）</w:t>
            </w:r>
          </w:p>
        </w:tc>
        <w:tc>
          <w:tcPr>
            <w:tcW w:w="1695"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类 型</w:t>
            </w:r>
          </w:p>
        </w:tc>
        <w:tc>
          <w:tcPr>
            <w:tcW w:w="165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功 率</w:t>
            </w:r>
          </w:p>
        </w:tc>
        <w:tc>
          <w:tcPr>
            <w:tcW w:w="94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635" w:type="dxa"/>
          </w:tcPr>
          <w:p>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揭东陈寮站</w:t>
            </w:r>
          </w:p>
        </w:tc>
        <w:tc>
          <w:tcPr>
            <w:tcW w:w="3297"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揭阳市揭东区站前大道以西陈寮村</w:t>
            </w:r>
          </w:p>
        </w:tc>
        <w:tc>
          <w:tcPr>
            <w:tcW w:w="138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160</w:t>
            </w:r>
          </w:p>
        </w:tc>
        <w:tc>
          <w:tcPr>
            <w:tcW w:w="135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200</w:t>
            </w:r>
          </w:p>
        </w:tc>
        <w:tc>
          <w:tcPr>
            <w:tcW w:w="1065" w:type="dxa"/>
          </w:tcPr>
          <w:p>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400KVA</w:t>
            </w:r>
          </w:p>
        </w:tc>
        <w:tc>
          <w:tcPr>
            <w:tcW w:w="102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69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直流电双枪快充充电桩</w:t>
            </w:r>
          </w:p>
        </w:tc>
        <w:tc>
          <w:tcPr>
            <w:tcW w:w="165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154KW/700V</w:t>
            </w:r>
          </w:p>
        </w:tc>
        <w:tc>
          <w:tcPr>
            <w:tcW w:w="945"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635" w:type="dxa"/>
          </w:tcPr>
          <w:p>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蓝城龙尾站</w:t>
            </w:r>
          </w:p>
        </w:tc>
        <w:tc>
          <w:tcPr>
            <w:tcW w:w="3297"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揭阳市蓝城区揭阳市产业转移工业园省道335线以南，星河路以东</w:t>
            </w:r>
          </w:p>
        </w:tc>
        <w:tc>
          <w:tcPr>
            <w:tcW w:w="138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160</w:t>
            </w:r>
          </w:p>
        </w:tc>
        <w:tc>
          <w:tcPr>
            <w:tcW w:w="135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200</w:t>
            </w:r>
          </w:p>
        </w:tc>
        <w:tc>
          <w:tcPr>
            <w:tcW w:w="1065" w:type="dxa"/>
          </w:tcPr>
          <w:p>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400KVA</w:t>
            </w:r>
          </w:p>
        </w:tc>
        <w:tc>
          <w:tcPr>
            <w:tcW w:w="102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69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直流电双枪快充充电桩</w:t>
            </w:r>
          </w:p>
        </w:tc>
        <w:tc>
          <w:tcPr>
            <w:tcW w:w="165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154KW/700V</w:t>
            </w:r>
          </w:p>
        </w:tc>
        <w:tc>
          <w:tcPr>
            <w:tcW w:w="945"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635" w:type="dxa"/>
          </w:tcPr>
          <w:p>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揭阳一中站</w:t>
            </w:r>
          </w:p>
        </w:tc>
        <w:tc>
          <w:tcPr>
            <w:tcW w:w="3297"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揭阳市榕城区东兴街道淡浦路以东，临江路以南</w:t>
            </w:r>
          </w:p>
        </w:tc>
        <w:tc>
          <w:tcPr>
            <w:tcW w:w="138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160</w:t>
            </w:r>
          </w:p>
        </w:tc>
        <w:tc>
          <w:tcPr>
            <w:tcW w:w="135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200</w:t>
            </w:r>
          </w:p>
        </w:tc>
        <w:tc>
          <w:tcPr>
            <w:tcW w:w="1065" w:type="dxa"/>
          </w:tcPr>
          <w:p>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400KVA</w:t>
            </w:r>
          </w:p>
        </w:tc>
        <w:tc>
          <w:tcPr>
            <w:tcW w:w="102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69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直流电双枪快充充电桩</w:t>
            </w:r>
          </w:p>
        </w:tc>
        <w:tc>
          <w:tcPr>
            <w:tcW w:w="165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154KW/700V</w:t>
            </w:r>
          </w:p>
        </w:tc>
        <w:tc>
          <w:tcPr>
            <w:tcW w:w="945"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635" w:type="dxa"/>
          </w:tcPr>
          <w:p>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空港渔湖站</w:t>
            </w:r>
          </w:p>
        </w:tc>
        <w:tc>
          <w:tcPr>
            <w:tcW w:w="3297"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揭阳空港经济区西五横路以北，环岛路以东</w:t>
            </w:r>
          </w:p>
        </w:tc>
        <w:tc>
          <w:tcPr>
            <w:tcW w:w="138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160</w:t>
            </w:r>
          </w:p>
        </w:tc>
        <w:tc>
          <w:tcPr>
            <w:tcW w:w="135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200</w:t>
            </w:r>
          </w:p>
        </w:tc>
        <w:tc>
          <w:tcPr>
            <w:tcW w:w="1065" w:type="dxa"/>
          </w:tcPr>
          <w:p>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400KVA</w:t>
            </w:r>
          </w:p>
        </w:tc>
        <w:tc>
          <w:tcPr>
            <w:tcW w:w="102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69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直流电双枪快充充电桩</w:t>
            </w:r>
          </w:p>
        </w:tc>
        <w:tc>
          <w:tcPr>
            <w:tcW w:w="165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154KW/700V</w:t>
            </w:r>
          </w:p>
        </w:tc>
        <w:tc>
          <w:tcPr>
            <w:tcW w:w="945"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r>
    </w:tbl>
    <w:p>
      <w:pPr>
        <w:jc w:val="left"/>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w:t>
      </w:r>
      <w:bookmarkStart w:id="0" w:name="_GoBack"/>
      <w:bookmarkEnd w:id="0"/>
    </w:p>
    <w:sectPr>
      <w:headerReference r:id="rId3" w:type="default"/>
      <w:footerReference r:id="rId4" w:type="default"/>
      <w:pgSz w:w="16838" w:h="11906" w:orient="landscape"/>
      <w:pgMar w:top="1603" w:right="1440" w:bottom="168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sz w:val="28"/>
        <w:szCs w:val="28"/>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r>
      <w:rPr>
        <w:rFonts w:hint="eastAsia"/>
        <w:sz w:val="28"/>
        <w:szCs w:val="28"/>
        <w:lang w:val="en-US" w:eastAsia="zh-CN"/>
      </w:rPr>
      <w:t>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E6DA2"/>
    <w:rsid w:val="0AFA794D"/>
    <w:rsid w:val="32D851CE"/>
    <w:rsid w:val="6FAE6D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2016-08-10T07:17:00Z</dcterms:created>
  <dc:creator>Administrator</dc:creator>
  <cp:lastModifiedBy>Administrator</cp:lastModifiedBy>
  <cp:lastPrinted>2016-08-11T07:39:12Z</cp:lastPrinted>
  <dcterms:modified xsi:type="dcterms:W3CDTF">2016-08-11T08:14:07Z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