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5E" w:rsidRDefault="005C505E">
      <w:pPr>
        <w:jc w:val="left"/>
        <w:rPr>
          <w:rFonts w:ascii="宋体" w:eastAsia="宋体" w:hAnsi="宋体" w:cs="宋体"/>
          <w:sz w:val="28"/>
          <w:szCs w:val="28"/>
        </w:rPr>
      </w:pPr>
    </w:p>
    <w:p w:rsidR="005C505E" w:rsidRPr="005672BD" w:rsidRDefault="00D61197">
      <w:pPr>
        <w:jc w:val="center"/>
        <w:rPr>
          <w:rFonts w:asciiTheme="majorEastAsia" w:eastAsiaTheme="majorEastAsia" w:hAnsiTheme="majorEastAsia" w:cstheme="majorEastAsia"/>
          <w:b/>
          <w:bCs/>
          <w:sz w:val="44"/>
          <w:szCs w:val="44"/>
        </w:rPr>
      </w:pPr>
      <w:r w:rsidRPr="005672BD">
        <w:rPr>
          <w:rFonts w:asciiTheme="majorEastAsia" w:eastAsiaTheme="majorEastAsia" w:hAnsiTheme="majorEastAsia" w:cstheme="majorEastAsia" w:hint="eastAsia"/>
          <w:b/>
          <w:bCs/>
          <w:sz w:val="44"/>
          <w:szCs w:val="44"/>
        </w:rPr>
        <w:t>揭阳市</w:t>
      </w:r>
      <w:r w:rsidRPr="005672BD">
        <w:rPr>
          <w:rFonts w:asciiTheme="majorEastAsia" w:eastAsiaTheme="majorEastAsia" w:hAnsiTheme="majorEastAsia" w:cstheme="majorEastAsia" w:hint="eastAsia"/>
          <w:b/>
          <w:bCs/>
          <w:sz w:val="44"/>
          <w:szCs w:val="44"/>
        </w:rPr>
        <w:t>2019</w:t>
      </w:r>
      <w:r w:rsidRPr="005672BD">
        <w:rPr>
          <w:rFonts w:asciiTheme="majorEastAsia" w:eastAsiaTheme="majorEastAsia" w:hAnsiTheme="majorEastAsia" w:cstheme="majorEastAsia" w:hint="eastAsia"/>
          <w:b/>
          <w:bCs/>
          <w:sz w:val="44"/>
          <w:szCs w:val="44"/>
        </w:rPr>
        <w:t>年能耗“双控”工作方案</w:t>
      </w:r>
    </w:p>
    <w:p w:rsidR="005672BD" w:rsidRDefault="005672BD">
      <w:pPr>
        <w:ind w:firstLineChars="200" w:firstLine="640"/>
        <w:rPr>
          <w:rFonts w:ascii="仿宋" w:eastAsia="仿宋" w:hAnsi="仿宋"/>
          <w:sz w:val="32"/>
          <w:szCs w:val="32"/>
        </w:rPr>
      </w:pPr>
    </w:p>
    <w:p w:rsidR="005C505E" w:rsidRDefault="00D61197">
      <w:pPr>
        <w:ind w:firstLineChars="200" w:firstLine="640"/>
        <w:rPr>
          <w:rFonts w:ascii="仿宋" w:eastAsia="仿宋" w:hAnsi="仿宋"/>
          <w:sz w:val="32"/>
          <w:szCs w:val="32"/>
        </w:rPr>
      </w:pPr>
      <w:r>
        <w:rPr>
          <w:rFonts w:ascii="仿宋" w:eastAsia="仿宋" w:hAnsi="仿宋" w:hint="eastAsia"/>
          <w:sz w:val="32"/>
          <w:szCs w:val="32"/>
        </w:rPr>
        <w:t>根据《中华人民共和国节约能源法》《国务院关于印发“十三五”节能减排综合工作方案的通知》</w:t>
      </w:r>
      <w:r>
        <w:rPr>
          <w:rFonts w:ascii="仿宋" w:eastAsia="仿宋" w:hAnsi="仿宋" w:hint="eastAsia"/>
          <w:sz w:val="32"/>
          <w:szCs w:val="32"/>
        </w:rPr>
        <w:t>(</w:t>
      </w:r>
      <w:r>
        <w:rPr>
          <w:rFonts w:ascii="仿宋" w:eastAsia="仿宋" w:hAnsi="仿宋" w:hint="eastAsia"/>
          <w:sz w:val="32"/>
          <w:szCs w:val="32"/>
        </w:rPr>
        <w:t>国发〔</w:t>
      </w:r>
      <w:r>
        <w:rPr>
          <w:rFonts w:ascii="仿宋" w:eastAsia="仿宋" w:hAnsi="仿宋" w:hint="eastAsia"/>
          <w:sz w:val="32"/>
          <w:szCs w:val="32"/>
        </w:rPr>
        <w:t>2016</w:t>
      </w:r>
      <w:r>
        <w:rPr>
          <w:rFonts w:ascii="仿宋" w:eastAsia="仿宋" w:hAnsi="仿宋" w:hint="eastAsia"/>
          <w:sz w:val="32"/>
          <w:szCs w:val="32"/>
        </w:rPr>
        <w:t>〕</w:t>
      </w:r>
      <w:r>
        <w:rPr>
          <w:rFonts w:ascii="仿宋" w:eastAsia="仿宋" w:hAnsi="仿宋" w:hint="eastAsia"/>
          <w:sz w:val="32"/>
          <w:szCs w:val="32"/>
        </w:rPr>
        <w:t>74</w:t>
      </w:r>
      <w:r>
        <w:rPr>
          <w:rFonts w:ascii="仿宋" w:eastAsia="仿宋" w:hAnsi="仿宋" w:hint="eastAsia"/>
          <w:sz w:val="32"/>
          <w:szCs w:val="32"/>
        </w:rPr>
        <w:t>号</w:t>
      </w:r>
      <w:r>
        <w:rPr>
          <w:rFonts w:ascii="仿宋" w:eastAsia="仿宋" w:hAnsi="仿宋" w:hint="eastAsia"/>
          <w:sz w:val="32"/>
          <w:szCs w:val="32"/>
        </w:rPr>
        <w:t>)</w:t>
      </w:r>
      <w:r>
        <w:rPr>
          <w:rFonts w:ascii="仿宋" w:eastAsia="仿宋" w:hAnsi="仿宋" w:hint="eastAsia"/>
          <w:sz w:val="32"/>
          <w:szCs w:val="32"/>
        </w:rPr>
        <w:t>《广东省节能减排“十三五”规划》</w:t>
      </w:r>
      <w:r>
        <w:rPr>
          <w:rFonts w:ascii="仿宋" w:eastAsia="仿宋" w:hAnsi="仿宋" w:hint="eastAsia"/>
          <w:sz w:val="32"/>
          <w:szCs w:val="32"/>
        </w:rPr>
        <w:t>(</w:t>
      </w:r>
      <w:r>
        <w:rPr>
          <w:rFonts w:ascii="仿宋" w:eastAsia="仿宋" w:hAnsi="仿宋" w:hint="eastAsia"/>
          <w:sz w:val="32"/>
          <w:szCs w:val="32"/>
        </w:rPr>
        <w:t>粤发改资环〔</w:t>
      </w:r>
      <w:r>
        <w:rPr>
          <w:rFonts w:ascii="仿宋" w:eastAsia="仿宋" w:hAnsi="仿宋" w:hint="eastAsia"/>
          <w:sz w:val="32"/>
          <w:szCs w:val="32"/>
        </w:rPr>
        <w:t>201</w:t>
      </w:r>
      <w:r>
        <w:rPr>
          <w:rFonts w:ascii="仿宋" w:eastAsia="仿宋" w:hAnsi="仿宋" w:hint="eastAsia"/>
          <w:sz w:val="32"/>
          <w:szCs w:val="32"/>
        </w:rPr>
        <w:t>7</w:t>
      </w:r>
      <w:r>
        <w:rPr>
          <w:rFonts w:ascii="仿宋" w:eastAsia="仿宋" w:hAnsi="仿宋" w:hint="eastAsia"/>
          <w:sz w:val="32"/>
          <w:szCs w:val="32"/>
        </w:rPr>
        <w:t>〕</w:t>
      </w:r>
      <w:r>
        <w:rPr>
          <w:rFonts w:ascii="仿宋" w:eastAsia="仿宋" w:hAnsi="仿宋" w:hint="eastAsia"/>
          <w:sz w:val="32"/>
          <w:szCs w:val="32"/>
        </w:rPr>
        <w:t>76</w:t>
      </w:r>
      <w:r>
        <w:rPr>
          <w:rFonts w:ascii="仿宋" w:eastAsia="仿宋" w:hAnsi="仿宋" w:hint="eastAsia"/>
          <w:sz w:val="32"/>
          <w:szCs w:val="32"/>
        </w:rPr>
        <w:t>号</w:t>
      </w:r>
      <w:r>
        <w:rPr>
          <w:rFonts w:ascii="仿宋" w:eastAsia="仿宋" w:hAnsi="仿宋" w:hint="eastAsia"/>
          <w:sz w:val="32"/>
          <w:szCs w:val="32"/>
        </w:rPr>
        <w:t>)</w:t>
      </w:r>
      <w:r>
        <w:rPr>
          <w:rFonts w:ascii="仿宋" w:eastAsia="仿宋" w:hAnsi="仿宋" w:hint="eastAsia"/>
          <w:sz w:val="32"/>
          <w:szCs w:val="32"/>
        </w:rPr>
        <w:t>和《广东省发展改革委关于印发</w:t>
      </w:r>
      <w:r>
        <w:rPr>
          <w:rFonts w:ascii="仿宋" w:eastAsia="仿宋" w:hAnsi="仿宋" w:hint="eastAsia"/>
          <w:sz w:val="32"/>
          <w:szCs w:val="32"/>
        </w:rPr>
        <w:t>&lt;</w:t>
      </w:r>
      <w:r>
        <w:rPr>
          <w:rFonts w:ascii="仿宋" w:eastAsia="仿宋" w:hAnsi="仿宋" w:hint="eastAsia"/>
          <w:sz w:val="32"/>
          <w:szCs w:val="32"/>
        </w:rPr>
        <w:t>广东省</w:t>
      </w:r>
      <w:r>
        <w:rPr>
          <w:rFonts w:ascii="仿宋" w:eastAsia="仿宋" w:hAnsi="仿宋" w:hint="eastAsia"/>
          <w:sz w:val="32"/>
          <w:szCs w:val="32"/>
        </w:rPr>
        <w:t>2019</w:t>
      </w:r>
      <w:r>
        <w:rPr>
          <w:rFonts w:ascii="仿宋" w:eastAsia="仿宋" w:hAnsi="仿宋" w:hint="eastAsia"/>
          <w:sz w:val="32"/>
          <w:szCs w:val="32"/>
        </w:rPr>
        <w:t>年能耗“双控”工作方案</w:t>
      </w:r>
      <w:r>
        <w:rPr>
          <w:rFonts w:ascii="仿宋" w:eastAsia="仿宋" w:hAnsi="仿宋" w:hint="eastAsia"/>
          <w:sz w:val="32"/>
          <w:szCs w:val="32"/>
        </w:rPr>
        <w:t>&gt;</w:t>
      </w:r>
      <w:r>
        <w:rPr>
          <w:rFonts w:ascii="仿宋" w:eastAsia="仿宋" w:hAnsi="仿宋" w:hint="eastAsia"/>
          <w:sz w:val="32"/>
          <w:szCs w:val="32"/>
        </w:rPr>
        <w:t>的通知》</w:t>
      </w:r>
      <w:r>
        <w:rPr>
          <w:rFonts w:ascii="仿宋" w:eastAsia="仿宋" w:hAnsi="仿宋" w:hint="eastAsia"/>
          <w:sz w:val="32"/>
          <w:szCs w:val="32"/>
        </w:rPr>
        <w:t>(</w:t>
      </w:r>
      <w:r>
        <w:rPr>
          <w:rFonts w:ascii="仿宋" w:eastAsia="仿宋" w:hAnsi="仿宋" w:hint="eastAsia"/>
          <w:sz w:val="32"/>
          <w:szCs w:val="32"/>
        </w:rPr>
        <w:t>粤发改能源涵〔</w:t>
      </w:r>
      <w:r>
        <w:rPr>
          <w:rFonts w:ascii="仿宋" w:eastAsia="仿宋" w:hAnsi="仿宋" w:hint="eastAsia"/>
          <w:sz w:val="32"/>
          <w:szCs w:val="32"/>
        </w:rPr>
        <w:t>201</w:t>
      </w:r>
      <w:r>
        <w:rPr>
          <w:rFonts w:ascii="仿宋" w:eastAsia="仿宋" w:hAnsi="仿宋" w:hint="eastAsia"/>
          <w:sz w:val="32"/>
          <w:szCs w:val="32"/>
        </w:rPr>
        <w:t>9</w:t>
      </w:r>
      <w:r>
        <w:rPr>
          <w:rFonts w:ascii="仿宋" w:eastAsia="仿宋" w:hAnsi="仿宋" w:hint="eastAsia"/>
          <w:sz w:val="32"/>
          <w:szCs w:val="32"/>
        </w:rPr>
        <w:t>〕</w:t>
      </w:r>
      <w:r>
        <w:rPr>
          <w:rFonts w:ascii="仿宋" w:eastAsia="仿宋" w:hAnsi="仿宋" w:hint="eastAsia"/>
          <w:sz w:val="32"/>
          <w:szCs w:val="32"/>
        </w:rPr>
        <w:t>2604</w:t>
      </w:r>
      <w:r>
        <w:rPr>
          <w:rFonts w:ascii="仿宋" w:eastAsia="仿宋" w:hAnsi="仿宋" w:hint="eastAsia"/>
          <w:sz w:val="32"/>
          <w:szCs w:val="32"/>
        </w:rPr>
        <w:t>号</w:t>
      </w:r>
      <w:r>
        <w:rPr>
          <w:rFonts w:ascii="仿宋" w:eastAsia="仿宋" w:hAnsi="仿宋" w:hint="eastAsia"/>
          <w:sz w:val="32"/>
          <w:szCs w:val="32"/>
        </w:rPr>
        <w:t>)</w:t>
      </w:r>
      <w:r>
        <w:rPr>
          <w:rFonts w:ascii="仿宋" w:eastAsia="仿宋" w:hAnsi="仿宋" w:hint="eastAsia"/>
          <w:sz w:val="32"/>
          <w:szCs w:val="32"/>
        </w:rPr>
        <w:t>，为确保完成全市</w:t>
      </w:r>
      <w:r>
        <w:rPr>
          <w:rFonts w:ascii="仿宋" w:eastAsia="仿宋" w:hAnsi="仿宋" w:hint="eastAsia"/>
          <w:sz w:val="32"/>
          <w:szCs w:val="32"/>
        </w:rPr>
        <w:t>2019</w:t>
      </w:r>
      <w:r>
        <w:rPr>
          <w:rFonts w:ascii="仿宋" w:eastAsia="仿宋" w:hAnsi="仿宋" w:hint="eastAsia"/>
          <w:sz w:val="32"/>
          <w:szCs w:val="32"/>
        </w:rPr>
        <w:t>年能耗“双控”目标任务，制定本工作方案。</w:t>
      </w:r>
    </w:p>
    <w:p w:rsidR="005C505E" w:rsidRDefault="00D61197">
      <w:pPr>
        <w:ind w:firstLineChars="200" w:firstLine="640"/>
        <w:rPr>
          <w:rFonts w:ascii="仿宋" w:eastAsia="仿宋" w:hAnsi="仿宋"/>
          <w:b/>
          <w:sz w:val="32"/>
          <w:szCs w:val="32"/>
        </w:rPr>
      </w:pPr>
      <w:r>
        <w:rPr>
          <w:rFonts w:ascii="黑体" w:eastAsia="黑体" w:hAnsi="黑体" w:cs="黑体" w:hint="eastAsia"/>
          <w:bCs/>
          <w:sz w:val="32"/>
          <w:szCs w:val="32"/>
        </w:rPr>
        <w:t>一、总体要求和目标</w:t>
      </w:r>
    </w:p>
    <w:p w:rsidR="005C505E" w:rsidRDefault="00D61197">
      <w:pPr>
        <w:ind w:firstLineChars="200" w:firstLine="640"/>
        <w:rPr>
          <w:rFonts w:ascii="仿宋" w:eastAsia="仿宋" w:hAnsi="仿宋"/>
          <w:sz w:val="32"/>
          <w:szCs w:val="32"/>
        </w:rPr>
      </w:pPr>
      <w:r>
        <w:rPr>
          <w:rFonts w:ascii="仿宋" w:eastAsia="仿宋" w:hAnsi="仿宋"/>
          <w:sz w:val="32"/>
          <w:szCs w:val="32"/>
        </w:rPr>
        <w:t>按照国家和省统一部署，结合我</w:t>
      </w:r>
      <w:r>
        <w:rPr>
          <w:rFonts w:ascii="仿宋" w:eastAsia="仿宋" w:hAnsi="仿宋" w:hint="eastAsia"/>
          <w:sz w:val="32"/>
          <w:szCs w:val="32"/>
        </w:rPr>
        <w:t>市</w:t>
      </w:r>
      <w:r>
        <w:rPr>
          <w:rFonts w:ascii="仿宋" w:eastAsia="仿宋" w:hAnsi="仿宋" w:hint="eastAsia"/>
          <w:sz w:val="32"/>
          <w:szCs w:val="32"/>
        </w:rPr>
        <w:t>经济发展</w:t>
      </w:r>
      <w:r>
        <w:rPr>
          <w:rFonts w:ascii="仿宋" w:eastAsia="仿宋" w:hAnsi="仿宋"/>
          <w:sz w:val="32"/>
          <w:szCs w:val="32"/>
        </w:rPr>
        <w:t>实际</w:t>
      </w:r>
      <w:r>
        <w:rPr>
          <w:rFonts w:ascii="仿宋" w:eastAsia="仿宋" w:hAnsi="仿宋" w:hint="eastAsia"/>
          <w:sz w:val="32"/>
          <w:szCs w:val="32"/>
        </w:rPr>
        <w:t>,</w:t>
      </w:r>
      <w:r>
        <w:rPr>
          <w:rFonts w:ascii="仿宋" w:eastAsia="仿宋" w:hAnsi="仿宋" w:hint="eastAsia"/>
          <w:sz w:val="32"/>
          <w:szCs w:val="32"/>
        </w:rPr>
        <w:t>加快推动能源结构调整，以能源节约倒逼产业转型升级和经济结构调整，进一步降低单位</w:t>
      </w:r>
      <w:r>
        <w:rPr>
          <w:rFonts w:ascii="仿宋" w:eastAsia="仿宋" w:hAnsi="仿宋" w:hint="eastAsia"/>
          <w:sz w:val="32"/>
          <w:szCs w:val="32"/>
        </w:rPr>
        <w:t>GDP</w:t>
      </w:r>
      <w:r>
        <w:rPr>
          <w:rFonts w:ascii="仿宋" w:eastAsia="仿宋" w:hAnsi="仿宋" w:hint="eastAsia"/>
          <w:sz w:val="32"/>
          <w:szCs w:val="32"/>
        </w:rPr>
        <w:t>能耗、合理控制能源消费总量，促进全市经济平稳健康绿色发展。</w:t>
      </w:r>
      <w:r>
        <w:rPr>
          <w:rFonts w:ascii="仿宋" w:eastAsia="仿宋" w:hAnsi="仿宋" w:hint="eastAsia"/>
          <w:sz w:val="32"/>
          <w:szCs w:val="32"/>
        </w:rPr>
        <w:t>2019</w:t>
      </w:r>
      <w:r>
        <w:rPr>
          <w:rFonts w:ascii="仿宋" w:eastAsia="仿宋" w:hAnsi="仿宋" w:hint="eastAsia"/>
          <w:sz w:val="32"/>
          <w:szCs w:val="32"/>
        </w:rPr>
        <w:t>年全市单位</w:t>
      </w:r>
      <w:r>
        <w:rPr>
          <w:rFonts w:ascii="仿宋" w:eastAsia="仿宋" w:hAnsi="仿宋" w:hint="eastAsia"/>
          <w:sz w:val="32"/>
          <w:szCs w:val="32"/>
        </w:rPr>
        <w:t>GDP</w:t>
      </w:r>
      <w:r>
        <w:rPr>
          <w:rFonts w:ascii="仿宋" w:eastAsia="仿宋" w:hAnsi="仿宋" w:hint="eastAsia"/>
          <w:sz w:val="32"/>
          <w:szCs w:val="32"/>
        </w:rPr>
        <w:t>能耗比</w:t>
      </w:r>
      <w:r>
        <w:rPr>
          <w:rFonts w:ascii="仿宋" w:eastAsia="仿宋" w:hAnsi="仿宋" w:hint="eastAsia"/>
          <w:sz w:val="32"/>
          <w:szCs w:val="32"/>
        </w:rPr>
        <w:t>2018</w:t>
      </w:r>
      <w:r>
        <w:rPr>
          <w:rFonts w:ascii="仿宋" w:eastAsia="仿宋" w:hAnsi="仿宋" w:hint="eastAsia"/>
          <w:sz w:val="32"/>
          <w:szCs w:val="32"/>
        </w:rPr>
        <w:t>年下</w:t>
      </w:r>
      <w:r>
        <w:rPr>
          <w:rFonts w:ascii="仿宋" w:eastAsia="仿宋" w:hAnsi="仿宋" w:hint="eastAsia"/>
          <w:color w:val="000000" w:themeColor="text1"/>
          <w:sz w:val="32"/>
          <w:szCs w:val="32"/>
        </w:rPr>
        <w:t>降</w:t>
      </w:r>
      <w:r>
        <w:rPr>
          <w:rFonts w:ascii="仿宋" w:eastAsia="仿宋" w:hAnsi="仿宋" w:hint="eastAsia"/>
          <w:color w:val="000000" w:themeColor="text1"/>
          <w:sz w:val="32"/>
          <w:szCs w:val="32"/>
        </w:rPr>
        <w:t>4.15</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、能源消费总量新增量控制在</w:t>
      </w:r>
      <w:r>
        <w:rPr>
          <w:rFonts w:ascii="仿宋" w:eastAsia="仿宋" w:hAnsi="仿宋" w:hint="eastAsia"/>
          <w:color w:val="000000" w:themeColor="text1"/>
          <w:sz w:val="32"/>
          <w:szCs w:val="32"/>
        </w:rPr>
        <w:t>25</w:t>
      </w:r>
      <w:r>
        <w:rPr>
          <w:rFonts w:ascii="仿宋" w:eastAsia="仿宋" w:hAnsi="仿宋" w:hint="eastAsia"/>
          <w:color w:val="000000" w:themeColor="text1"/>
          <w:sz w:val="32"/>
          <w:szCs w:val="32"/>
        </w:rPr>
        <w:t>万吨标准煤以内，并按照确保全市完成、</w:t>
      </w:r>
      <w:r>
        <w:rPr>
          <w:rFonts w:ascii="仿宋" w:eastAsia="仿宋" w:hAnsi="仿宋" w:hint="eastAsia"/>
          <w:sz w:val="32"/>
          <w:szCs w:val="32"/>
        </w:rPr>
        <w:t>区别对待、突出重点的原则，将全市能耗“双控”目标分解下达至</w:t>
      </w:r>
      <w:r>
        <w:rPr>
          <w:rFonts w:ascii="仿宋" w:eastAsia="仿宋" w:hAnsi="仿宋" w:cs="仿宋" w:hint="eastAsia"/>
          <w:kern w:val="0"/>
          <w:sz w:val="32"/>
          <w:szCs w:val="32"/>
        </w:rPr>
        <w:t>各县（市、区）</w:t>
      </w:r>
      <w:r>
        <w:rPr>
          <w:rFonts w:ascii="仿宋" w:eastAsia="仿宋" w:hAnsi="仿宋" w:hint="eastAsia"/>
          <w:sz w:val="32"/>
          <w:szCs w:val="32"/>
        </w:rPr>
        <w:t>(</w:t>
      </w:r>
      <w:r>
        <w:rPr>
          <w:rFonts w:ascii="仿宋" w:eastAsia="仿宋" w:hAnsi="仿宋" w:hint="eastAsia"/>
          <w:sz w:val="32"/>
          <w:szCs w:val="32"/>
        </w:rPr>
        <w:t>详见附表</w:t>
      </w:r>
      <w:r>
        <w:rPr>
          <w:rFonts w:ascii="仿宋" w:eastAsia="仿宋" w:hAnsi="仿宋" w:hint="eastAsia"/>
          <w:sz w:val="32"/>
          <w:szCs w:val="32"/>
        </w:rPr>
        <w:t>)</w:t>
      </w:r>
      <w:r>
        <w:rPr>
          <w:rFonts w:ascii="仿宋" w:eastAsia="仿宋" w:hAnsi="仿宋" w:hint="eastAsia"/>
          <w:sz w:val="32"/>
          <w:szCs w:val="32"/>
        </w:rPr>
        <w:t>。</w:t>
      </w:r>
    </w:p>
    <w:p w:rsidR="005C505E" w:rsidRDefault="00D61197">
      <w:pPr>
        <w:ind w:firstLineChars="200" w:firstLine="640"/>
        <w:rPr>
          <w:rFonts w:ascii="仿宋" w:eastAsia="仿宋" w:hAnsi="仿宋"/>
          <w:bCs/>
          <w:sz w:val="32"/>
          <w:szCs w:val="32"/>
        </w:rPr>
      </w:pPr>
      <w:r>
        <w:rPr>
          <w:rFonts w:ascii="黑体" w:eastAsia="黑体" w:hAnsi="黑体" w:cs="黑体" w:hint="eastAsia"/>
          <w:bCs/>
          <w:sz w:val="32"/>
          <w:szCs w:val="32"/>
        </w:rPr>
        <w:t>二、优化产业结构和能源结构</w:t>
      </w:r>
    </w:p>
    <w:p w:rsidR="005C505E" w:rsidRDefault="00D61197">
      <w:pPr>
        <w:ind w:firstLineChars="150" w:firstLine="482"/>
        <w:rPr>
          <w:rFonts w:ascii="仿宋" w:eastAsia="仿宋" w:hAnsi="仿宋"/>
          <w:sz w:val="32"/>
          <w:szCs w:val="32"/>
        </w:rPr>
      </w:pPr>
      <w:r>
        <w:rPr>
          <w:rFonts w:ascii="仿宋" w:eastAsia="仿宋" w:hAnsi="仿宋" w:hint="eastAsia"/>
          <w:b/>
          <w:sz w:val="32"/>
          <w:szCs w:val="32"/>
        </w:rPr>
        <w:t>（一）促进产业转型升级。</w:t>
      </w:r>
      <w:r>
        <w:rPr>
          <w:rFonts w:ascii="仿宋" w:eastAsia="仿宋" w:hAnsi="仿宋" w:hint="eastAsia"/>
          <w:sz w:val="32"/>
          <w:szCs w:val="32"/>
        </w:rPr>
        <w:t>强化节能环保标准约束，坚持淘汰重点耗能行业落后产能，鼓励企业采用先进的工艺技</w:t>
      </w:r>
      <w:r>
        <w:rPr>
          <w:rFonts w:ascii="仿宋" w:eastAsia="仿宋" w:hAnsi="仿宋" w:hint="eastAsia"/>
          <w:sz w:val="32"/>
          <w:szCs w:val="32"/>
        </w:rPr>
        <w:lastRenderedPageBreak/>
        <w:t>术设备实施智能化改造和绿色化转型。贯彻执行省发布的《节能技术设备</w:t>
      </w:r>
      <w:r>
        <w:rPr>
          <w:rFonts w:ascii="仿宋" w:eastAsia="仿宋" w:hAnsi="仿宋" w:hint="eastAsia"/>
          <w:sz w:val="32"/>
          <w:szCs w:val="32"/>
        </w:rPr>
        <w:t>(</w:t>
      </w:r>
      <w:r>
        <w:rPr>
          <w:rFonts w:ascii="仿宋" w:eastAsia="仿宋" w:hAnsi="仿宋" w:hint="eastAsia"/>
          <w:sz w:val="32"/>
          <w:szCs w:val="32"/>
        </w:rPr>
        <w:t>产品</w:t>
      </w:r>
      <w:r>
        <w:rPr>
          <w:rFonts w:ascii="仿宋" w:eastAsia="仿宋" w:hAnsi="仿宋" w:hint="eastAsia"/>
          <w:sz w:val="32"/>
          <w:szCs w:val="32"/>
        </w:rPr>
        <w:t>)</w:t>
      </w:r>
      <w:r>
        <w:rPr>
          <w:rFonts w:ascii="仿宋" w:eastAsia="仿宋" w:hAnsi="仿宋" w:hint="eastAsia"/>
          <w:sz w:val="32"/>
          <w:szCs w:val="32"/>
        </w:rPr>
        <w:t>推荐目录</w:t>
      </w:r>
      <w:r>
        <w:rPr>
          <w:rFonts w:ascii="仿宋" w:eastAsia="仿宋" w:hAnsi="仿宋" w:hint="eastAsia"/>
          <w:sz w:val="32"/>
          <w:szCs w:val="32"/>
        </w:rPr>
        <w:t>(2019</w:t>
      </w:r>
      <w:r>
        <w:rPr>
          <w:rFonts w:ascii="仿宋" w:eastAsia="仿宋" w:hAnsi="仿宋" w:hint="eastAsia"/>
          <w:sz w:val="32"/>
          <w:szCs w:val="32"/>
        </w:rPr>
        <w:t>年本</w:t>
      </w:r>
      <w:r>
        <w:rPr>
          <w:rFonts w:ascii="仿宋" w:eastAsia="仿宋" w:hAnsi="仿宋" w:hint="eastAsia"/>
          <w:sz w:val="32"/>
          <w:szCs w:val="32"/>
        </w:rPr>
        <w:t>)</w:t>
      </w:r>
      <w:r>
        <w:rPr>
          <w:rFonts w:ascii="仿宋" w:eastAsia="仿宋" w:hAnsi="仿宋" w:hint="eastAsia"/>
          <w:sz w:val="32"/>
          <w:szCs w:val="32"/>
        </w:rPr>
        <w:t>》。支持新一代信息技术、高端装备制造、生物医药、数字经济、海洋经济、新能源、节能环保、现代金融等先进制造业、战略性新兴产业、高端服务业发展，加快节能环保技术研发和装备推广应用。</w:t>
      </w:r>
      <w:r>
        <w:rPr>
          <w:rFonts w:ascii="仿宋" w:eastAsia="仿宋" w:hAnsi="仿宋" w:hint="eastAsia"/>
          <w:sz w:val="32"/>
          <w:szCs w:val="32"/>
        </w:rPr>
        <w:t>(</w:t>
      </w:r>
      <w:r>
        <w:rPr>
          <w:rFonts w:ascii="仿宋" w:eastAsia="仿宋" w:hAnsi="仿宋" w:hint="eastAsia"/>
          <w:sz w:val="32"/>
          <w:szCs w:val="32"/>
        </w:rPr>
        <w:t>市工业和信息化局、发展和改革局、科技局，</w:t>
      </w:r>
      <w:r>
        <w:rPr>
          <w:rFonts w:ascii="仿宋" w:eastAsia="仿宋" w:hAnsi="仿宋" w:cs="仿宋" w:hint="eastAsia"/>
          <w:kern w:val="0"/>
          <w:sz w:val="32"/>
          <w:szCs w:val="32"/>
        </w:rPr>
        <w:t>各县（市、区）政府（管委会）</w:t>
      </w:r>
      <w:r>
        <w:rPr>
          <w:rFonts w:ascii="仿宋" w:eastAsia="仿宋" w:hAnsi="仿宋" w:hint="eastAsia"/>
          <w:sz w:val="32"/>
          <w:szCs w:val="32"/>
        </w:rPr>
        <w:t>)</w:t>
      </w:r>
      <w:r>
        <w:rPr>
          <w:rFonts w:ascii="仿宋" w:eastAsia="仿宋" w:hAnsi="仿宋" w:hint="eastAsia"/>
          <w:sz w:val="32"/>
          <w:szCs w:val="32"/>
        </w:rPr>
        <w:t>。</w:t>
      </w:r>
    </w:p>
    <w:p w:rsidR="005C505E" w:rsidRDefault="00D61197">
      <w:pPr>
        <w:ind w:firstLineChars="150" w:firstLine="482"/>
        <w:rPr>
          <w:rFonts w:ascii="仿宋" w:eastAsia="仿宋" w:hAnsi="仿宋"/>
          <w:sz w:val="32"/>
          <w:szCs w:val="32"/>
        </w:rPr>
      </w:pPr>
      <w:r>
        <w:rPr>
          <w:rFonts w:ascii="仿宋" w:eastAsia="仿宋" w:hAnsi="仿宋" w:hint="eastAsia"/>
          <w:b/>
          <w:sz w:val="32"/>
          <w:szCs w:val="32"/>
        </w:rPr>
        <w:t>（二）落实节能审查制度。</w:t>
      </w:r>
      <w:r>
        <w:rPr>
          <w:rFonts w:ascii="仿宋" w:eastAsia="仿宋" w:hAnsi="仿宋" w:hint="eastAsia"/>
          <w:sz w:val="32"/>
          <w:szCs w:val="32"/>
        </w:rPr>
        <w:t>按照国家发展改革委</w:t>
      </w:r>
      <w:r>
        <w:rPr>
          <w:rFonts w:ascii="仿宋" w:eastAsia="仿宋" w:hAnsi="仿宋" w:hint="eastAsia"/>
          <w:sz w:val="32"/>
          <w:szCs w:val="32"/>
        </w:rPr>
        <w:t>44</w:t>
      </w:r>
      <w:r>
        <w:rPr>
          <w:rFonts w:ascii="仿宋" w:eastAsia="仿宋" w:hAnsi="仿宋" w:hint="eastAsia"/>
          <w:sz w:val="32"/>
          <w:szCs w:val="32"/>
        </w:rPr>
        <w:t>号令和《广东省固定资产投资项目节能审查实施</w:t>
      </w:r>
      <w:r>
        <w:rPr>
          <w:rFonts w:ascii="仿宋" w:eastAsia="仿宋" w:hAnsi="仿宋" w:hint="eastAsia"/>
          <w:sz w:val="32"/>
          <w:szCs w:val="32"/>
        </w:rPr>
        <w:t>办法》《广东省企业投资项目分类管理和落地便利化改革实施方案》，进一步完善节能审查制度，切实从源头上提高新上项目能效水平和控制能源消费不合理增长，坚决限批能效水平不达标项目，遏制高耗能行业过快增长。强化节能审查事中事后监管，督促项目单位严格落实节能审查意见，严控不符合强制性节能标准的项目投入生产、使用。规范开展节能审查工作，将固定资产投资项目节能审查纳入投资项目在线审批监管平台。</w:t>
      </w:r>
      <w:r>
        <w:rPr>
          <w:rFonts w:ascii="仿宋" w:eastAsia="仿宋" w:hAnsi="仿宋" w:hint="eastAsia"/>
          <w:sz w:val="32"/>
          <w:szCs w:val="32"/>
        </w:rPr>
        <w:t>(</w:t>
      </w:r>
      <w:r>
        <w:rPr>
          <w:rFonts w:ascii="仿宋" w:eastAsia="仿宋" w:hAnsi="仿宋" w:hint="eastAsia"/>
          <w:sz w:val="32"/>
          <w:szCs w:val="32"/>
        </w:rPr>
        <w:t>市发展和改革局，</w:t>
      </w:r>
      <w:r>
        <w:rPr>
          <w:rFonts w:ascii="仿宋" w:eastAsia="仿宋" w:hAnsi="仿宋" w:cs="仿宋" w:hint="eastAsia"/>
          <w:kern w:val="0"/>
          <w:sz w:val="32"/>
          <w:szCs w:val="32"/>
        </w:rPr>
        <w:t>各县（市、区）政府（管委会）</w:t>
      </w:r>
      <w:r>
        <w:rPr>
          <w:rFonts w:ascii="仿宋" w:eastAsia="仿宋" w:hAnsi="仿宋" w:hint="eastAsia"/>
          <w:sz w:val="32"/>
          <w:szCs w:val="32"/>
        </w:rPr>
        <w:t>)</w:t>
      </w:r>
    </w:p>
    <w:p w:rsidR="005C505E" w:rsidRDefault="00D61197">
      <w:pPr>
        <w:ind w:firstLineChars="150" w:firstLine="482"/>
        <w:rPr>
          <w:rFonts w:ascii="仿宋" w:eastAsia="仿宋" w:hAnsi="仿宋"/>
          <w:sz w:val="32"/>
          <w:szCs w:val="32"/>
        </w:rPr>
      </w:pPr>
      <w:r>
        <w:rPr>
          <w:rFonts w:ascii="仿宋" w:eastAsia="仿宋" w:hAnsi="仿宋" w:hint="eastAsia"/>
          <w:b/>
          <w:sz w:val="32"/>
          <w:szCs w:val="32"/>
        </w:rPr>
        <w:t>（三）加快能源结构调整。</w:t>
      </w:r>
      <w:r>
        <w:rPr>
          <w:rFonts w:ascii="仿宋" w:eastAsia="仿宋" w:hAnsi="仿宋" w:hint="eastAsia"/>
          <w:sz w:val="32"/>
          <w:szCs w:val="32"/>
        </w:rPr>
        <w:t>优化能源布局，着力构建多元能源供应体系。严格控制煤炭消费总</w:t>
      </w:r>
      <w:r>
        <w:rPr>
          <w:rFonts w:ascii="仿宋" w:eastAsia="仿宋" w:hAnsi="仿宋" w:hint="eastAsia"/>
          <w:sz w:val="32"/>
          <w:szCs w:val="32"/>
        </w:rPr>
        <w:t>量。严格执行国家节能发电调度规定。积极开发利用可再生能源，加快海上风电项目建设，适度发展陆上风电，因地制开发利用生物质能，鼓励开发利用太阳能。</w:t>
      </w:r>
      <w:r>
        <w:rPr>
          <w:rFonts w:ascii="仿宋" w:eastAsia="仿宋" w:hAnsi="仿宋" w:hint="eastAsia"/>
          <w:sz w:val="32"/>
          <w:szCs w:val="32"/>
        </w:rPr>
        <w:t>(</w:t>
      </w:r>
      <w:r>
        <w:rPr>
          <w:rFonts w:ascii="仿宋" w:eastAsia="仿宋" w:hAnsi="仿宋" w:hint="eastAsia"/>
          <w:sz w:val="32"/>
          <w:szCs w:val="32"/>
        </w:rPr>
        <w:t>市发展和改革局、生态环境局，</w:t>
      </w:r>
      <w:r>
        <w:rPr>
          <w:rFonts w:ascii="仿宋" w:eastAsia="仿宋" w:hAnsi="仿宋" w:cs="仿宋" w:hint="eastAsia"/>
          <w:kern w:val="0"/>
          <w:sz w:val="32"/>
          <w:szCs w:val="32"/>
        </w:rPr>
        <w:t>各</w:t>
      </w:r>
      <w:r>
        <w:rPr>
          <w:rFonts w:ascii="仿宋" w:eastAsia="仿宋" w:hAnsi="仿宋" w:cs="仿宋" w:hint="eastAsia"/>
          <w:kern w:val="0"/>
          <w:sz w:val="32"/>
          <w:szCs w:val="32"/>
        </w:rPr>
        <w:lastRenderedPageBreak/>
        <w:t>县（市、区）政府（管委会）</w:t>
      </w:r>
      <w:r>
        <w:rPr>
          <w:rFonts w:ascii="仿宋" w:eastAsia="仿宋" w:hAnsi="仿宋" w:hint="eastAsia"/>
          <w:sz w:val="32"/>
          <w:szCs w:val="32"/>
        </w:rPr>
        <w:t>)</w:t>
      </w:r>
    </w:p>
    <w:p w:rsidR="005C505E" w:rsidRDefault="00D61197">
      <w:pPr>
        <w:ind w:firstLineChars="150" w:firstLine="480"/>
        <w:rPr>
          <w:rFonts w:ascii="黑体" w:eastAsia="黑体" w:hAnsi="黑体" w:cs="黑体"/>
          <w:bCs/>
          <w:sz w:val="32"/>
          <w:szCs w:val="32"/>
        </w:rPr>
      </w:pPr>
      <w:r>
        <w:rPr>
          <w:rFonts w:ascii="黑体" w:eastAsia="黑体" w:hAnsi="黑体" w:cs="黑体" w:hint="eastAsia"/>
          <w:bCs/>
          <w:sz w:val="32"/>
          <w:szCs w:val="32"/>
        </w:rPr>
        <w:t>三、加强重点领域节能</w:t>
      </w:r>
    </w:p>
    <w:p w:rsidR="005C505E" w:rsidRDefault="00D61197">
      <w:pPr>
        <w:ind w:firstLineChars="150" w:firstLine="482"/>
        <w:rPr>
          <w:rFonts w:ascii="仿宋" w:eastAsia="仿宋" w:hAnsi="仿宋"/>
          <w:sz w:val="32"/>
          <w:szCs w:val="32"/>
        </w:rPr>
      </w:pPr>
      <w:r>
        <w:rPr>
          <w:rFonts w:ascii="仿宋" w:eastAsia="仿宋" w:hAnsi="仿宋" w:hint="eastAsia"/>
          <w:b/>
          <w:sz w:val="32"/>
          <w:szCs w:val="32"/>
        </w:rPr>
        <w:t>（四）加强工业节能。</w:t>
      </w:r>
      <w:r>
        <w:rPr>
          <w:rFonts w:ascii="仿宋" w:eastAsia="仿宋" w:hAnsi="仿宋" w:hint="eastAsia"/>
          <w:sz w:val="32"/>
          <w:szCs w:val="32"/>
        </w:rPr>
        <w:t>加强工业节能标准引导，在水泥、玻璃、造纸、钢铁、纺织、石化、有色金属等</w:t>
      </w:r>
      <w:r>
        <w:rPr>
          <w:rFonts w:ascii="仿宋" w:eastAsia="仿宋" w:hAnsi="仿宋" w:hint="eastAsia"/>
          <w:sz w:val="32"/>
          <w:szCs w:val="32"/>
        </w:rPr>
        <w:t>7</w:t>
      </w:r>
      <w:r>
        <w:rPr>
          <w:rFonts w:ascii="仿宋" w:eastAsia="仿宋" w:hAnsi="仿宋" w:hint="eastAsia"/>
          <w:sz w:val="32"/>
          <w:szCs w:val="32"/>
        </w:rPr>
        <w:t>个重点行业持续开展能效对标工作，发布年度能效“领跑者”企业和能效标杆值，带动行业能效水平提升。推动清洁生产审核，以高污染高排放行业为重点推动企业开展清洁化改造，通过推广清洁生产先进技术，提升制造</w:t>
      </w:r>
      <w:r>
        <w:rPr>
          <w:rFonts w:ascii="仿宋" w:eastAsia="仿宋" w:hAnsi="仿宋" w:hint="eastAsia"/>
          <w:sz w:val="32"/>
          <w:szCs w:val="32"/>
        </w:rPr>
        <w:t>业企业绿色清洁生产水平，力争全年完成清洁生产审核企业</w:t>
      </w:r>
      <w:r>
        <w:rPr>
          <w:rFonts w:ascii="仿宋" w:eastAsia="仿宋" w:hAnsi="仿宋" w:hint="eastAsia"/>
          <w:sz w:val="32"/>
          <w:szCs w:val="32"/>
        </w:rPr>
        <w:t>30</w:t>
      </w:r>
      <w:r>
        <w:rPr>
          <w:rFonts w:ascii="仿宋" w:eastAsia="仿宋" w:hAnsi="仿宋" w:hint="eastAsia"/>
          <w:sz w:val="32"/>
          <w:szCs w:val="32"/>
        </w:rPr>
        <w:t>家</w:t>
      </w:r>
      <w:r>
        <w:rPr>
          <w:rFonts w:ascii="仿宋" w:eastAsia="仿宋" w:hAnsi="仿宋" w:hint="eastAsia"/>
          <w:sz w:val="32"/>
          <w:szCs w:val="32"/>
        </w:rPr>
        <w:t>数量。构建绿色制造体系，加快现有国家绿色制造系统集成项目建设进度，组织发动企业园区开展国家绿色工厂、绿色设计产品、绿色园区、绿色供应链等国家绿色制造示范创建，引导企业园区提升绿色制造能力水平。</w:t>
      </w:r>
      <w:r>
        <w:rPr>
          <w:rFonts w:ascii="仿宋" w:eastAsia="仿宋" w:hAnsi="仿宋" w:hint="eastAsia"/>
          <w:sz w:val="32"/>
          <w:szCs w:val="32"/>
        </w:rPr>
        <w:t>(</w:t>
      </w:r>
      <w:r>
        <w:rPr>
          <w:rFonts w:ascii="仿宋" w:eastAsia="仿宋" w:hAnsi="仿宋" w:hint="eastAsia"/>
          <w:sz w:val="32"/>
          <w:szCs w:val="32"/>
        </w:rPr>
        <w:t>市工业和信息化局、发展和改革局、生态环境局、市场监督管理局，</w:t>
      </w:r>
      <w:r>
        <w:rPr>
          <w:rFonts w:ascii="仿宋" w:eastAsia="仿宋" w:hAnsi="仿宋" w:cs="仿宋" w:hint="eastAsia"/>
          <w:kern w:val="0"/>
          <w:sz w:val="32"/>
          <w:szCs w:val="32"/>
        </w:rPr>
        <w:t>各县（市、区）政府（管委会）</w:t>
      </w:r>
      <w:r>
        <w:rPr>
          <w:rFonts w:ascii="仿宋" w:eastAsia="仿宋" w:hAnsi="仿宋" w:hint="eastAsia"/>
          <w:sz w:val="32"/>
          <w:szCs w:val="32"/>
        </w:rPr>
        <w:t>)</w:t>
      </w:r>
    </w:p>
    <w:p w:rsidR="005C505E" w:rsidRDefault="00D61197">
      <w:pPr>
        <w:ind w:firstLineChars="200" w:firstLine="643"/>
        <w:rPr>
          <w:rFonts w:ascii="仿宋" w:eastAsia="仿宋" w:hAnsi="仿宋"/>
          <w:sz w:val="32"/>
          <w:szCs w:val="32"/>
        </w:rPr>
      </w:pPr>
      <w:r>
        <w:rPr>
          <w:rFonts w:ascii="仿宋" w:eastAsia="仿宋" w:hAnsi="仿宋" w:hint="eastAsia"/>
          <w:b/>
          <w:sz w:val="32"/>
          <w:szCs w:val="32"/>
        </w:rPr>
        <w:t>（五）开展建</w:t>
      </w:r>
      <w:r>
        <w:rPr>
          <w:rFonts w:ascii="仿宋" w:eastAsia="仿宋" w:hAnsi="仿宋" w:hint="eastAsia"/>
          <w:b/>
          <w:color w:val="000000" w:themeColor="text1"/>
          <w:sz w:val="32"/>
          <w:szCs w:val="32"/>
        </w:rPr>
        <w:t>筑节能。</w:t>
      </w:r>
      <w:r>
        <w:rPr>
          <w:rFonts w:ascii="仿宋" w:eastAsia="仿宋" w:hAnsi="仿宋" w:hint="eastAsia"/>
          <w:color w:val="000000" w:themeColor="text1"/>
          <w:sz w:val="32"/>
          <w:szCs w:val="32"/>
        </w:rPr>
        <w:t>进一步强化城镇新建民用建筑全面执行</w:t>
      </w:r>
      <w:r>
        <w:rPr>
          <w:rFonts w:ascii="仿宋" w:eastAsia="仿宋" w:hAnsi="仿宋" w:hint="eastAsia"/>
          <w:color w:val="000000" w:themeColor="text1"/>
          <w:sz w:val="32"/>
          <w:szCs w:val="32"/>
        </w:rPr>
        <w:t>广东省</w:t>
      </w:r>
      <w:r>
        <w:rPr>
          <w:rFonts w:ascii="仿宋" w:eastAsia="仿宋" w:hAnsi="仿宋" w:hint="eastAsia"/>
          <w:color w:val="000000" w:themeColor="text1"/>
          <w:sz w:val="32"/>
          <w:szCs w:val="32"/>
        </w:rPr>
        <w:t>绿色建筑设计、施工、验收</w:t>
      </w:r>
      <w:r>
        <w:rPr>
          <w:rFonts w:ascii="仿宋" w:eastAsia="仿宋" w:hAnsi="仿宋" w:hint="eastAsia"/>
          <w:color w:val="000000" w:themeColor="text1"/>
          <w:sz w:val="32"/>
          <w:szCs w:val="32"/>
        </w:rPr>
        <w:t>等</w:t>
      </w:r>
      <w:r>
        <w:rPr>
          <w:rFonts w:ascii="仿宋" w:eastAsia="仿宋" w:hAnsi="仿宋" w:hint="eastAsia"/>
          <w:color w:val="000000" w:themeColor="text1"/>
          <w:sz w:val="32"/>
          <w:szCs w:val="32"/>
        </w:rPr>
        <w:t>节能标准。加强民用建筑能耗统计、审计、公示、监测工作，大力推进教育、医疗、商业等重点领域公共建筑能耗监测</w:t>
      </w:r>
      <w:r>
        <w:rPr>
          <w:rFonts w:ascii="仿宋" w:eastAsia="仿宋" w:hAnsi="仿宋" w:hint="eastAsia"/>
          <w:sz w:val="32"/>
          <w:szCs w:val="32"/>
        </w:rPr>
        <w:t>平台建没。督促各县（市、区）</w:t>
      </w:r>
      <w:r>
        <w:rPr>
          <w:rFonts w:ascii="仿宋" w:eastAsia="仿宋" w:hAnsi="仿宋" w:cs="仿宋" w:hint="eastAsia"/>
          <w:kern w:val="0"/>
          <w:sz w:val="32"/>
          <w:szCs w:val="32"/>
        </w:rPr>
        <w:t>政府（管委会）</w:t>
      </w:r>
      <w:r>
        <w:rPr>
          <w:rFonts w:ascii="仿宋" w:eastAsia="仿宋" w:hAnsi="仿宋" w:hint="eastAsia"/>
          <w:sz w:val="32"/>
          <w:szCs w:val="32"/>
        </w:rPr>
        <w:t>贯彻落实《广东省绿色建筑量质齐升三年行动方案</w:t>
      </w:r>
      <w:r>
        <w:rPr>
          <w:rFonts w:ascii="仿宋" w:eastAsia="仿宋" w:hAnsi="仿宋" w:hint="eastAsia"/>
          <w:sz w:val="32"/>
          <w:szCs w:val="32"/>
        </w:rPr>
        <w:t>(2018-2020</w:t>
      </w:r>
      <w:r>
        <w:rPr>
          <w:rFonts w:ascii="仿宋" w:eastAsia="仿宋" w:hAnsi="仿宋" w:hint="eastAsia"/>
          <w:sz w:val="32"/>
          <w:szCs w:val="32"/>
        </w:rPr>
        <w:t>年</w:t>
      </w:r>
      <w:r>
        <w:rPr>
          <w:rFonts w:ascii="仿宋" w:eastAsia="仿宋" w:hAnsi="仿宋" w:hint="eastAsia"/>
          <w:sz w:val="32"/>
          <w:szCs w:val="32"/>
        </w:rPr>
        <w:t>)</w:t>
      </w:r>
      <w:r>
        <w:rPr>
          <w:rFonts w:ascii="仿宋" w:eastAsia="仿宋" w:hAnsi="仿宋" w:hint="eastAsia"/>
          <w:sz w:val="32"/>
          <w:szCs w:val="32"/>
        </w:rPr>
        <w:t>》，制订促进绿色建筑量质齐升的工作措施，力争到</w:t>
      </w:r>
      <w:r>
        <w:rPr>
          <w:rFonts w:ascii="仿宋" w:eastAsia="仿宋" w:hAnsi="仿宋" w:hint="eastAsia"/>
          <w:sz w:val="32"/>
          <w:szCs w:val="32"/>
        </w:rPr>
        <w:t>2019</w:t>
      </w:r>
      <w:r>
        <w:rPr>
          <w:rFonts w:ascii="仿宋" w:eastAsia="仿宋" w:hAnsi="仿宋" w:hint="eastAsia"/>
          <w:sz w:val="32"/>
          <w:szCs w:val="32"/>
        </w:rPr>
        <w:t>年底全市城镇绿色建筑</w:t>
      </w:r>
      <w:r>
        <w:rPr>
          <w:rFonts w:ascii="仿宋" w:eastAsia="仿宋" w:hAnsi="仿宋" w:hint="eastAsia"/>
          <w:sz w:val="32"/>
          <w:szCs w:val="32"/>
        </w:rPr>
        <w:t>面积</w:t>
      </w:r>
      <w:r>
        <w:rPr>
          <w:rFonts w:ascii="仿宋" w:eastAsia="仿宋" w:hAnsi="仿宋" w:hint="eastAsia"/>
          <w:sz w:val="32"/>
          <w:szCs w:val="32"/>
        </w:rPr>
        <w:t>占新建建筑</w:t>
      </w:r>
      <w:r>
        <w:rPr>
          <w:rFonts w:ascii="仿宋" w:eastAsia="仿宋" w:hAnsi="仿宋" w:hint="eastAsia"/>
          <w:sz w:val="32"/>
          <w:szCs w:val="32"/>
        </w:rPr>
        <w:t>面积</w:t>
      </w:r>
      <w:r>
        <w:rPr>
          <w:rFonts w:ascii="仿宋" w:eastAsia="仿宋" w:hAnsi="仿宋" w:hint="eastAsia"/>
          <w:sz w:val="32"/>
          <w:szCs w:val="32"/>
        </w:rPr>
        <w:t>比例达到</w:t>
      </w:r>
      <w:r>
        <w:rPr>
          <w:rFonts w:ascii="仿宋" w:eastAsia="仿宋" w:hAnsi="仿宋" w:hint="eastAsia"/>
          <w:sz w:val="32"/>
          <w:szCs w:val="32"/>
        </w:rPr>
        <w:t>15%</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市住房城乡建设局、发展</w:t>
      </w:r>
      <w:r>
        <w:rPr>
          <w:rFonts w:ascii="仿宋" w:eastAsia="仿宋" w:hAnsi="仿宋" w:hint="eastAsia"/>
          <w:sz w:val="32"/>
          <w:szCs w:val="32"/>
        </w:rPr>
        <w:lastRenderedPageBreak/>
        <w:t>和改革局、教育局、卫生健康局，</w:t>
      </w:r>
      <w:r>
        <w:rPr>
          <w:rFonts w:ascii="仿宋" w:eastAsia="仿宋" w:hAnsi="仿宋" w:cs="仿宋" w:hint="eastAsia"/>
          <w:kern w:val="0"/>
          <w:sz w:val="32"/>
          <w:szCs w:val="32"/>
        </w:rPr>
        <w:t>各县（市、区）政府（管委会）</w:t>
      </w:r>
      <w:r>
        <w:rPr>
          <w:rFonts w:ascii="仿宋" w:eastAsia="仿宋" w:hAnsi="仿宋" w:hint="eastAsia"/>
          <w:sz w:val="32"/>
          <w:szCs w:val="32"/>
        </w:rPr>
        <w:t>)</w:t>
      </w:r>
    </w:p>
    <w:p w:rsidR="005C505E" w:rsidRDefault="00D61197">
      <w:pPr>
        <w:ind w:firstLineChars="200" w:firstLine="643"/>
        <w:rPr>
          <w:rFonts w:ascii="仿宋" w:eastAsia="仿宋" w:hAnsi="仿宋"/>
          <w:color w:val="000000" w:themeColor="text1"/>
          <w:sz w:val="32"/>
          <w:szCs w:val="32"/>
        </w:rPr>
      </w:pPr>
      <w:r>
        <w:rPr>
          <w:rFonts w:ascii="仿宋" w:eastAsia="仿宋" w:hAnsi="仿宋" w:hint="eastAsia"/>
          <w:b/>
          <w:sz w:val="32"/>
          <w:szCs w:val="32"/>
        </w:rPr>
        <w:t>（六）</w:t>
      </w:r>
      <w:r>
        <w:rPr>
          <w:rFonts w:ascii="仿宋" w:eastAsia="仿宋" w:hAnsi="仿宋" w:hint="eastAsia"/>
          <w:b/>
          <w:color w:val="000000" w:themeColor="text1"/>
          <w:sz w:val="32"/>
          <w:szCs w:val="32"/>
        </w:rPr>
        <w:t>促进交通节能。</w:t>
      </w:r>
      <w:r>
        <w:rPr>
          <w:rFonts w:ascii="仿宋" w:eastAsia="仿宋" w:hAnsi="仿宋" w:hint="eastAsia"/>
          <w:color w:val="000000" w:themeColor="text1"/>
          <w:sz w:val="32"/>
          <w:szCs w:val="32"/>
        </w:rPr>
        <w:t>制订交通运输节能相关行动方案或标准规范。</w:t>
      </w:r>
      <w:r>
        <w:rPr>
          <w:rFonts w:ascii="仿宋" w:eastAsia="仿宋" w:hAnsi="仿宋" w:hint="eastAsia"/>
          <w:sz w:val="32"/>
          <w:szCs w:val="32"/>
        </w:rPr>
        <w:t>按照交通运输部《港口岸电布局方案》，大力推进</w:t>
      </w:r>
      <w:r>
        <w:rPr>
          <w:rFonts w:ascii="仿宋" w:eastAsia="仿宋" w:hAnsi="仿宋" w:hint="eastAsia"/>
          <w:sz w:val="32"/>
          <w:szCs w:val="32"/>
        </w:rPr>
        <w:t>全市沿海港口岸电设施建没。继续推动“公交优先”发展战略，深化公交示范都市创建工作，引导提升公交出行水平，城乡</w:t>
      </w:r>
      <w:r>
        <w:rPr>
          <w:rFonts w:ascii="仿宋" w:eastAsia="仿宋" w:hAnsi="仿宋" w:hint="eastAsia"/>
          <w:color w:val="000000" w:themeColor="text1"/>
          <w:sz w:val="32"/>
          <w:szCs w:val="32"/>
        </w:rPr>
        <w:t>客运一体化示范城市建设工作。加快新能源汽车在城市公交、出租汽车和城</w:t>
      </w:r>
      <w:bookmarkStart w:id="0" w:name="_GoBack"/>
      <w:bookmarkEnd w:id="0"/>
      <w:r>
        <w:rPr>
          <w:rFonts w:ascii="仿宋" w:eastAsia="仿宋" w:hAnsi="仿宋" w:hint="eastAsia"/>
          <w:color w:val="000000" w:themeColor="text1"/>
          <w:sz w:val="32"/>
          <w:szCs w:val="32"/>
        </w:rPr>
        <w:t>市配送等领域的推广应用，力争</w:t>
      </w:r>
      <w:r>
        <w:rPr>
          <w:rFonts w:ascii="仿宋" w:eastAsia="仿宋" w:hAnsi="仿宋" w:hint="eastAsia"/>
          <w:color w:val="000000" w:themeColor="text1"/>
          <w:sz w:val="32"/>
          <w:szCs w:val="32"/>
        </w:rPr>
        <w:t>2019</w:t>
      </w:r>
      <w:r>
        <w:rPr>
          <w:rFonts w:ascii="仿宋" w:eastAsia="仿宋" w:hAnsi="仿宋" w:hint="eastAsia"/>
          <w:color w:val="000000" w:themeColor="text1"/>
          <w:sz w:val="32"/>
          <w:szCs w:val="32"/>
        </w:rPr>
        <w:t>年实现全市新能源</w:t>
      </w:r>
      <w:r>
        <w:rPr>
          <w:rFonts w:ascii="仿宋" w:eastAsia="仿宋" w:hAnsi="仿宋" w:hint="eastAsia"/>
          <w:color w:val="000000" w:themeColor="text1"/>
          <w:sz w:val="32"/>
          <w:szCs w:val="32"/>
        </w:rPr>
        <w:t>公交车</w:t>
      </w:r>
      <w:r>
        <w:rPr>
          <w:rFonts w:ascii="仿宋" w:eastAsia="仿宋" w:hAnsi="仿宋" w:hint="eastAsia"/>
          <w:color w:val="000000" w:themeColor="text1"/>
          <w:sz w:val="32"/>
          <w:szCs w:val="32"/>
        </w:rPr>
        <w:t>606</w:t>
      </w:r>
      <w:r>
        <w:rPr>
          <w:rFonts w:ascii="仿宋" w:eastAsia="仿宋" w:hAnsi="仿宋" w:hint="eastAsia"/>
          <w:color w:val="000000" w:themeColor="text1"/>
          <w:sz w:val="32"/>
          <w:szCs w:val="32"/>
        </w:rPr>
        <w:t>辆，其中</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新增</w:t>
      </w:r>
      <w:r>
        <w:rPr>
          <w:rFonts w:ascii="仿宋" w:eastAsia="仿宋" w:hAnsi="仿宋" w:hint="eastAsia"/>
          <w:color w:val="000000" w:themeColor="text1"/>
          <w:sz w:val="32"/>
          <w:szCs w:val="32"/>
        </w:rPr>
        <w:t>新能源公交车辆达</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辆，报废燃油公交车</w:t>
      </w:r>
      <w:r>
        <w:rPr>
          <w:rFonts w:ascii="仿宋" w:eastAsia="仿宋" w:hAnsi="仿宋" w:hint="eastAsia"/>
          <w:color w:val="000000" w:themeColor="text1"/>
          <w:sz w:val="32"/>
          <w:szCs w:val="32"/>
        </w:rPr>
        <w:t>70</w:t>
      </w:r>
      <w:r>
        <w:rPr>
          <w:rFonts w:ascii="仿宋" w:eastAsia="仿宋" w:hAnsi="仿宋" w:hint="eastAsia"/>
          <w:color w:val="000000" w:themeColor="text1"/>
          <w:sz w:val="32"/>
          <w:szCs w:val="32"/>
        </w:rPr>
        <w:t>辆，</w:t>
      </w:r>
      <w:r>
        <w:rPr>
          <w:rFonts w:ascii="仿宋" w:eastAsia="仿宋" w:hAnsi="仿宋" w:hint="eastAsia"/>
          <w:color w:val="000000" w:themeColor="text1"/>
          <w:sz w:val="32"/>
          <w:szCs w:val="32"/>
        </w:rPr>
        <w:t>新能源公交车</w:t>
      </w:r>
      <w:r>
        <w:rPr>
          <w:rFonts w:ascii="仿宋" w:eastAsia="仿宋" w:hAnsi="仿宋" w:hint="eastAsia"/>
          <w:color w:val="000000" w:themeColor="text1"/>
          <w:sz w:val="32"/>
          <w:szCs w:val="32"/>
        </w:rPr>
        <w:t>占公交车总量比例达到</w:t>
      </w:r>
      <w:r>
        <w:rPr>
          <w:rFonts w:ascii="仿宋" w:eastAsia="仿宋" w:hAnsi="仿宋" w:hint="eastAsia"/>
          <w:color w:val="000000" w:themeColor="text1"/>
          <w:sz w:val="32"/>
          <w:szCs w:val="32"/>
        </w:rPr>
        <w:t>80%</w:t>
      </w:r>
      <w:r>
        <w:rPr>
          <w:rFonts w:ascii="仿宋" w:eastAsia="仿宋" w:hAnsi="仿宋" w:hint="eastAsia"/>
          <w:color w:val="000000" w:themeColor="text1"/>
          <w:sz w:val="32"/>
          <w:szCs w:val="32"/>
        </w:rPr>
        <w:t>以上。</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市交通运输局、发展和改革局，</w:t>
      </w:r>
      <w:r>
        <w:rPr>
          <w:rFonts w:ascii="仿宋" w:eastAsia="仿宋" w:hAnsi="仿宋" w:cs="仿宋" w:hint="eastAsia"/>
          <w:color w:val="000000" w:themeColor="text1"/>
          <w:kern w:val="0"/>
          <w:sz w:val="32"/>
          <w:szCs w:val="32"/>
        </w:rPr>
        <w:t>各县（市、区）政府（管委会）</w:t>
      </w:r>
      <w:r>
        <w:rPr>
          <w:rFonts w:ascii="仿宋" w:eastAsia="仿宋" w:hAnsi="仿宋" w:hint="eastAsia"/>
          <w:color w:val="000000" w:themeColor="text1"/>
          <w:sz w:val="32"/>
          <w:szCs w:val="32"/>
        </w:rPr>
        <w:t>)</w:t>
      </w:r>
    </w:p>
    <w:p w:rsidR="005C505E" w:rsidRDefault="00D61197">
      <w:pPr>
        <w:ind w:firstLineChars="150" w:firstLine="482"/>
        <w:rPr>
          <w:rFonts w:ascii="仿宋" w:eastAsia="仿宋" w:hAnsi="仿宋"/>
          <w:sz w:val="32"/>
          <w:szCs w:val="32"/>
        </w:rPr>
      </w:pPr>
      <w:r>
        <w:rPr>
          <w:rFonts w:ascii="仿宋" w:eastAsia="仿宋" w:hAnsi="仿宋" w:hint="eastAsia"/>
          <w:b/>
          <w:color w:val="000000" w:themeColor="text1"/>
          <w:sz w:val="32"/>
          <w:szCs w:val="32"/>
        </w:rPr>
        <w:t>（七）推进公共机构节能。</w:t>
      </w:r>
      <w:r>
        <w:rPr>
          <w:rFonts w:ascii="仿宋" w:eastAsia="仿宋" w:hAnsi="仿宋" w:hint="eastAsia"/>
          <w:color w:val="000000" w:themeColor="text1"/>
          <w:sz w:val="32"/>
          <w:szCs w:val="32"/>
        </w:rPr>
        <w:t>大力推进党政机关集中办公区</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高等院校、医院等公共机构既有建筑综合节能改造，鼓励公共机构釆用合同能源管理、政府和社会资本合作等模式开展节能改造。推动将公共机构节能工作纳入县级人民政府年度绩效考核。继续推动各级各类公共机构建设新能源汽车充电基础设施。贯彻落实《公共机构能源审计管理暂行办法》，积极推进公共机构能源审计工作。积极组织开展</w:t>
      </w:r>
      <w:r>
        <w:rPr>
          <w:rFonts w:ascii="仿宋" w:eastAsia="仿宋" w:hAnsi="仿宋" w:hint="eastAsia"/>
          <w:color w:val="000000" w:themeColor="text1"/>
          <w:sz w:val="32"/>
          <w:szCs w:val="32"/>
        </w:rPr>
        <w:t>2019-2020</w:t>
      </w:r>
      <w:r>
        <w:rPr>
          <w:rFonts w:ascii="仿宋" w:eastAsia="仿宋" w:hAnsi="仿宋" w:hint="eastAsia"/>
          <w:color w:val="000000" w:themeColor="text1"/>
          <w:sz w:val="32"/>
          <w:szCs w:val="32"/>
        </w:rPr>
        <w:t>年国家节约型公共机构示范创建单位的相关工作。</w:t>
      </w:r>
      <w:r>
        <w:rPr>
          <w:rFonts w:ascii="仿宋" w:eastAsia="仿宋" w:hAnsi="仿宋" w:hint="eastAsia"/>
          <w:color w:val="000000" w:themeColor="text1"/>
          <w:sz w:val="32"/>
          <w:szCs w:val="32"/>
        </w:rPr>
        <w:t>加快</w:t>
      </w:r>
      <w:r>
        <w:rPr>
          <w:rFonts w:ascii="仿宋" w:eastAsia="仿宋" w:hAnsi="仿宋" w:hint="eastAsia"/>
          <w:color w:val="000000" w:themeColor="text1"/>
          <w:sz w:val="32"/>
          <w:szCs w:val="32"/>
        </w:rPr>
        <w:t>推动</w:t>
      </w:r>
      <w:r>
        <w:rPr>
          <w:rFonts w:ascii="仿宋" w:eastAsia="仿宋" w:hAnsi="仿宋" w:hint="eastAsia"/>
          <w:color w:val="000000" w:themeColor="text1"/>
          <w:sz w:val="32"/>
          <w:szCs w:val="32"/>
        </w:rPr>
        <w:t>40%</w:t>
      </w:r>
      <w:r>
        <w:rPr>
          <w:rFonts w:ascii="仿宋" w:eastAsia="仿宋" w:hAnsi="仿宋" w:hint="eastAsia"/>
          <w:color w:val="000000" w:themeColor="text1"/>
          <w:sz w:val="32"/>
          <w:szCs w:val="32"/>
        </w:rPr>
        <w:t>市直机关完成公共机构节水型单位建设任务。</w:t>
      </w:r>
      <w:r>
        <w:rPr>
          <w:rFonts w:ascii="仿宋" w:eastAsia="仿宋" w:hAnsi="仿宋" w:hint="eastAsia"/>
          <w:color w:val="000000" w:themeColor="text1"/>
          <w:sz w:val="32"/>
          <w:szCs w:val="32"/>
        </w:rPr>
        <w:t>2019</w:t>
      </w:r>
      <w:r>
        <w:rPr>
          <w:rFonts w:ascii="仿宋" w:eastAsia="仿宋" w:hAnsi="仿宋" w:hint="eastAsia"/>
          <w:color w:val="000000" w:themeColor="text1"/>
          <w:sz w:val="32"/>
          <w:szCs w:val="32"/>
        </w:rPr>
        <w:t>年公共机构人均综合能耗、单位建筑面积能耗、人均用水</w:t>
      </w:r>
      <w:r>
        <w:rPr>
          <w:rFonts w:ascii="仿宋" w:eastAsia="仿宋" w:hAnsi="仿宋" w:hint="eastAsia"/>
          <w:sz w:val="32"/>
          <w:szCs w:val="32"/>
        </w:rPr>
        <w:t>量分别</w:t>
      </w:r>
      <w:r>
        <w:rPr>
          <w:rFonts w:ascii="仿宋" w:eastAsia="仿宋" w:hAnsi="仿宋" w:hint="eastAsia"/>
          <w:sz w:val="32"/>
          <w:szCs w:val="32"/>
        </w:rPr>
        <w:lastRenderedPageBreak/>
        <w:t>比</w:t>
      </w:r>
      <w:r>
        <w:rPr>
          <w:rFonts w:ascii="仿宋" w:eastAsia="仿宋" w:hAnsi="仿宋" w:hint="eastAsia"/>
          <w:sz w:val="32"/>
          <w:szCs w:val="32"/>
        </w:rPr>
        <w:t>2015</w:t>
      </w:r>
      <w:r>
        <w:rPr>
          <w:rFonts w:ascii="仿宋" w:eastAsia="仿宋" w:hAnsi="仿宋" w:hint="eastAsia"/>
          <w:sz w:val="32"/>
          <w:szCs w:val="32"/>
        </w:rPr>
        <w:t>年下降</w:t>
      </w:r>
      <w:r>
        <w:rPr>
          <w:rFonts w:ascii="仿宋" w:eastAsia="仿宋" w:hAnsi="仿宋" w:hint="eastAsia"/>
          <w:sz w:val="32"/>
          <w:szCs w:val="32"/>
        </w:rPr>
        <w:t>7.2%</w:t>
      </w: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w:t>
      </w:r>
      <w:r>
        <w:rPr>
          <w:rFonts w:ascii="仿宋" w:eastAsia="仿宋" w:hAnsi="仿宋" w:hint="eastAsia"/>
          <w:sz w:val="32"/>
          <w:szCs w:val="32"/>
        </w:rPr>
        <w:t>12%</w:t>
      </w:r>
      <w:r>
        <w:rPr>
          <w:rFonts w:ascii="仿宋" w:eastAsia="仿宋" w:hAnsi="仿宋" w:hint="eastAsia"/>
          <w:sz w:val="32"/>
          <w:szCs w:val="32"/>
        </w:rPr>
        <w:t>（市发</w:t>
      </w:r>
      <w:r>
        <w:rPr>
          <w:rFonts w:ascii="仿宋" w:eastAsia="仿宋" w:hAnsi="仿宋" w:hint="eastAsia"/>
          <w:color w:val="000000" w:themeColor="text1"/>
          <w:sz w:val="32"/>
          <w:szCs w:val="32"/>
        </w:rPr>
        <w:t>展和改革局、</w:t>
      </w:r>
      <w:r>
        <w:rPr>
          <w:rFonts w:ascii="仿宋" w:eastAsia="仿宋" w:hAnsi="仿宋" w:hint="eastAsia"/>
          <w:color w:val="000000" w:themeColor="text1"/>
          <w:sz w:val="32"/>
          <w:szCs w:val="32"/>
        </w:rPr>
        <w:t>财政局、</w:t>
      </w:r>
      <w:r>
        <w:rPr>
          <w:rFonts w:ascii="仿宋" w:eastAsia="仿宋" w:hAnsi="仿宋" w:hint="eastAsia"/>
          <w:color w:val="000000" w:themeColor="text1"/>
          <w:sz w:val="32"/>
          <w:szCs w:val="32"/>
        </w:rPr>
        <w:t>教育局、卫生健康局、水利局，</w:t>
      </w:r>
      <w:r>
        <w:rPr>
          <w:rFonts w:ascii="仿宋" w:eastAsia="仿宋" w:hAnsi="仿宋" w:cs="仿宋" w:hint="eastAsia"/>
          <w:color w:val="000000" w:themeColor="text1"/>
          <w:kern w:val="0"/>
          <w:sz w:val="32"/>
          <w:szCs w:val="32"/>
        </w:rPr>
        <w:t>各县（市</w:t>
      </w:r>
      <w:r>
        <w:rPr>
          <w:rFonts w:ascii="仿宋" w:eastAsia="仿宋" w:hAnsi="仿宋" w:cs="仿宋" w:hint="eastAsia"/>
          <w:kern w:val="0"/>
          <w:sz w:val="32"/>
          <w:szCs w:val="32"/>
        </w:rPr>
        <w:t>、区）政府（管委会）</w:t>
      </w:r>
      <w:r>
        <w:rPr>
          <w:rFonts w:ascii="仿宋" w:eastAsia="仿宋" w:hAnsi="仿宋" w:hint="eastAsia"/>
          <w:sz w:val="32"/>
          <w:szCs w:val="32"/>
        </w:rPr>
        <w:t>)</w:t>
      </w:r>
    </w:p>
    <w:p w:rsidR="005C505E" w:rsidRDefault="00D61197">
      <w:pPr>
        <w:ind w:firstLineChars="150" w:firstLine="482"/>
        <w:rPr>
          <w:rFonts w:ascii="仿宋" w:eastAsia="仿宋" w:hAnsi="仿宋"/>
          <w:sz w:val="32"/>
          <w:szCs w:val="32"/>
        </w:rPr>
      </w:pPr>
      <w:r>
        <w:rPr>
          <w:rFonts w:ascii="仿宋" w:eastAsia="仿宋" w:hAnsi="仿宋" w:hint="eastAsia"/>
          <w:b/>
          <w:sz w:val="32"/>
          <w:szCs w:val="32"/>
        </w:rPr>
        <w:t>（八）加强重点用能单位节能管理。</w:t>
      </w:r>
      <w:r>
        <w:rPr>
          <w:rFonts w:ascii="仿宋" w:eastAsia="仿宋" w:hAnsi="仿宋" w:hint="eastAsia"/>
          <w:sz w:val="32"/>
          <w:szCs w:val="32"/>
        </w:rPr>
        <w:t>落实重点用能单位“百千万”行动计划，开展重点用能单位“双控”目标责任评价考核，推动与引导重点用能单位加强用能管理，实施节能技术改造，大幅提高能源利用效率。提高节能管理信息化水平，加强能源利用状况分析，扩大重点用能单位能耗在线监测系统覆盖面，加快重点用能单位建</w:t>
      </w:r>
      <w:r>
        <w:rPr>
          <w:rFonts w:ascii="仿宋" w:eastAsia="仿宋" w:hAnsi="仿宋" w:hint="eastAsia"/>
          <w:color w:val="000000" w:themeColor="text1"/>
          <w:sz w:val="32"/>
          <w:szCs w:val="32"/>
        </w:rPr>
        <w:t>设接入端系统，提高市、县企业能源管理中心数据对接质量，促进互联网与节能工作深度融合</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推</w:t>
      </w:r>
      <w:r>
        <w:rPr>
          <w:rFonts w:ascii="仿宋" w:eastAsia="仿宋" w:hAnsi="仿宋" w:hint="eastAsia"/>
          <w:color w:val="000000" w:themeColor="text1"/>
          <w:sz w:val="32"/>
          <w:szCs w:val="32"/>
        </w:rPr>
        <w:t>进重点用能单位完善能源计量体系。</w:t>
      </w:r>
      <w:r>
        <w:rPr>
          <w:rFonts w:ascii="仿宋" w:eastAsia="仿宋" w:hAnsi="仿宋" w:hint="eastAsia"/>
          <w:color w:val="000000" w:themeColor="text1"/>
          <w:sz w:val="32"/>
          <w:szCs w:val="32"/>
        </w:rPr>
        <w:t>加强重点用</w:t>
      </w:r>
      <w:r>
        <w:rPr>
          <w:rFonts w:ascii="仿宋" w:eastAsia="仿宋" w:hAnsi="仿宋" w:hint="eastAsia"/>
          <w:color w:val="000000" w:themeColor="text1"/>
          <w:sz w:val="32"/>
          <w:szCs w:val="32"/>
        </w:rPr>
        <w:t>能单位能源计量器具的配备和管理，</w:t>
      </w:r>
      <w:r>
        <w:rPr>
          <w:rFonts w:ascii="仿宋" w:eastAsia="仿宋" w:hAnsi="仿宋" w:hint="eastAsia"/>
          <w:color w:val="000000" w:themeColor="text1"/>
          <w:sz w:val="32"/>
          <w:szCs w:val="32"/>
        </w:rPr>
        <w:t>健全能源计量管理制度。加强能效标准监督检查，对重点用能</w:t>
      </w:r>
      <w:r>
        <w:rPr>
          <w:rFonts w:ascii="仿宋" w:eastAsia="仿宋" w:hAnsi="仿宋" w:hint="eastAsia"/>
          <w:sz w:val="32"/>
          <w:szCs w:val="32"/>
        </w:rPr>
        <w:t>单位产品进行抽样检查。</w:t>
      </w:r>
      <w:r>
        <w:rPr>
          <w:rFonts w:ascii="仿宋" w:eastAsia="仿宋" w:hAnsi="仿宋" w:hint="eastAsia"/>
          <w:sz w:val="32"/>
          <w:szCs w:val="32"/>
        </w:rPr>
        <w:t>(</w:t>
      </w:r>
      <w:r>
        <w:rPr>
          <w:rFonts w:ascii="仿宋" w:eastAsia="仿宋" w:hAnsi="仿宋" w:hint="eastAsia"/>
          <w:sz w:val="32"/>
          <w:szCs w:val="32"/>
        </w:rPr>
        <w:t>市发展和改革局、市场监督管理局，</w:t>
      </w:r>
      <w:r>
        <w:rPr>
          <w:rFonts w:ascii="仿宋" w:eastAsia="仿宋" w:hAnsi="仿宋" w:cs="仿宋" w:hint="eastAsia"/>
          <w:kern w:val="0"/>
          <w:sz w:val="32"/>
          <w:szCs w:val="32"/>
        </w:rPr>
        <w:t>各县（市、区）政府（管委会）</w:t>
      </w:r>
      <w:r>
        <w:rPr>
          <w:rFonts w:ascii="仿宋" w:eastAsia="仿宋" w:hAnsi="仿宋" w:hint="eastAsia"/>
          <w:sz w:val="32"/>
          <w:szCs w:val="32"/>
        </w:rPr>
        <w:t>)</w:t>
      </w:r>
    </w:p>
    <w:p w:rsidR="005C505E" w:rsidRDefault="00D61197">
      <w:pPr>
        <w:ind w:firstLineChars="150" w:firstLine="482"/>
        <w:rPr>
          <w:rFonts w:ascii="仿宋" w:eastAsia="仿宋" w:hAnsi="仿宋"/>
          <w:sz w:val="32"/>
          <w:szCs w:val="32"/>
        </w:rPr>
      </w:pPr>
      <w:r>
        <w:rPr>
          <w:rFonts w:ascii="仿宋" w:eastAsia="仿宋" w:hAnsi="仿宋" w:hint="eastAsia"/>
          <w:b/>
          <w:sz w:val="32"/>
          <w:szCs w:val="32"/>
        </w:rPr>
        <w:t>（九）强化重点用能设备节能管理。</w:t>
      </w:r>
      <w:r>
        <w:rPr>
          <w:rFonts w:ascii="仿宋" w:eastAsia="仿宋" w:hAnsi="仿宋" w:hint="eastAsia"/>
          <w:sz w:val="32"/>
          <w:szCs w:val="32"/>
        </w:rPr>
        <w:t>加强重点耗能设备能效限额监管，构建安全、节能、环保三位一体的监管体系。对不符合节能环保要求的锅炉严格禁入，对国家或省明令淘汰的高污染高耗能锅炉进行统计梳理，列出停止使用和限期整改日程。加强淘汰低效电机、变压器等用能设备，全面提升重点用能设备能效水平。组织开展重点用能单位能源计量服务，总结相关典型案例和成功</w:t>
      </w:r>
      <w:r>
        <w:rPr>
          <w:rFonts w:ascii="仿宋" w:eastAsia="仿宋" w:hAnsi="仿宋" w:hint="eastAsia"/>
          <w:sz w:val="32"/>
          <w:szCs w:val="32"/>
        </w:rPr>
        <w:t>经验。</w:t>
      </w:r>
      <w:r>
        <w:rPr>
          <w:rFonts w:ascii="仿宋" w:eastAsia="仿宋" w:hAnsi="仿宋" w:hint="eastAsia"/>
          <w:sz w:val="32"/>
          <w:szCs w:val="32"/>
        </w:rPr>
        <w:t>(</w:t>
      </w:r>
      <w:r>
        <w:rPr>
          <w:rFonts w:ascii="仿宋" w:eastAsia="仿宋" w:hAnsi="仿宋" w:hint="eastAsia"/>
          <w:sz w:val="32"/>
          <w:szCs w:val="32"/>
        </w:rPr>
        <w:t>市发展和改革委、</w:t>
      </w:r>
      <w:r>
        <w:rPr>
          <w:rFonts w:ascii="仿宋" w:eastAsia="仿宋" w:hAnsi="仿宋" w:hint="eastAsia"/>
          <w:sz w:val="32"/>
          <w:szCs w:val="32"/>
        </w:rPr>
        <w:lastRenderedPageBreak/>
        <w:t>市场监督管理局、生态环境局，</w:t>
      </w:r>
      <w:r>
        <w:rPr>
          <w:rFonts w:ascii="仿宋" w:eastAsia="仿宋" w:hAnsi="仿宋" w:cs="仿宋" w:hint="eastAsia"/>
          <w:kern w:val="0"/>
          <w:sz w:val="32"/>
          <w:szCs w:val="32"/>
        </w:rPr>
        <w:t>各县（市、区）政府（管委会）</w:t>
      </w:r>
      <w:r>
        <w:rPr>
          <w:rFonts w:ascii="仿宋" w:eastAsia="仿宋" w:hAnsi="仿宋" w:hint="eastAsia"/>
          <w:sz w:val="32"/>
          <w:szCs w:val="32"/>
        </w:rPr>
        <w:t>)</w:t>
      </w:r>
    </w:p>
    <w:p w:rsidR="005C505E" w:rsidRDefault="00D61197">
      <w:pPr>
        <w:ind w:firstLineChars="150" w:firstLine="480"/>
        <w:rPr>
          <w:rFonts w:ascii="仿宋" w:eastAsia="仿宋" w:hAnsi="仿宋"/>
          <w:b/>
          <w:sz w:val="32"/>
          <w:szCs w:val="32"/>
        </w:rPr>
      </w:pPr>
      <w:r>
        <w:rPr>
          <w:rFonts w:ascii="黑体" w:eastAsia="黑体" w:hAnsi="黑体" w:cs="黑体" w:hint="eastAsia"/>
          <w:bCs/>
          <w:sz w:val="32"/>
          <w:szCs w:val="32"/>
        </w:rPr>
        <w:t>四、完善节能支持政策和市场化机制</w:t>
      </w:r>
    </w:p>
    <w:p w:rsidR="005C505E" w:rsidRDefault="00D61197">
      <w:pPr>
        <w:ind w:firstLineChars="150" w:firstLine="482"/>
        <w:rPr>
          <w:rFonts w:ascii="仿宋" w:eastAsia="仿宋" w:hAnsi="仿宋"/>
          <w:color w:val="000000" w:themeColor="text1"/>
          <w:sz w:val="32"/>
          <w:szCs w:val="32"/>
        </w:rPr>
      </w:pPr>
      <w:r>
        <w:rPr>
          <w:rFonts w:ascii="仿宋" w:eastAsia="仿宋" w:hAnsi="仿宋" w:hint="eastAsia"/>
          <w:b/>
          <w:sz w:val="32"/>
          <w:szCs w:val="32"/>
        </w:rPr>
        <w:t>（十）完善价格政策。贯彻</w:t>
      </w:r>
      <w:r>
        <w:rPr>
          <w:rFonts w:ascii="仿宋" w:eastAsia="仿宋" w:hAnsi="仿宋" w:hint="eastAsia"/>
          <w:sz w:val="32"/>
          <w:szCs w:val="32"/>
        </w:rPr>
        <w:t>落实国家差别电价、阶梯电价和惩罚性电价等价格政策，继续组织开展粗钢生产企业和水泥生产企业执行阶梯电价政策的相关核查工作，严格开展相关行业能耗限额执行情况专项监察，公布超能耗限额标准企业名单，对</w:t>
      </w:r>
      <w:r>
        <w:rPr>
          <w:rFonts w:ascii="仿宋" w:eastAsia="仿宋" w:hAnsi="仿宋" w:hint="eastAsia"/>
          <w:color w:val="000000" w:themeColor="text1"/>
          <w:sz w:val="32"/>
          <w:szCs w:val="32"/>
        </w:rPr>
        <w:t>能耗数据无法溯源视同超能耗限额执行相应价格政策。</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市发展和改革局、工业和信息化局，</w:t>
      </w:r>
      <w:r>
        <w:rPr>
          <w:rFonts w:ascii="仿宋" w:eastAsia="仿宋" w:hAnsi="仿宋" w:cs="仿宋" w:hint="eastAsia"/>
          <w:color w:val="000000" w:themeColor="text1"/>
          <w:kern w:val="0"/>
          <w:sz w:val="32"/>
          <w:szCs w:val="32"/>
        </w:rPr>
        <w:t>各县（市、区）政府（管委会）</w:t>
      </w:r>
      <w:r>
        <w:rPr>
          <w:rFonts w:ascii="仿宋" w:eastAsia="仿宋" w:hAnsi="仿宋" w:hint="eastAsia"/>
          <w:color w:val="000000" w:themeColor="text1"/>
          <w:sz w:val="32"/>
          <w:szCs w:val="32"/>
        </w:rPr>
        <w:t>)</w:t>
      </w:r>
    </w:p>
    <w:p w:rsidR="005C505E" w:rsidRDefault="00D61197">
      <w:pPr>
        <w:ind w:firstLineChars="150" w:firstLine="482"/>
        <w:rPr>
          <w:rFonts w:ascii="仿宋" w:eastAsia="仿宋" w:hAnsi="仿宋"/>
          <w:color w:val="000000" w:themeColor="text1"/>
          <w:sz w:val="32"/>
          <w:szCs w:val="32"/>
        </w:rPr>
      </w:pPr>
      <w:r>
        <w:rPr>
          <w:rFonts w:ascii="仿宋" w:eastAsia="仿宋" w:hAnsi="仿宋" w:hint="eastAsia"/>
          <w:b/>
          <w:color w:val="000000" w:themeColor="text1"/>
          <w:sz w:val="32"/>
          <w:szCs w:val="32"/>
        </w:rPr>
        <w:t>（十一）完善财政税收激励政策。</w:t>
      </w:r>
      <w:r>
        <w:rPr>
          <w:rFonts w:ascii="仿宋" w:eastAsia="仿宋" w:hAnsi="仿宋" w:hint="eastAsia"/>
          <w:color w:val="000000" w:themeColor="text1"/>
          <w:sz w:val="32"/>
          <w:szCs w:val="32"/>
        </w:rPr>
        <w:t>加大节能减排相关资金统筹力度，资金安排紧紧围绕中心工作，突出重点、有保有压。创新财政资金支持节能重点工程的方式，有效发挥财政资金的引导和杠杆作用。贯彻落实国家节能环保产品政府强制采购和优先采购制度。落实支持节能企业所得税、增值税政策，落实合同能源管理等节能服务公司税收优惠政策。</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市</w:t>
      </w:r>
      <w:r>
        <w:rPr>
          <w:rFonts w:ascii="仿宋" w:eastAsia="仿宋" w:hAnsi="仿宋" w:hint="eastAsia"/>
          <w:color w:val="000000" w:themeColor="text1"/>
          <w:sz w:val="32"/>
          <w:szCs w:val="32"/>
        </w:rPr>
        <w:t>发展和改革局、财政局、税务局、各县（市、区）政府（管委会）</w:t>
      </w:r>
      <w:r>
        <w:rPr>
          <w:rFonts w:ascii="仿宋" w:eastAsia="仿宋" w:hAnsi="仿宋" w:hint="eastAsia"/>
          <w:color w:val="000000" w:themeColor="text1"/>
          <w:sz w:val="32"/>
          <w:szCs w:val="32"/>
        </w:rPr>
        <w:t>)</w:t>
      </w:r>
    </w:p>
    <w:p w:rsidR="005C505E" w:rsidRDefault="00D61197">
      <w:pPr>
        <w:ind w:firstLineChars="150" w:firstLine="482"/>
        <w:rPr>
          <w:rFonts w:ascii="仿宋" w:eastAsia="仿宋" w:hAnsi="仿宋"/>
          <w:color w:val="000000" w:themeColor="text1"/>
          <w:sz w:val="32"/>
          <w:szCs w:val="32"/>
        </w:rPr>
      </w:pPr>
      <w:r>
        <w:rPr>
          <w:rFonts w:ascii="仿宋" w:eastAsia="仿宋" w:hAnsi="仿宋" w:hint="eastAsia"/>
          <w:b/>
          <w:color w:val="000000" w:themeColor="text1"/>
          <w:sz w:val="32"/>
          <w:szCs w:val="32"/>
        </w:rPr>
        <w:t>（十二）加强绿色金融和市场化建设。</w:t>
      </w:r>
      <w:r>
        <w:rPr>
          <w:rFonts w:ascii="仿宋" w:eastAsia="仿宋" w:hAnsi="仿宋" w:hint="eastAsia"/>
          <w:color w:val="000000" w:themeColor="text1"/>
          <w:sz w:val="32"/>
          <w:szCs w:val="32"/>
        </w:rPr>
        <w:t>进一步强化市有关部门与各县（市</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区）的协调和联动</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绿色项目清单及时上传绿色企业</w:t>
      </w:r>
      <w:r>
        <w:rPr>
          <w:rFonts w:ascii="仿宋" w:eastAsia="仿宋" w:hAnsi="仿宋" w:hint="eastAsia"/>
          <w:color w:val="000000" w:themeColor="text1"/>
          <w:sz w:val="32"/>
          <w:szCs w:val="32"/>
        </w:rPr>
        <w:t>和项目融资对接系统并动态更新，为绿色产业、项目融资对接提</w:t>
      </w:r>
      <w:r>
        <w:rPr>
          <w:rFonts w:ascii="仿宋" w:eastAsia="仿宋" w:hAnsi="仿宋" w:hint="eastAsia"/>
          <w:color w:val="000000" w:themeColor="text1"/>
          <w:sz w:val="32"/>
          <w:szCs w:val="32"/>
        </w:rPr>
        <w:t>供便利条件。加大绿色小额信贷、绿色融资</w:t>
      </w:r>
      <w:r>
        <w:rPr>
          <w:rFonts w:ascii="仿宋" w:eastAsia="仿宋" w:hAnsi="仿宋" w:hint="eastAsia"/>
          <w:color w:val="000000" w:themeColor="text1"/>
          <w:sz w:val="32"/>
          <w:szCs w:val="32"/>
        </w:rPr>
        <w:lastRenderedPageBreak/>
        <w:t>担保、绿色融资租赁、绿色商业保理等绿色金融业务的创新力度，满足企业节能降耗、技术改造等项目的多层次金融服务需求。加强亚行能效电厂项目宣传推广和项目征集，充分发挥亚行低息贷款对重点节能工程的支持作用。推行节能低碳环保，鼓励电力用户积极采用节电技术产品，优化用电方式</w:t>
      </w:r>
      <w:r>
        <w:rPr>
          <w:rFonts w:ascii="仿宋" w:eastAsia="仿宋" w:hAnsi="仿宋" w:hint="eastAsia"/>
          <w:color w:val="000000" w:themeColor="text1"/>
          <w:sz w:val="32"/>
          <w:szCs w:val="32"/>
        </w:rPr>
        <w:t>,2019</w:t>
      </w:r>
      <w:r>
        <w:rPr>
          <w:rFonts w:ascii="仿宋" w:eastAsia="仿宋" w:hAnsi="仿宋" w:hint="eastAsia"/>
          <w:color w:val="000000" w:themeColor="text1"/>
          <w:sz w:val="32"/>
          <w:szCs w:val="32"/>
        </w:rPr>
        <w:t>年计划完成节约电力</w:t>
      </w:r>
      <w:r>
        <w:rPr>
          <w:rFonts w:ascii="仿宋" w:eastAsia="仿宋" w:hAnsi="仿宋" w:hint="eastAsia"/>
          <w:color w:val="000000" w:themeColor="text1"/>
          <w:sz w:val="32"/>
          <w:szCs w:val="32"/>
        </w:rPr>
        <w:t>0.91</w:t>
      </w:r>
      <w:r>
        <w:rPr>
          <w:rFonts w:ascii="仿宋" w:eastAsia="仿宋" w:hAnsi="仿宋" w:hint="eastAsia"/>
          <w:color w:val="000000" w:themeColor="text1"/>
          <w:sz w:val="32"/>
          <w:szCs w:val="32"/>
        </w:rPr>
        <w:t>万千瓦，节约电量</w:t>
      </w:r>
      <w:r>
        <w:rPr>
          <w:rFonts w:ascii="仿宋" w:eastAsia="仿宋" w:hAnsi="仿宋" w:hint="eastAsia"/>
          <w:color w:val="000000" w:themeColor="text1"/>
          <w:sz w:val="32"/>
          <w:szCs w:val="32"/>
        </w:rPr>
        <w:t>0.41</w:t>
      </w:r>
      <w:r>
        <w:rPr>
          <w:rFonts w:ascii="仿宋" w:eastAsia="仿宋" w:hAnsi="仿宋" w:hint="eastAsia"/>
          <w:color w:val="000000" w:themeColor="text1"/>
          <w:sz w:val="32"/>
          <w:szCs w:val="32"/>
        </w:rPr>
        <w:t>亿千瓦时。</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市发展和改革局，人行揭阳市中心支行、揭阳银保监分局，市金融工作局，揭阳供电局，各县（市、区）政府（管委会）</w:t>
      </w:r>
      <w:r>
        <w:rPr>
          <w:rFonts w:ascii="仿宋" w:eastAsia="仿宋" w:hAnsi="仿宋" w:hint="eastAsia"/>
          <w:color w:val="000000" w:themeColor="text1"/>
          <w:sz w:val="32"/>
          <w:szCs w:val="32"/>
        </w:rPr>
        <w:t>)</w:t>
      </w:r>
    </w:p>
    <w:p w:rsidR="005C505E" w:rsidRDefault="00D61197">
      <w:pPr>
        <w:ind w:firstLineChars="150" w:firstLine="480"/>
        <w:rPr>
          <w:rFonts w:ascii="仿宋" w:eastAsia="仿宋" w:hAnsi="仿宋"/>
          <w:b/>
          <w:color w:val="000000" w:themeColor="text1"/>
          <w:sz w:val="32"/>
          <w:szCs w:val="32"/>
        </w:rPr>
      </w:pPr>
      <w:r>
        <w:rPr>
          <w:rFonts w:ascii="黑体" w:eastAsia="黑体" w:hAnsi="黑体" w:cs="黑体" w:hint="eastAsia"/>
          <w:bCs/>
          <w:sz w:val="32"/>
          <w:szCs w:val="32"/>
        </w:rPr>
        <w:t>五、落实节能目标责任</w:t>
      </w:r>
    </w:p>
    <w:p w:rsidR="005C505E" w:rsidRDefault="00D61197">
      <w:pPr>
        <w:ind w:firstLineChars="150" w:firstLine="482"/>
        <w:rPr>
          <w:rFonts w:ascii="仿宋" w:eastAsia="仿宋" w:hAnsi="仿宋"/>
          <w:color w:val="000000" w:themeColor="text1"/>
          <w:sz w:val="32"/>
          <w:szCs w:val="32"/>
        </w:rPr>
      </w:pPr>
      <w:r>
        <w:rPr>
          <w:rFonts w:ascii="仿宋" w:eastAsia="仿宋" w:hAnsi="仿宋" w:hint="eastAsia"/>
          <w:b/>
          <w:color w:val="000000" w:themeColor="text1"/>
          <w:sz w:val="32"/>
          <w:szCs w:val="32"/>
        </w:rPr>
        <w:t>（十三）强化能耗“双控”目标责任。</w:t>
      </w:r>
      <w:r>
        <w:rPr>
          <w:rFonts w:ascii="仿宋" w:eastAsia="仿宋" w:hAnsi="仿宋" w:hint="eastAsia"/>
          <w:color w:val="000000" w:themeColor="text1"/>
          <w:sz w:val="32"/>
          <w:szCs w:val="32"/>
        </w:rPr>
        <w:t>分解下达</w:t>
      </w:r>
      <w:r>
        <w:rPr>
          <w:rFonts w:ascii="仿宋" w:eastAsia="仿宋" w:hAnsi="仿宋" w:cs="仿宋" w:hint="eastAsia"/>
          <w:color w:val="000000" w:themeColor="text1"/>
          <w:kern w:val="0"/>
          <w:sz w:val="32"/>
          <w:szCs w:val="32"/>
        </w:rPr>
        <w:t>各县（市、区）政府（管委会）</w:t>
      </w:r>
      <w:r>
        <w:rPr>
          <w:rFonts w:ascii="仿宋" w:eastAsia="仿宋" w:hAnsi="仿宋" w:hint="eastAsia"/>
          <w:color w:val="000000" w:themeColor="text1"/>
          <w:sz w:val="32"/>
          <w:szCs w:val="32"/>
        </w:rPr>
        <w:t>2019</w:t>
      </w:r>
      <w:r>
        <w:rPr>
          <w:rFonts w:ascii="仿宋" w:eastAsia="仿宋" w:hAnsi="仿宋" w:hint="eastAsia"/>
          <w:color w:val="000000" w:themeColor="text1"/>
          <w:sz w:val="32"/>
          <w:szCs w:val="32"/>
        </w:rPr>
        <w:t>年能耗“双控”目标任务，组织开展</w:t>
      </w:r>
      <w:r>
        <w:rPr>
          <w:rFonts w:ascii="仿宋" w:eastAsia="仿宋" w:hAnsi="仿宋" w:cs="仿宋" w:hint="eastAsia"/>
          <w:color w:val="000000" w:themeColor="text1"/>
          <w:kern w:val="0"/>
          <w:sz w:val="32"/>
          <w:szCs w:val="32"/>
        </w:rPr>
        <w:t>各县（市、区）政府（管委会）</w:t>
      </w:r>
      <w:r>
        <w:rPr>
          <w:rFonts w:ascii="仿宋" w:eastAsia="仿宋" w:hAnsi="仿宋" w:hint="eastAsia"/>
          <w:color w:val="000000" w:themeColor="text1"/>
          <w:sz w:val="32"/>
          <w:szCs w:val="32"/>
        </w:rPr>
        <w:t>节能目标责任评价考核。对未完成单位</w:t>
      </w:r>
      <w:r>
        <w:rPr>
          <w:rFonts w:ascii="仿宋" w:eastAsia="仿宋" w:hAnsi="仿宋" w:hint="eastAsia"/>
          <w:color w:val="000000" w:themeColor="text1"/>
          <w:sz w:val="32"/>
          <w:szCs w:val="32"/>
        </w:rPr>
        <w:t>GDP</w:t>
      </w:r>
      <w:r>
        <w:rPr>
          <w:rFonts w:ascii="仿宋" w:eastAsia="仿宋" w:hAnsi="仿宋" w:hint="eastAsia"/>
          <w:color w:val="000000" w:themeColor="text1"/>
          <w:sz w:val="32"/>
          <w:szCs w:val="32"/>
        </w:rPr>
        <w:t>能耗下降目标的地方政府实行问责，领导干部不能参加年度评奖、授予荣誉称号等；对未完成能耗总量控制目标的地方政府予以通报批评和约谈。对能耗“双控”工作表现突出的集体及个人开展评选表彰。加强能耗“双控”监测预警，坚持能耗“双控”形势季度分析制度和晴雨表制度</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加强对能耗“双控”任务完成困难地市的督促指导。</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市发展和改革局、工业和信息化局、统</w:t>
      </w:r>
      <w:r>
        <w:rPr>
          <w:rFonts w:ascii="仿宋" w:eastAsia="仿宋" w:hAnsi="仿宋" w:hint="eastAsia"/>
          <w:color w:val="000000" w:themeColor="text1"/>
          <w:sz w:val="32"/>
          <w:szCs w:val="32"/>
        </w:rPr>
        <w:t>计局，</w:t>
      </w:r>
      <w:r>
        <w:rPr>
          <w:rFonts w:ascii="仿宋" w:eastAsia="仿宋" w:hAnsi="仿宋" w:cs="仿宋" w:hint="eastAsia"/>
          <w:color w:val="000000" w:themeColor="text1"/>
          <w:kern w:val="0"/>
          <w:sz w:val="32"/>
          <w:szCs w:val="32"/>
        </w:rPr>
        <w:t>各县（市、区）政府（管委会）</w:t>
      </w:r>
      <w:r>
        <w:rPr>
          <w:rFonts w:ascii="仿宋" w:eastAsia="仿宋" w:hAnsi="仿宋" w:hint="eastAsia"/>
          <w:color w:val="000000" w:themeColor="text1"/>
          <w:sz w:val="32"/>
          <w:szCs w:val="32"/>
        </w:rPr>
        <w:t>)</w:t>
      </w:r>
    </w:p>
    <w:p w:rsidR="005C505E" w:rsidRDefault="00D61197">
      <w:pPr>
        <w:ind w:firstLineChars="150" w:firstLine="480"/>
        <w:rPr>
          <w:rFonts w:ascii="仿宋" w:eastAsia="仿宋" w:hAnsi="仿宋"/>
          <w:b/>
          <w:color w:val="000000" w:themeColor="text1"/>
          <w:sz w:val="32"/>
          <w:szCs w:val="32"/>
        </w:rPr>
      </w:pPr>
      <w:r>
        <w:rPr>
          <w:rFonts w:ascii="黑体" w:eastAsia="黑体" w:hAnsi="黑体" w:cs="黑体" w:hint="eastAsia"/>
          <w:bCs/>
          <w:sz w:val="32"/>
          <w:szCs w:val="32"/>
        </w:rPr>
        <w:t>六、强化节能监督检查</w:t>
      </w:r>
    </w:p>
    <w:p w:rsidR="005C505E" w:rsidRDefault="00D61197">
      <w:pPr>
        <w:ind w:firstLineChars="150" w:firstLine="482"/>
        <w:rPr>
          <w:rFonts w:ascii="仿宋" w:eastAsia="仿宋" w:hAnsi="仿宋"/>
          <w:color w:val="000000" w:themeColor="text1"/>
          <w:sz w:val="32"/>
          <w:szCs w:val="32"/>
        </w:rPr>
      </w:pPr>
      <w:r>
        <w:rPr>
          <w:rFonts w:ascii="仿宋" w:eastAsia="仿宋" w:hAnsi="仿宋" w:hint="eastAsia"/>
          <w:b/>
          <w:color w:val="000000" w:themeColor="text1"/>
          <w:sz w:val="32"/>
          <w:szCs w:val="32"/>
        </w:rPr>
        <w:lastRenderedPageBreak/>
        <w:t>（十四）健全节能标准体系。</w:t>
      </w:r>
      <w:r>
        <w:rPr>
          <w:rFonts w:ascii="仿宋" w:eastAsia="仿宋" w:hAnsi="仿宋" w:hint="eastAsia"/>
          <w:color w:val="000000" w:themeColor="text1"/>
          <w:sz w:val="32"/>
          <w:szCs w:val="32"/>
        </w:rPr>
        <w:t>支持企事业单位主导或参与节能国际、国家、行业和地方标准的制修订，鼓励重点用能单位制定并实施主要性能指标高于现行标准的企业标准，鼓励行业协会等社会团体组建标准创新联盟及开展关键技术和标准研讨。</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市市场监督管理局、工业和信息化局、发展和改革局</w:t>
      </w:r>
      <w:r>
        <w:rPr>
          <w:rFonts w:ascii="仿宋" w:eastAsia="仿宋" w:hAnsi="仿宋" w:hint="eastAsia"/>
          <w:color w:val="000000" w:themeColor="text1"/>
          <w:sz w:val="32"/>
          <w:szCs w:val="32"/>
        </w:rPr>
        <w:t>)</w:t>
      </w:r>
    </w:p>
    <w:p w:rsidR="005C505E" w:rsidRDefault="00D61197">
      <w:pPr>
        <w:ind w:firstLineChars="150" w:firstLine="482"/>
        <w:rPr>
          <w:rFonts w:ascii="仿宋" w:eastAsia="仿宋" w:hAnsi="仿宋"/>
          <w:color w:val="000000" w:themeColor="text1"/>
          <w:sz w:val="32"/>
          <w:szCs w:val="32"/>
        </w:rPr>
      </w:pPr>
      <w:r>
        <w:rPr>
          <w:rFonts w:ascii="仿宋" w:eastAsia="仿宋" w:hAnsi="仿宋" w:hint="eastAsia"/>
          <w:b/>
          <w:color w:val="000000" w:themeColor="text1"/>
          <w:sz w:val="32"/>
          <w:szCs w:val="32"/>
        </w:rPr>
        <w:t>（十五）严格节能监督检查。</w:t>
      </w:r>
      <w:r>
        <w:rPr>
          <w:rFonts w:ascii="仿宋" w:eastAsia="仿宋" w:hAnsi="仿宋" w:hint="eastAsia"/>
          <w:color w:val="000000" w:themeColor="text1"/>
          <w:sz w:val="32"/>
          <w:szCs w:val="32"/>
        </w:rPr>
        <w:t>制定</w:t>
      </w:r>
      <w:r>
        <w:rPr>
          <w:rFonts w:ascii="仿宋" w:eastAsia="仿宋" w:hAnsi="仿宋" w:hint="eastAsia"/>
          <w:color w:val="000000" w:themeColor="text1"/>
          <w:sz w:val="32"/>
          <w:szCs w:val="32"/>
        </w:rPr>
        <w:t>2019</w:t>
      </w:r>
      <w:r>
        <w:rPr>
          <w:rFonts w:ascii="仿宋" w:eastAsia="仿宋" w:hAnsi="仿宋" w:hint="eastAsia"/>
          <w:color w:val="000000" w:themeColor="text1"/>
          <w:sz w:val="32"/>
          <w:szCs w:val="32"/>
        </w:rPr>
        <w:t>年全市节能监察计划，重点对钢铁</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具有电弧炉工序</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、水泥、电解铝、平板玻璃、造纸印染、制革、铅蓄电池、铜冶炼、铅冶炼、小火电、陶瓷等</w:t>
      </w:r>
      <w:r>
        <w:rPr>
          <w:rFonts w:ascii="仿宋" w:eastAsia="仿宋" w:hAnsi="仿宋" w:hint="eastAsia"/>
          <w:color w:val="000000" w:themeColor="text1"/>
          <w:sz w:val="32"/>
          <w:szCs w:val="32"/>
        </w:rPr>
        <w:t>12</w:t>
      </w:r>
      <w:r>
        <w:rPr>
          <w:rFonts w:ascii="仿宋" w:eastAsia="仿宋" w:hAnsi="仿宋" w:hint="eastAsia"/>
          <w:color w:val="000000" w:themeColor="text1"/>
          <w:sz w:val="32"/>
          <w:szCs w:val="32"/>
        </w:rPr>
        <w:t>个重点行业实行节能监察执法，提出能耗方面落后产能退出清单。开展公共机构、建筑、交通等重点领域节能监察，推动节能法律法规政策落实。</w:t>
      </w:r>
      <w:r>
        <w:rPr>
          <w:rFonts w:ascii="仿宋" w:eastAsia="仿宋" w:hAnsi="仿宋" w:hint="eastAsia"/>
          <w:color w:val="000000" w:themeColor="text1"/>
          <w:sz w:val="32"/>
          <w:szCs w:val="32"/>
        </w:rPr>
        <w:t>2019</w:t>
      </w:r>
      <w:r>
        <w:rPr>
          <w:rFonts w:ascii="仿宋" w:eastAsia="仿宋" w:hAnsi="仿宋" w:hint="eastAsia"/>
          <w:color w:val="000000" w:themeColor="text1"/>
          <w:sz w:val="32"/>
          <w:szCs w:val="32"/>
        </w:rPr>
        <w:t>年，全市计划完成</w:t>
      </w:r>
      <w:r>
        <w:rPr>
          <w:rFonts w:ascii="仿宋" w:eastAsia="仿宋" w:hAnsi="仿宋" w:hint="eastAsia"/>
          <w:color w:val="000000" w:themeColor="text1"/>
          <w:sz w:val="32"/>
          <w:szCs w:val="32"/>
        </w:rPr>
        <w:t>48</w:t>
      </w:r>
      <w:r>
        <w:rPr>
          <w:rFonts w:ascii="仿宋" w:eastAsia="仿宋" w:hAnsi="仿宋" w:hint="eastAsia"/>
          <w:color w:val="000000" w:themeColor="text1"/>
          <w:sz w:val="32"/>
          <w:szCs w:val="32"/>
        </w:rPr>
        <w:t>家以上用能单位节能监察任务。</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市发展和改革局、工业和信息化局，</w:t>
      </w:r>
      <w:r>
        <w:rPr>
          <w:rFonts w:ascii="仿宋" w:eastAsia="仿宋" w:hAnsi="仿宋" w:cs="仿宋" w:hint="eastAsia"/>
          <w:color w:val="000000" w:themeColor="text1"/>
          <w:kern w:val="0"/>
          <w:sz w:val="32"/>
          <w:szCs w:val="32"/>
        </w:rPr>
        <w:t>各县（市、区）政府（管委会）</w:t>
      </w:r>
      <w:r>
        <w:rPr>
          <w:rFonts w:ascii="仿宋" w:eastAsia="仿宋" w:hAnsi="仿宋" w:hint="eastAsia"/>
          <w:color w:val="000000" w:themeColor="text1"/>
          <w:sz w:val="32"/>
          <w:szCs w:val="32"/>
        </w:rPr>
        <w:t>)</w:t>
      </w:r>
    </w:p>
    <w:p w:rsidR="005C505E" w:rsidRDefault="00D61197">
      <w:pPr>
        <w:ind w:firstLineChars="150" w:firstLine="480"/>
        <w:rPr>
          <w:rFonts w:ascii="仿宋" w:eastAsia="仿宋" w:hAnsi="仿宋"/>
          <w:b/>
          <w:color w:val="000000" w:themeColor="text1"/>
          <w:sz w:val="32"/>
          <w:szCs w:val="32"/>
        </w:rPr>
      </w:pPr>
      <w:r>
        <w:rPr>
          <w:rFonts w:ascii="黑体" w:eastAsia="黑体" w:hAnsi="黑体" w:cs="黑体" w:hint="eastAsia"/>
          <w:bCs/>
          <w:sz w:val="32"/>
          <w:szCs w:val="32"/>
        </w:rPr>
        <w:t>七、节能培训和宣传</w:t>
      </w:r>
    </w:p>
    <w:p w:rsidR="005C505E" w:rsidRDefault="00D61197">
      <w:pPr>
        <w:ind w:firstLineChars="150" w:firstLine="482"/>
        <w:rPr>
          <w:rFonts w:ascii="仿宋" w:eastAsia="仿宋" w:hAnsi="仿宋"/>
          <w:color w:val="000000" w:themeColor="text1"/>
          <w:sz w:val="32"/>
          <w:szCs w:val="32"/>
        </w:rPr>
      </w:pPr>
      <w:r>
        <w:rPr>
          <w:rFonts w:ascii="仿宋" w:eastAsia="仿宋" w:hAnsi="仿宋" w:hint="eastAsia"/>
          <w:b/>
          <w:color w:val="000000" w:themeColor="text1"/>
          <w:sz w:val="32"/>
          <w:szCs w:val="32"/>
        </w:rPr>
        <w:t>（十六）重视节能培训和宣传教育。</w:t>
      </w:r>
      <w:r>
        <w:rPr>
          <w:rFonts w:ascii="仿宋" w:eastAsia="仿宋" w:hAnsi="仿宋" w:hint="eastAsia"/>
          <w:color w:val="000000" w:themeColor="text1"/>
          <w:sz w:val="32"/>
          <w:szCs w:val="32"/>
        </w:rPr>
        <w:t>发布节能自愿承诺用能单位名单，引导用能单位通过自愿承诺方式自觉落</w:t>
      </w:r>
      <w:r>
        <w:rPr>
          <w:rFonts w:ascii="仿宋" w:eastAsia="仿宋" w:hAnsi="仿宋" w:hint="eastAsia"/>
          <w:color w:val="000000" w:themeColor="text1"/>
          <w:sz w:val="32"/>
          <w:szCs w:val="32"/>
        </w:rPr>
        <w:t>实节能主体责任、履行节能法定义务，主动接受社会监督。组织开展固定资产投资项目节能审查、公共机构节能能耗统计、节能管理监察人员</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重点用能单位管理、重点用能单位能源统计等各类节能培训，着力提升节能工作人员能力水平。组织开展市节能宣传月系列活动，推行绿色消费，鼓励引导全</w:t>
      </w:r>
      <w:r>
        <w:rPr>
          <w:rFonts w:ascii="仿宋" w:eastAsia="仿宋" w:hAnsi="仿宋" w:hint="eastAsia"/>
          <w:color w:val="000000" w:themeColor="text1"/>
          <w:sz w:val="32"/>
          <w:szCs w:val="32"/>
        </w:rPr>
        <w:lastRenderedPageBreak/>
        <w:t>民绿色生活方式，积极营造全民参与节能降耗的良好氛围。积极参与国内外节能技术装备展示和项目对接平台。</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市发展和改革局、工业和信息化局、统计局，</w:t>
      </w:r>
      <w:r>
        <w:rPr>
          <w:rFonts w:ascii="仿宋" w:eastAsia="仿宋" w:hAnsi="仿宋" w:cs="仿宋" w:hint="eastAsia"/>
          <w:color w:val="000000" w:themeColor="text1"/>
          <w:kern w:val="0"/>
          <w:sz w:val="32"/>
          <w:szCs w:val="32"/>
        </w:rPr>
        <w:t>各县（市、区）政府（管委会）</w:t>
      </w:r>
      <w:r>
        <w:rPr>
          <w:rFonts w:ascii="仿宋" w:eastAsia="仿宋" w:hAnsi="仿宋" w:hint="eastAsia"/>
          <w:color w:val="000000" w:themeColor="text1"/>
          <w:sz w:val="32"/>
          <w:szCs w:val="32"/>
        </w:rPr>
        <w:t>)</w:t>
      </w:r>
    </w:p>
    <w:p w:rsidR="005C505E" w:rsidRDefault="005C505E">
      <w:pPr>
        <w:ind w:firstLineChars="150" w:firstLine="480"/>
        <w:rPr>
          <w:rFonts w:ascii="仿宋_GB2312" w:eastAsia="仿宋_GB2312"/>
          <w:color w:val="000000" w:themeColor="text1"/>
          <w:sz w:val="32"/>
          <w:szCs w:val="32"/>
        </w:rPr>
      </w:pPr>
    </w:p>
    <w:p w:rsidR="005C505E" w:rsidRDefault="00D61197">
      <w:pPr>
        <w:ind w:firstLineChars="150" w:firstLine="480"/>
        <w:rPr>
          <w:rFonts w:ascii="仿宋_GB2312" w:eastAsia="仿宋_GB2312"/>
          <w:color w:val="000000" w:themeColor="text1"/>
          <w:sz w:val="32"/>
          <w:szCs w:val="32"/>
        </w:rPr>
      </w:pPr>
      <w:r>
        <w:rPr>
          <w:rFonts w:ascii="仿宋_GB2312" w:eastAsia="仿宋_GB2312" w:hint="eastAsia"/>
          <w:color w:val="000000" w:themeColor="text1"/>
          <w:sz w:val="32"/>
          <w:szCs w:val="32"/>
        </w:rPr>
        <w:t>附表</w:t>
      </w:r>
      <w:r>
        <w:rPr>
          <w:rFonts w:ascii="仿宋_GB2312" w:eastAsia="仿宋_GB2312" w:hint="eastAsia"/>
          <w:color w:val="000000" w:themeColor="text1"/>
          <w:sz w:val="32"/>
          <w:szCs w:val="32"/>
        </w:rPr>
        <w:t>:2019</w:t>
      </w:r>
      <w:r>
        <w:rPr>
          <w:rFonts w:ascii="仿宋_GB2312" w:eastAsia="仿宋_GB2312" w:hint="eastAsia"/>
          <w:color w:val="000000" w:themeColor="text1"/>
          <w:sz w:val="32"/>
          <w:szCs w:val="32"/>
        </w:rPr>
        <w:t>年能耗“双控”目标性务分解表</w:t>
      </w:r>
    </w:p>
    <w:p w:rsidR="005C505E" w:rsidRDefault="005C505E">
      <w:pPr>
        <w:ind w:firstLineChars="150" w:firstLine="480"/>
        <w:rPr>
          <w:rFonts w:ascii="仿宋_GB2312" w:eastAsia="仿宋_GB2312"/>
          <w:color w:val="000000" w:themeColor="text1"/>
          <w:sz w:val="32"/>
          <w:szCs w:val="32"/>
        </w:rPr>
      </w:pPr>
    </w:p>
    <w:p w:rsidR="005C505E" w:rsidRDefault="00D61197">
      <w:pPr>
        <w:ind w:firstLineChars="150" w:firstLine="480"/>
        <w:rPr>
          <w:rFonts w:ascii="仿宋_GB2312" w:eastAsia="仿宋_GB2312"/>
          <w:color w:val="000000" w:themeColor="text1"/>
          <w:sz w:val="32"/>
          <w:szCs w:val="32"/>
        </w:rPr>
      </w:pPr>
      <w:r>
        <w:rPr>
          <w:rFonts w:ascii="仿宋_GB2312" w:eastAsia="仿宋_GB2312" w:hint="eastAsia"/>
          <w:color w:val="000000" w:themeColor="text1"/>
          <w:sz w:val="32"/>
          <w:szCs w:val="32"/>
        </w:rPr>
        <w:t>附表</w:t>
      </w:r>
      <w:r>
        <w:rPr>
          <w:rFonts w:ascii="仿宋_GB2312" w:eastAsia="仿宋_GB2312" w:hint="eastAsia"/>
          <w:color w:val="000000" w:themeColor="text1"/>
          <w:sz w:val="32"/>
          <w:szCs w:val="32"/>
        </w:rPr>
        <w:t>:</w:t>
      </w:r>
    </w:p>
    <w:p w:rsidR="005C505E" w:rsidRDefault="00D61197">
      <w:pPr>
        <w:ind w:firstLineChars="150" w:firstLine="480"/>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2019</w:t>
      </w:r>
      <w:r>
        <w:rPr>
          <w:rFonts w:ascii="仿宋_GB2312" w:eastAsia="仿宋_GB2312" w:hint="eastAsia"/>
          <w:color w:val="000000" w:themeColor="text1"/>
          <w:sz w:val="32"/>
          <w:szCs w:val="32"/>
        </w:rPr>
        <w:t>年能耗“双控</w:t>
      </w:r>
      <w:r>
        <w:rPr>
          <w:rFonts w:ascii="仿宋_GB2312" w:eastAsia="仿宋_GB2312" w:hint="eastAsia"/>
          <w:color w:val="000000" w:themeColor="text1"/>
          <w:sz w:val="32"/>
          <w:szCs w:val="32"/>
        </w:rPr>
        <w:t>”目标性务分解表</w:t>
      </w:r>
    </w:p>
    <w:tbl>
      <w:tblPr>
        <w:tblStyle w:val="a5"/>
        <w:tblW w:w="8500" w:type="dxa"/>
        <w:tblLayout w:type="fixed"/>
        <w:tblLook w:val="04A0"/>
      </w:tblPr>
      <w:tblGrid>
        <w:gridCol w:w="1522"/>
        <w:gridCol w:w="2262"/>
        <w:gridCol w:w="2121"/>
        <w:gridCol w:w="2595"/>
      </w:tblGrid>
      <w:tr w:rsidR="005C505E">
        <w:trPr>
          <w:trHeight w:val="1313"/>
        </w:trPr>
        <w:tc>
          <w:tcPr>
            <w:tcW w:w="1522" w:type="dxa"/>
            <w:vAlign w:val="center"/>
          </w:tcPr>
          <w:p w:rsidR="005C505E" w:rsidRDefault="00D61197">
            <w:pPr>
              <w:jc w:val="center"/>
              <w:rPr>
                <w:rFonts w:ascii="仿宋_GB2312" w:eastAsia="仿宋_GB2312"/>
                <w:color w:val="000000" w:themeColor="text1"/>
                <w:sz w:val="24"/>
                <w:szCs w:val="24"/>
              </w:rPr>
            </w:pPr>
            <w:r>
              <w:rPr>
                <w:rFonts w:ascii="仿宋_GB2312" w:eastAsia="仿宋_GB2312"/>
                <w:color w:val="000000" w:themeColor="text1"/>
                <w:sz w:val="24"/>
                <w:szCs w:val="24"/>
              </w:rPr>
              <w:t>地区</w:t>
            </w:r>
          </w:p>
        </w:tc>
        <w:tc>
          <w:tcPr>
            <w:tcW w:w="2262" w:type="dxa"/>
            <w:vAlign w:val="center"/>
          </w:tcPr>
          <w:p w:rsidR="005C505E" w:rsidRDefault="00D61197">
            <w:pPr>
              <w:jc w:val="center"/>
              <w:rPr>
                <w:rFonts w:ascii="仿宋_GB2312" w:eastAsia="仿宋_GB2312"/>
                <w:color w:val="000000" w:themeColor="text1"/>
                <w:sz w:val="24"/>
                <w:szCs w:val="24"/>
              </w:rPr>
            </w:pPr>
            <w:r>
              <w:rPr>
                <w:rFonts w:ascii="仿宋_GB2312" w:eastAsia="仿宋_GB2312"/>
                <w:color w:val="000000" w:themeColor="text1"/>
                <w:sz w:val="24"/>
                <w:szCs w:val="24"/>
              </w:rPr>
              <w:t>单位</w:t>
            </w:r>
            <w:r>
              <w:rPr>
                <w:rFonts w:ascii="仿宋_GB2312" w:eastAsia="仿宋_GB2312"/>
                <w:color w:val="000000" w:themeColor="text1"/>
                <w:sz w:val="24"/>
                <w:szCs w:val="24"/>
              </w:rPr>
              <w:t>GDP</w:t>
            </w:r>
            <w:r>
              <w:rPr>
                <w:rFonts w:ascii="仿宋_GB2312" w:eastAsia="仿宋_GB2312"/>
                <w:color w:val="000000" w:themeColor="text1"/>
                <w:sz w:val="24"/>
                <w:szCs w:val="24"/>
              </w:rPr>
              <w:t>能耗同比下降（</w:t>
            </w:r>
            <w:r>
              <w:rPr>
                <w:rFonts w:ascii="仿宋_GB2312" w:eastAsia="仿宋_GB2312"/>
                <w:color w:val="000000" w:themeColor="text1"/>
                <w:sz w:val="24"/>
                <w:szCs w:val="24"/>
              </w:rPr>
              <w:t>%</w:t>
            </w:r>
            <w:r>
              <w:rPr>
                <w:rFonts w:ascii="仿宋_GB2312" w:eastAsia="仿宋_GB2312"/>
                <w:color w:val="000000" w:themeColor="text1"/>
                <w:sz w:val="24"/>
                <w:szCs w:val="24"/>
              </w:rPr>
              <w:t>）</w:t>
            </w:r>
          </w:p>
        </w:tc>
        <w:tc>
          <w:tcPr>
            <w:tcW w:w="2121" w:type="dxa"/>
            <w:tcBorders>
              <w:right w:val="single" w:sz="4" w:space="0" w:color="auto"/>
            </w:tcBorders>
            <w:vAlign w:val="center"/>
          </w:tcPr>
          <w:p w:rsidR="005C505E" w:rsidRDefault="00D61197">
            <w:pPr>
              <w:jc w:val="center"/>
              <w:rPr>
                <w:rFonts w:ascii="仿宋_GB2312" w:eastAsia="仿宋_GB2312"/>
                <w:color w:val="000000" w:themeColor="text1"/>
                <w:sz w:val="24"/>
                <w:szCs w:val="24"/>
              </w:rPr>
            </w:pPr>
            <w:r>
              <w:rPr>
                <w:rFonts w:ascii="仿宋_GB2312" w:eastAsia="仿宋_GB2312"/>
                <w:color w:val="000000" w:themeColor="text1"/>
                <w:sz w:val="24"/>
                <w:szCs w:val="24"/>
              </w:rPr>
              <w:t>能源消费</w:t>
            </w:r>
            <w:r>
              <w:rPr>
                <w:rFonts w:ascii="仿宋_GB2312" w:eastAsia="仿宋_GB2312" w:hint="eastAsia"/>
                <w:color w:val="000000" w:themeColor="text1"/>
                <w:sz w:val="24"/>
                <w:szCs w:val="24"/>
              </w:rPr>
              <w:t>新</w:t>
            </w:r>
            <w:r>
              <w:rPr>
                <w:rFonts w:ascii="仿宋_GB2312" w:eastAsia="仿宋_GB2312"/>
                <w:color w:val="000000" w:themeColor="text1"/>
                <w:sz w:val="24"/>
                <w:szCs w:val="24"/>
              </w:rPr>
              <w:t>增</w:t>
            </w:r>
            <w:r>
              <w:rPr>
                <w:rFonts w:ascii="仿宋_GB2312" w:eastAsia="仿宋_GB2312" w:hint="eastAsia"/>
                <w:color w:val="000000" w:themeColor="text1"/>
                <w:sz w:val="24"/>
                <w:szCs w:val="24"/>
              </w:rPr>
              <w:t>量</w:t>
            </w:r>
            <w:r>
              <w:rPr>
                <w:rFonts w:ascii="仿宋_GB2312" w:eastAsia="仿宋_GB2312"/>
                <w:color w:val="000000" w:themeColor="text1"/>
                <w:sz w:val="24"/>
                <w:szCs w:val="24"/>
              </w:rPr>
              <w:t>（万吨标准煤）</w:t>
            </w:r>
          </w:p>
        </w:tc>
        <w:tc>
          <w:tcPr>
            <w:tcW w:w="2595" w:type="dxa"/>
            <w:tcBorders>
              <w:left w:val="single" w:sz="4" w:space="0" w:color="auto"/>
            </w:tcBorders>
            <w:vAlign w:val="center"/>
          </w:tcPr>
          <w:p w:rsidR="005C505E" w:rsidRDefault="00D61197">
            <w:pPr>
              <w:jc w:val="center"/>
              <w:rPr>
                <w:rFonts w:ascii="仿宋_GB2312" w:eastAsia="仿宋_GB2312"/>
                <w:color w:val="000000" w:themeColor="text1"/>
                <w:sz w:val="24"/>
                <w:szCs w:val="24"/>
              </w:rPr>
            </w:pPr>
            <w:r>
              <w:rPr>
                <w:rFonts w:ascii="仿宋_GB2312" w:eastAsia="仿宋_GB2312"/>
                <w:color w:val="000000" w:themeColor="text1"/>
                <w:sz w:val="24"/>
                <w:szCs w:val="24"/>
              </w:rPr>
              <w:t>备注</w:t>
            </w:r>
          </w:p>
        </w:tc>
      </w:tr>
      <w:tr w:rsidR="005C505E">
        <w:trPr>
          <w:trHeight w:val="667"/>
        </w:trPr>
        <w:tc>
          <w:tcPr>
            <w:tcW w:w="1522" w:type="dxa"/>
            <w:vAlign w:val="center"/>
          </w:tcPr>
          <w:p w:rsidR="005C505E" w:rsidRDefault="00D61197">
            <w:pPr>
              <w:jc w:val="center"/>
              <w:rPr>
                <w:rFonts w:ascii="仿宋_GB2312" w:eastAsia="仿宋_GB2312"/>
                <w:sz w:val="24"/>
                <w:szCs w:val="24"/>
              </w:rPr>
            </w:pPr>
            <w:r>
              <w:rPr>
                <w:rFonts w:ascii="仿宋_GB2312" w:eastAsia="仿宋_GB2312"/>
                <w:sz w:val="24"/>
                <w:szCs w:val="24"/>
              </w:rPr>
              <w:t>榕城区</w:t>
            </w:r>
          </w:p>
        </w:tc>
        <w:tc>
          <w:tcPr>
            <w:tcW w:w="2262" w:type="dxa"/>
            <w:vAlign w:val="center"/>
          </w:tcPr>
          <w:p w:rsidR="005C505E" w:rsidRDefault="00D61197">
            <w:pPr>
              <w:jc w:val="center"/>
              <w:rPr>
                <w:rFonts w:ascii="仿宋_GB2312" w:eastAsia="仿宋_GB2312"/>
                <w:sz w:val="24"/>
                <w:szCs w:val="24"/>
              </w:rPr>
            </w:pPr>
            <w:r>
              <w:rPr>
                <w:rFonts w:ascii="仿宋_GB2312" w:eastAsia="仿宋_GB2312" w:hint="eastAsia"/>
                <w:sz w:val="24"/>
                <w:szCs w:val="24"/>
              </w:rPr>
              <w:t>3.66</w:t>
            </w:r>
          </w:p>
        </w:tc>
        <w:tc>
          <w:tcPr>
            <w:tcW w:w="2121" w:type="dxa"/>
            <w:tcBorders>
              <w:right w:val="single" w:sz="4" w:space="0" w:color="auto"/>
            </w:tcBorders>
            <w:vAlign w:val="center"/>
          </w:tcPr>
          <w:p w:rsidR="005C505E" w:rsidRDefault="00D61197">
            <w:pPr>
              <w:jc w:val="center"/>
              <w:rPr>
                <w:rFonts w:ascii="仿宋_GB2312" w:eastAsia="仿宋_GB2312"/>
                <w:sz w:val="24"/>
                <w:szCs w:val="24"/>
              </w:rPr>
            </w:pPr>
            <w:r>
              <w:rPr>
                <w:rFonts w:ascii="仿宋_GB2312" w:eastAsia="仿宋_GB2312" w:hint="eastAsia"/>
                <w:sz w:val="24"/>
                <w:szCs w:val="24"/>
              </w:rPr>
              <w:t>1</w:t>
            </w:r>
          </w:p>
        </w:tc>
        <w:tc>
          <w:tcPr>
            <w:tcW w:w="2595" w:type="dxa"/>
            <w:tcBorders>
              <w:left w:val="single" w:sz="4" w:space="0" w:color="auto"/>
            </w:tcBorders>
            <w:vAlign w:val="center"/>
          </w:tcPr>
          <w:p w:rsidR="005C505E" w:rsidRDefault="005C505E">
            <w:pPr>
              <w:jc w:val="center"/>
              <w:rPr>
                <w:rFonts w:ascii="仿宋_GB2312" w:eastAsia="仿宋_GB2312"/>
                <w:sz w:val="24"/>
                <w:szCs w:val="24"/>
              </w:rPr>
            </w:pPr>
          </w:p>
        </w:tc>
      </w:tr>
      <w:tr w:rsidR="005C505E">
        <w:trPr>
          <w:trHeight w:val="667"/>
        </w:trPr>
        <w:tc>
          <w:tcPr>
            <w:tcW w:w="1522" w:type="dxa"/>
            <w:vAlign w:val="center"/>
          </w:tcPr>
          <w:p w:rsidR="005C505E" w:rsidRDefault="00D61197">
            <w:pPr>
              <w:jc w:val="center"/>
              <w:rPr>
                <w:rFonts w:ascii="仿宋_GB2312" w:eastAsia="仿宋_GB2312"/>
                <w:sz w:val="24"/>
                <w:szCs w:val="24"/>
              </w:rPr>
            </w:pPr>
            <w:r>
              <w:rPr>
                <w:rFonts w:ascii="仿宋_GB2312" w:eastAsia="仿宋_GB2312"/>
                <w:sz w:val="24"/>
                <w:szCs w:val="24"/>
              </w:rPr>
              <w:t>揭东区</w:t>
            </w:r>
          </w:p>
        </w:tc>
        <w:tc>
          <w:tcPr>
            <w:tcW w:w="2262" w:type="dxa"/>
            <w:vAlign w:val="center"/>
          </w:tcPr>
          <w:p w:rsidR="005C505E" w:rsidRDefault="00D61197">
            <w:pPr>
              <w:jc w:val="center"/>
              <w:rPr>
                <w:rFonts w:ascii="仿宋_GB2312" w:eastAsia="仿宋_GB2312"/>
                <w:sz w:val="24"/>
                <w:szCs w:val="24"/>
              </w:rPr>
            </w:pPr>
            <w:r>
              <w:rPr>
                <w:rFonts w:ascii="仿宋_GB2312" w:eastAsia="仿宋_GB2312" w:hint="eastAsia"/>
                <w:sz w:val="24"/>
                <w:szCs w:val="24"/>
              </w:rPr>
              <w:t>3.66</w:t>
            </w:r>
          </w:p>
        </w:tc>
        <w:tc>
          <w:tcPr>
            <w:tcW w:w="2121" w:type="dxa"/>
            <w:tcBorders>
              <w:right w:val="single" w:sz="4" w:space="0" w:color="auto"/>
            </w:tcBorders>
            <w:vAlign w:val="center"/>
          </w:tcPr>
          <w:p w:rsidR="005C505E" w:rsidRDefault="00D61197">
            <w:pPr>
              <w:jc w:val="center"/>
              <w:rPr>
                <w:rFonts w:ascii="仿宋_GB2312" w:eastAsia="仿宋_GB2312"/>
                <w:sz w:val="24"/>
                <w:szCs w:val="24"/>
              </w:rPr>
            </w:pPr>
            <w:r>
              <w:rPr>
                <w:rFonts w:ascii="仿宋_GB2312" w:eastAsia="仿宋_GB2312" w:hint="eastAsia"/>
                <w:sz w:val="24"/>
                <w:szCs w:val="24"/>
              </w:rPr>
              <w:t>1.5</w:t>
            </w:r>
          </w:p>
        </w:tc>
        <w:tc>
          <w:tcPr>
            <w:tcW w:w="2595" w:type="dxa"/>
            <w:tcBorders>
              <w:left w:val="single" w:sz="4" w:space="0" w:color="auto"/>
            </w:tcBorders>
            <w:vAlign w:val="center"/>
          </w:tcPr>
          <w:p w:rsidR="005C505E" w:rsidRDefault="005C505E">
            <w:pPr>
              <w:jc w:val="center"/>
              <w:rPr>
                <w:rFonts w:ascii="仿宋_GB2312" w:eastAsia="仿宋_GB2312"/>
                <w:sz w:val="24"/>
                <w:szCs w:val="24"/>
              </w:rPr>
            </w:pPr>
          </w:p>
        </w:tc>
      </w:tr>
      <w:tr w:rsidR="005C505E">
        <w:trPr>
          <w:trHeight w:val="667"/>
        </w:trPr>
        <w:tc>
          <w:tcPr>
            <w:tcW w:w="1522" w:type="dxa"/>
            <w:vAlign w:val="center"/>
          </w:tcPr>
          <w:p w:rsidR="005C505E" w:rsidRDefault="00D61197">
            <w:pPr>
              <w:jc w:val="center"/>
              <w:rPr>
                <w:rFonts w:ascii="仿宋_GB2312" w:eastAsia="仿宋_GB2312"/>
                <w:sz w:val="24"/>
                <w:szCs w:val="24"/>
              </w:rPr>
            </w:pPr>
            <w:r>
              <w:rPr>
                <w:rFonts w:ascii="仿宋_GB2312" w:eastAsia="仿宋_GB2312"/>
                <w:sz w:val="24"/>
                <w:szCs w:val="24"/>
              </w:rPr>
              <w:t>普宁市</w:t>
            </w:r>
          </w:p>
        </w:tc>
        <w:tc>
          <w:tcPr>
            <w:tcW w:w="2262" w:type="dxa"/>
            <w:vAlign w:val="center"/>
          </w:tcPr>
          <w:p w:rsidR="005C505E" w:rsidRDefault="00D61197">
            <w:pPr>
              <w:jc w:val="center"/>
              <w:rPr>
                <w:rFonts w:ascii="仿宋_GB2312" w:eastAsia="仿宋_GB2312"/>
                <w:sz w:val="24"/>
                <w:szCs w:val="24"/>
              </w:rPr>
            </w:pPr>
            <w:r>
              <w:rPr>
                <w:rFonts w:ascii="仿宋_GB2312" w:eastAsia="仿宋_GB2312" w:hint="eastAsia"/>
                <w:sz w:val="24"/>
                <w:szCs w:val="24"/>
              </w:rPr>
              <w:t>3.66</w:t>
            </w:r>
          </w:p>
        </w:tc>
        <w:tc>
          <w:tcPr>
            <w:tcW w:w="2121" w:type="dxa"/>
            <w:tcBorders>
              <w:right w:val="single" w:sz="4" w:space="0" w:color="auto"/>
            </w:tcBorders>
            <w:vAlign w:val="center"/>
          </w:tcPr>
          <w:p w:rsidR="005C505E" w:rsidRDefault="00D61197">
            <w:pPr>
              <w:jc w:val="center"/>
              <w:rPr>
                <w:rFonts w:ascii="仿宋_GB2312" w:eastAsia="仿宋_GB2312"/>
                <w:sz w:val="24"/>
                <w:szCs w:val="24"/>
              </w:rPr>
            </w:pPr>
            <w:r>
              <w:rPr>
                <w:rFonts w:ascii="仿宋_GB2312" w:eastAsia="仿宋_GB2312" w:hint="eastAsia"/>
                <w:sz w:val="24"/>
                <w:szCs w:val="24"/>
              </w:rPr>
              <w:t>5</w:t>
            </w:r>
          </w:p>
        </w:tc>
        <w:tc>
          <w:tcPr>
            <w:tcW w:w="2595" w:type="dxa"/>
            <w:tcBorders>
              <w:left w:val="single" w:sz="4" w:space="0" w:color="auto"/>
            </w:tcBorders>
            <w:vAlign w:val="center"/>
          </w:tcPr>
          <w:p w:rsidR="005C505E" w:rsidRDefault="005C505E">
            <w:pPr>
              <w:jc w:val="center"/>
              <w:rPr>
                <w:rFonts w:ascii="仿宋_GB2312" w:eastAsia="仿宋_GB2312"/>
                <w:sz w:val="24"/>
                <w:szCs w:val="24"/>
              </w:rPr>
            </w:pPr>
          </w:p>
        </w:tc>
      </w:tr>
      <w:tr w:rsidR="005C505E">
        <w:trPr>
          <w:trHeight w:val="667"/>
        </w:trPr>
        <w:tc>
          <w:tcPr>
            <w:tcW w:w="1522" w:type="dxa"/>
            <w:vAlign w:val="center"/>
          </w:tcPr>
          <w:p w:rsidR="005C505E" w:rsidRDefault="00D61197">
            <w:pPr>
              <w:jc w:val="center"/>
              <w:rPr>
                <w:rFonts w:ascii="仿宋_GB2312" w:eastAsia="仿宋_GB2312"/>
                <w:sz w:val="24"/>
                <w:szCs w:val="24"/>
              </w:rPr>
            </w:pPr>
            <w:r>
              <w:rPr>
                <w:rFonts w:ascii="仿宋_GB2312" w:eastAsia="仿宋_GB2312"/>
                <w:sz w:val="24"/>
                <w:szCs w:val="24"/>
              </w:rPr>
              <w:t>揭西县</w:t>
            </w:r>
          </w:p>
        </w:tc>
        <w:tc>
          <w:tcPr>
            <w:tcW w:w="2262" w:type="dxa"/>
            <w:vAlign w:val="center"/>
          </w:tcPr>
          <w:p w:rsidR="005C505E" w:rsidRDefault="00D61197">
            <w:pPr>
              <w:jc w:val="center"/>
              <w:rPr>
                <w:rFonts w:ascii="仿宋_GB2312" w:eastAsia="仿宋_GB2312"/>
                <w:sz w:val="24"/>
                <w:szCs w:val="24"/>
              </w:rPr>
            </w:pPr>
            <w:r>
              <w:rPr>
                <w:rFonts w:ascii="仿宋_GB2312" w:eastAsia="仿宋_GB2312" w:hint="eastAsia"/>
                <w:sz w:val="24"/>
                <w:szCs w:val="24"/>
              </w:rPr>
              <w:t>3.53</w:t>
            </w:r>
          </w:p>
        </w:tc>
        <w:tc>
          <w:tcPr>
            <w:tcW w:w="2121" w:type="dxa"/>
            <w:tcBorders>
              <w:right w:val="single" w:sz="4" w:space="0" w:color="auto"/>
            </w:tcBorders>
            <w:vAlign w:val="center"/>
          </w:tcPr>
          <w:p w:rsidR="005C505E" w:rsidRDefault="00D61197">
            <w:pPr>
              <w:jc w:val="center"/>
              <w:rPr>
                <w:rFonts w:ascii="仿宋_GB2312" w:eastAsia="仿宋_GB2312"/>
                <w:sz w:val="24"/>
                <w:szCs w:val="24"/>
              </w:rPr>
            </w:pPr>
            <w:r>
              <w:rPr>
                <w:rFonts w:ascii="仿宋_GB2312" w:eastAsia="仿宋_GB2312" w:hint="eastAsia"/>
                <w:sz w:val="24"/>
                <w:szCs w:val="24"/>
              </w:rPr>
              <w:t>0</w:t>
            </w:r>
          </w:p>
        </w:tc>
        <w:tc>
          <w:tcPr>
            <w:tcW w:w="2595" w:type="dxa"/>
            <w:tcBorders>
              <w:left w:val="single" w:sz="4" w:space="0" w:color="auto"/>
            </w:tcBorders>
            <w:vAlign w:val="center"/>
          </w:tcPr>
          <w:p w:rsidR="005C505E" w:rsidRDefault="005C505E">
            <w:pPr>
              <w:jc w:val="center"/>
              <w:rPr>
                <w:rFonts w:ascii="仿宋_GB2312" w:eastAsia="仿宋_GB2312"/>
                <w:sz w:val="24"/>
                <w:szCs w:val="24"/>
              </w:rPr>
            </w:pPr>
          </w:p>
        </w:tc>
      </w:tr>
      <w:tr w:rsidR="005C505E">
        <w:trPr>
          <w:trHeight w:val="667"/>
        </w:trPr>
        <w:tc>
          <w:tcPr>
            <w:tcW w:w="1522" w:type="dxa"/>
            <w:vAlign w:val="center"/>
          </w:tcPr>
          <w:p w:rsidR="005C505E" w:rsidRDefault="00D61197">
            <w:pPr>
              <w:jc w:val="center"/>
              <w:rPr>
                <w:rFonts w:ascii="仿宋_GB2312" w:eastAsia="仿宋_GB2312"/>
                <w:sz w:val="24"/>
                <w:szCs w:val="24"/>
              </w:rPr>
            </w:pPr>
            <w:r>
              <w:rPr>
                <w:rFonts w:ascii="仿宋_GB2312" w:eastAsia="仿宋_GB2312"/>
                <w:sz w:val="24"/>
                <w:szCs w:val="24"/>
              </w:rPr>
              <w:t>惠来县</w:t>
            </w:r>
          </w:p>
        </w:tc>
        <w:tc>
          <w:tcPr>
            <w:tcW w:w="2262" w:type="dxa"/>
            <w:vAlign w:val="center"/>
          </w:tcPr>
          <w:p w:rsidR="005C505E" w:rsidRDefault="00D61197">
            <w:pPr>
              <w:jc w:val="center"/>
              <w:rPr>
                <w:rFonts w:ascii="仿宋_GB2312" w:eastAsia="仿宋_GB2312"/>
                <w:sz w:val="24"/>
                <w:szCs w:val="24"/>
              </w:rPr>
            </w:pPr>
            <w:r>
              <w:rPr>
                <w:rFonts w:ascii="仿宋_GB2312" w:eastAsia="仿宋_GB2312" w:hint="eastAsia"/>
                <w:sz w:val="24"/>
                <w:szCs w:val="24"/>
              </w:rPr>
              <w:t>6.30</w:t>
            </w:r>
          </w:p>
        </w:tc>
        <w:tc>
          <w:tcPr>
            <w:tcW w:w="2121" w:type="dxa"/>
            <w:tcBorders>
              <w:right w:val="single" w:sz="4" w:space="0" w:color="auto"/>
            </w:tcBorders>
            <w:vAlign w:val="center"/>
          </w:tcPr>
          <w:p w:rsidR="005C505E" w:rsidRDefault="00D61197">
            <w:pPr>
              <w:jc w:val="center"/>
              <w:rPr>
                <w:rFonts w:ascii="仿宋_GB2312" w:eastAsia="仿宋_GB2312"/>
                <w:sz w:val="24"/>
                <w:szCs w:val="24"/>
              </w:rPr>
            </w:pPr>
            <w:r>
              <w:rPr>
                <w:rFonts w:ascii="仿宋_GB2312" w:eastAsia="仿宋_GB2312" w:hint="eastAsia"/>
                <w:sz w:val="24"/>
                <w:szCs w:val="24"/>
              </w:rPr>
              <w:t>0.5</w:t>
            </w:r>
          </w:p>
        </w:tc>
        <w:tc>
          <w:tcPr>
            <w:tcW w:w="2595" w:type="dxa"/>
            <w:tcBorders>
              <w:left w:val="single" w:sz="4" w:space="0" w:color="auto"/>
            </w:tcBorders>
            <w:vAlign w:val="center"/>
          </w:tcPr>
          <w:p w:rsidR="005C505E" w:rsidRDefault="005C505E">
            <w:pPr>
              <w:jc w:val="center"/>
              <w:rPr>
                <w:rFonts w:ascii="仿宋_GB2312" w:eastAsia="仿宋_GB2312"/>
                <w:sz w:val="24"/>
                <w:szCs w:val="24"/>
              </w:rPr>
            </w:pPr>
          </w:p>
        </w:tc>
      </w:tr>
      <w:tr w:rsidR="005C505E">
        <w:trPr>
          <w:trHeight w:val="667"/>
        </w:trPr>
        <w:tc>
          <w:tcPr>
            <w:tcW w:w="1522" w:type="dxa"/>
            <w:tcBorders>
              <w:bottom w:val="single" w:sz="4" w:space="0" w:color="auto"/>
            </w:tcBorders>
            <w:vAlign w:val="center"/>
          </w:tcPr>
          <w:p w:rsidR="005C505E" w:rsidRDefault="00D61197">
            <w:pPr>
              <w:jc w:val="center"/>
              <w:rPr>
                <w:rFonts w:ascii="仿宋_GB2312" w:eastAsia="仿宋_GB2312"/>
                <w:sz w:val="24"/>
                <w:szCs w:val="24"/>
              </w:rPr>
            </w:pPr>
            <w:r>
              <w:rPr>
                <w:rFonts w:ascii="仿宋_GB2312" w:eastAsia="仿宋_GB2312"/>
                <w:sz w:val="24"/>
                <w:szCs w:val="24"/>
              </w:rPr>
              <w:t>揭阳产业园</w:t>
            </w:r>
          </w:p>
        </w:tc>
        <w:tc>
          <w:tcPr>
            <w:tcW w:w="2262" w:type="dxa"/>
            <w:tcBorders>
              <w:bottom w:val="single" w:sz="4" w:space="0" w:color="auto"/>
            </w:tcBorders>
            <w:vAlign w:val="center"/>
          </w:tcPr>
          <w:p w:rsidR="005C505E" w:rsidRDefault="00D61197">
            <w:pPr>
              <w:jc w:val="center"/>
              <w:rPr>
                <w:rFonts w:ascii="仿宋_GB2312" w:eastAsia="仿宋_GB2312"/>
                <w:sz w:val="24"/>
                <w:szCs w:val="24"/>
              </w:rPr>
            </w:pPr>
            <w:r>
              <w:rPr>
                <w:rFonts w:ascii="仿宋_GB2312" w:eastAsia="仿宋_GB2312" w:hint="eastAsia"/>
                <w:sz w:val="24"/>
                <w:szCs w:val="24"/>
              </w:rPr>
              <w:t>3.43</w:t>
            </w:r>
          </w:p>
        </w:tc>
        <w:tc>
          <w:tcPr>
            <w:tcW w:w="2121" w:type="dxa"/>
            <w:tcBorders>
              <w:bottom w:val="single" w:sz="4" w:space="0" w:color="auto"/>
              <w:right w:val="single" w:sz="4" w:space="0" w:color="auto"/>
            </w:tcBorders>
            <w:vAlign w:val="center"/>
          </w:tcPr>
          <w:p w:rsidR="005C505E" w:rsidRDefault="00D61197">
            <w:pPr>
              <w:jc w:val="center"/>
              <w:rPr>
                <w:rFonts w:ascii="仿宋_GB2312" w:eastAsia="仿宋_GB2312"/>
                <w:sz w:val="24"/>
                <w:szCs w:val="24"/>
              </w:rPr>
            </w:pPr>
            <w:r>
              <w:rPr>
                <w:rFonts w:ascii="仿宋_GB2312" w:eastAsia="仿宋_GB2312" w:hint="eastAsia"/>
                <w:sz w:val="24"/>
                <w:szCs w:val="24"/>
              </w:rPr>
              <w:t>0.94</w:t>
            </w:r>
          </w:p>
        </w:tc>
        <w:tc>
          <w:tcPr>
            <w:tcW w:w="2595" w:type="dxa"/>
            <w:tcBorders>
              <w:left w:val="single" w:sz="4" w:space="0" w:color="auto"/>
              <w:bottom w:val="single" w:sz="4" w:space="0" w:color="auto"/>
            </w:tcBorders>
            <w:vAlign w:val="center"/>
          </w:tcPr>
          <w:p w:rsidR="005C505E" w:rsidRDefault="005C505E">
            <w:pPr>
              <w:jc w:val="center"/>
              <w:rPr>
                <w:rFonts w:ascii="仿宋_GB2312" w:eastAsia="仿宋_GB2312"/>
                <w:sz w:val="24"/>
                <w:szCs w:val="24"/>
              </w:rPr>
            </w:pPr>
          </w:p>
        </w:tc>
      </w:tr>
      <w:tr w:rsidR="005C505E">
        <w:trPr>
          <w:trHeight w:val="687"/>
        </w:trPr>
        <w:tc>
          <w:tcPr>
            <w:tcW w:w="1522" w:type="dxa"/>
            <w:tcBorders>
              <w:top w:val="single" w:sz="4" w:space="0" w:color="auto"/>
              <w:bottom w:val="single" w:sz="4" w:space="0" w:color="auto"/>
            </w:tcBorders>
            <w:vAlign w:val="center"/>
          </w:tcPr>
          <w:p w:rsidR="005C505E" w:rsidRDefault="00D61197">
            <w:pPr>
              <w:jc w:val="center"/>
              <w:rPr>
                <w:rFonts w:ascii="仿宋_GB2312" w:eastAsia="仿宋_GB2312"/>
                <w:sz w:val="24"/>
                <w:szCs w:val="24"/>
              </w:rPr>
            </w:pPr>
            <w:r>
              <w:rPr>
                <w:rFonts w:ascii="仿宋_GB2312" w:eastAsia="仿宋_GB2312"/>
                <w:sz w:val="24"/>
                <w:szCs w:val="24"/>
              </w:rPr>
              <w:t>空港经济区</w:t>
            </w:r>
          </w:p>
        </w:tc>
        <w:tc>
          <w:tcPr>
            <w:tcW w:w="2262" w:type="dxa"/>
            <w:tcBorders>
              <w:top w:val="single" w:sz="4" w:space="0" w:color="auto"/>
              <w:bottom w:val="single" w:sz="4" w:space="0" w:color="auto"/>
            </w:tcBorders>
            <w:vAlign w:val="center"/>
          </w:tcPr>
          <w:p w:rsidR="005C505E" w:rsidRDefault="00D61197">
            <w:pPr>
              <w:jc w:val="center"/>
              <w:rPr>
                <w:rFonts w:ascii="仿宋_GB2312" w:eastAsia="仿宋_GB2312"/>
                <w:sz w:val="24"/>
                <w:szCs w:val="24"/>
              </w:rPr>
            </w:pPr>
            <w:r>
              <w:rPr>
                <w:rFonts w:ascii="仿宋_GB2312" w:eastAsia="仿宋_GB2312" w:hint="eastAsia"/>
                <w:sz w:val="24"/>
                <w:szCs w:val="24"/>
              </w:rPr>
              <w:t>15.43</w:t>
            </w:r>
          </w:p>
        </w:tc>
        <w:tc>
          <w:tcPr>
            <w:tcW w:w="2121" w:type="dxa"/>
            <w:tcBorders>
              <w:top w:val="single" w:sz="4" w:space="0" w:color="auto"/>
              <w:bottom w:val="single" w:sz="4" w:space="0" w:color="auto"/>
              <w:right w:val="single" w:sz="4" w:space="0" w:color="auto"/>
            </w:tcBorders>
            <w:vAlign w:val="center"/>
          </w:tcPr>
          <w:p w:rsidR="005C505E" w:rsidRDefault="00D61197">
            <w:pPr>
              <w:jc w:val="center"/>
              <w:rPr>
                <w:rFonts w:ascii="仿宋_GB2312" w:eastAsia="仿宋_GB2312"/>
                <w:sz w:val="24"/>
                <w:szCs w:val="24"/>
              </w:rPr>
            </w:pPr>
            <w:r>
              <w:rPr>
                <w:rFonts w:ascii="仿宋_GB2312" w:eastAsia="仿宋_GB2312" w:hint="eastAsia"/>
                <w:sz w:val="24"/>
                <w:szCs w:val="24"/>
              </w:rPr>
              <w:t>16.06</w:t>
            </w:r>
          </w:p>
        </w:tc>
        <w:tc>
          <w:tcPr>
            <w:tcW w:w="2595" w:type="dxa"/>
            <w:tcBorders>
              <w:top w:val="single" w:sz="4" w:space="0" w:color="auto"/>
              <w:left w:val="single" w:sz="4" w:space="0" w:color="auto"/>
              <w:bottom w:val="single" w:sz="4" w:space="0" w:color="auto"/>
            </w:tcBorders>
            <w:vAlign w:val="center"/>
          </w:tcPr>
          <w:p w:rsidR="005C505E" w:rsidRDefault="005C505E">
            <w:pPr>
              <w:jc w:val="center"/>
              <w:rPr>
                <w:rFonts w:ascii="仿宋_GB2312" w:eastAsia="仿宋_GB2312"/>
                <w:sz w:val="24"/>
                <w:szCs w:val="24"/>
              </w:rPr>
            </w:pPr>
          </w:p>
        </w:tc>
      </w:tr>
    </w:tbl>
    <w:p w:rsidR="005C505E" w:rsidRDefault="005C505E">
      <w:pPr>
        <w:ind w:firstLineChars="150" w:firstLine="480"/>
        <w:jc w:val="center"/>
        <w:rPr>
          <w:rFonts w:ascii="仿宋_GB2312" w:eastAsia="仿宋_GB2312"/>
          <w:sz w:val="32"/>
          <w:szCs w:val="32"/>
        </w:rPr>
      </w:pPr>
    </w:p>
    <w:sectPr w:rsidR="005C505E" w:rsidSect="005C505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197" w:rsidRDefault="00D61197" w:rsidP="005C505E">
      <w:r>
        <w:separator/>
      </w:r>
    </w:p>
  </w:endnote>
  <w:endnote w:type="continuationSeparator" w:id="1">
    <w:p w:rsidR="00D61197" w:rsidRDefault="00D61197" w:rsidP="005C50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290032"/>
    </w:sdtPr>
    <w:sdtContent>
      <w:p w:rsidR="005C505E" w:rsidRDefault="005C505E">
        <w:pPr>
          <w:pStyle w:val="a3"/>
          <w:jc w:val="center"/>
        </w:pPr>
        <w:r w:rsidRPr="005C505E">
          <w:fldChar w:fldCharType="begin"/>
        </w:r>
        <w:r w:rsidR="00D61197">
          <w:instrText xml:space="preserve"> PAGE   \* MERGEFORMAT </w:instrText>
        </w:r>
        <w:r w:rsidRPr="005C505E">
          <w:fldChar w:fldCharType="separate"/>
        </w:r>
        <w:r w:rsidR="005672BD" w:rsidRPr="005672BD">
          <w:rPr>
            <w:noProof/>
            <w:lang w:val="zh-CN"/>
          </w:rPr>
          <w:t>2</w:t>
        </w:r>
        <w:r>
          <w:rPr>
            <w:lang w:val="zh-CN"/>
          </w:rPr>
          <w:fldChar w:fldCharType="end"/>
        </w:r>
      </w:p>
    </w:sdtContent>
  </w:sdt>
  <w:p w:rsidR="005C505E" w:rsidRDefault="005C505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197" w:rsidRDefault="00D61197" w:rsidP="005C505E">
      <w:r>
        <w:separator/>
      </w:r>
    </w:p>
  </w:footnote>
  <w:footnote w:type="continuationSeparator" w:id="1">
    <w:p w:rsidR="00D61197" w:rsidRDefault="00D61197" w:rsidP="005C50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40D2"/>
    <w:rsid w:val="00025267"/>
    <w:rsid w:val="000278B6"/>
    <w:rsid w:val="000B1862"/>
    <w:rsid w:val="000B7BE8"/>
    <w:rsid w:val="000E264F"/>
    <w:rsid w:val="000E3FE2"/>
    <w:rsid w:val="000F6F59"/>
    <w:rsid w:val="00102119"/>
    <w:rsid w:val="002202EA"/>
    <w:rsid w:val="00253510"/>
    <w:rsid w:val="002646DD"/>
    <w:rsid w:val="002940D2"/>
    <w:rsid w:val="002945A5"/>
    <w:rsid w:val="002A1AF0"/>
    <w:rsid w:val="002D3F80"/>
    <w:rsid w:val="002D4199"/>
    <w:rsid w:val="00323EA5"/>
    <w:rsid w:val="00327B8A"/>
    <w:rsid w:val="003363E7"/>
    <w:rsid w:val="0035206D"/>
    <w:rsid w:val="003528C5"/>
    <w:rsid w:val="00366641"/>
    <w:rsid w:val="003754B8"/>
    <w:rsid w:val="00383964"/>
    <w:rsid w:val="003A40F6"/>
    <w:rsid w:val="0040326B"/>
    <w:rsid w:val="00417550"/>
    <w:rsid w:val="00430112"/>
    <w:rsid w:val="00440F58"/>
    <w:rsid w:val="00443AE6"/>
    <w:rsid w:val="00455594"/>
    <w:rsid w:val="0047162D"/>
    <w:rsid w:val="004771A3"/>
    <w:rsid w:val="004C2847"/>
    <w:rsid w:val="004C2E47"/>
    <w:rsid w:val="004D54EB"/>
    <w:rsid w:val="00552B33"/>
    <w:rsid w:val="00553723"/>
    <w:rsid w:val="00565C80"/>
    <w:rsid w:val="005672BD"/>
    <w:rsid w:val="00577C5A"/>
    <w:rsid w:val="005C3D17"/>
    <w:rsid w:val="005C505E"/>
    <w:rsid w:val="0063630D"/>
    <w:rsid w:val="0064436A"/>
    <w:rsid w:val="0064691C"/>
    <w:rsid w:val="006D114C"/>
    <w:rsid w:val="006E0342"/>
    <w:rsid w:val="00757E87"/>
    <w:rsid w:val="007B33DA"/>
    <w:rsid w:val="007F3D3D"/>
    <w:rsid w:val="00847F3C"/>
    <w:rsid w:val="00867B20"/>
    <w:rsid w:val="008D448C"/>
    <w:rsid w:val="008F6422"/>
    <w:rsid w:val="00910E93"/>
    <w:rsid w:val="00913FB5"/>
    <w:rsid w:val="00915CBE"/>
    <w:rsid w:val="00922A1D"/>
    <w:rsid w:val="009563DB"/>
    <w:rsid w:val="00967143"/>
    <w:rsid w:val="00987E96"/>
    <w:rsid w:val="009A4C94"/>
    <w:rsid w:val="009C69DC"/>
    <w:rsid w:val="00A306A4"/>
    <w:rsid w:val="00A3609E"/>
    <w:rsid w:val="00A742E2"/>
    <w:rsid w:val="00A7778F"/>
    <w:rsid w:val="00A85C7E"/>
    <w:rsid w:val="00A913AA"/>
    <w:rsid w:val="00A918C6"/>
    <w:rsid w:val="00AA2501"/>
    <w:rsid w:val="00AA6E40"/>
    <w:rsid w:val="00AE267E"/>
    <w:rsid w:val="00B24244"/>
    <w:rsid w:val="00B351C0"/>
    <w:rsid w:val="00B36BF7"/>
    <w:rsid w:val="00B4484D"/>
    <w:rsid w:val="00B639FA"/>
    <w:rsid w:val="00B800B5"/>
    <w:rsid w:val="00BB0DF0"/>
    <w:rsid w:val="00BD6753"/>
    <w:rsid w:val="00BE4DB1"/>
    <w:rsid w:val="00BF1425"/>
    <w:rsid w:val="00C87B3B"/>
    <w:rsid w:val="00CA1153"/>
    <w:rsid w:val="00CB3466"/>
    <w:rsid w:val="00CB6258"/>
    <w:rsid w:val="00CD46A6"/>
    <w:rsid w:val="00CF476D"/>
    <w:rsid w:val="00D2400A"/>
    <w:rsid w:val="00D52741"/>
    <w:rsid w:val="00D5518D"/>
    <w:rsid w:val="00D61197"/>
    <w:rsid w:val="00D720E5"/>
    <w:rsid w:val="00D90266"/>
    <w:rsid w:val="00E22C48"/>
    <w:rsid w:val="00E336F6"/>
    <w:rsid w:val="00E422AD"/>
    <w:rsid w:val="00E52ACB"/>
    <w:rsid w:val="00E66B04"/>
    <w:rsid w:val="00F33037"/>
    <w:rsid w:val="00F54292"/>
    <w:rsid w:val="00F56F9B"/>
    <w:rsid w:val="00FB7445"/>
    <w:rsid w:val="00FD5854"/>
    <w:rsid w:val="00FF2612"/>
    <w:rsid w:val="00FF6E5C"/>
    <w:rsid w:val="104866CA"/>
    <w:rsid w:val="2D5A53C0"/>
    <w:rsid w:val="36E82AF4"/>
    <w:rsid w:val="39AB6EA8"/>
    <w:rsid w:val="45BE1E55"/>
    <w:rsid w:val="4F1D573A"/>
    <w:rsid w:val="715804B9"/>
    <w:rsid w:val="75480203"/>
    <w:rsid w:val="75AA5722"/>
    <w:rsid w:val="771402B7"/>
    <w:rsid w:val="7FB45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0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C505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C505E"/>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5C50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5C505E"/>
    <w:pPr>
      <w:ind w:firstLineChars="200" w:firstLine="420"/>
    </w:pPr>
  </w:style>
  <w:style w:type="character" w:customStyle="1" w:styleId="Char0">
    <w:name w:val="页眉 Char"/>
    <w:basedOn w:val="a0"/>
    <w:link w:val="a4"/>
    <w:uiPriority w:val="99"/>
    <w:rsid w:val="005C505E"/>
    <w:rPr>
      <w:sz w:val="18"/>
      <w:szCs w:val="18"/>
    </w:rPr>
  </w:style>
  <w:style w:type="character" w:customStyle="1" w:styleId="Char">
    <w:name w:val="页脚 Char"/>
    <w:basedOn w:val="a0"/>
    <w:link w:val="a3"/>
    <w:uiPriority w:val="99"/>
    <w:qFormat/>
    <w:rsid w:val="005C505E"/>
    <w:rPr>
      <w:sz w:val="18"/>
      <w:szCs w:val="18"/>
    </w:rPr>
  </w:style>
  <w:style w:type="paragraph" w:customStyle="1" w:styleId="CharCharCharChar1CharCharChar">
    <w:name w:val="Char Char Char Char1 Char Char Char"/>
    <w:basedOn w:val="a"/>
    <w:qFormat/>
    <w:rsid w:val="005C505E"/>
    <w:rPr>
      <w:rFonts w:ascii="Tahoma" w:eastAsia="宋体" w:hAnsi="Tahoma" w:cs="Times New Roman"/>
      <w:sz w:val="24"/>
      <w:szCs w:val="20"/>
    </w:rPr>
  </w:style>
  <w:style w:type="paragraph" w:styleId="a7">
    <w:name w:val="Balloon Text"/>
    <w:basedOn w:val="a"/>
    <w:link w:val="Char1"/>
    <w:uiPriority w:val="99"/>
    <w:semiHidden/>
    <w:unhideWhenUsed/>
    <w:rsid w:val="005672BD"/>
    <w:rPr>
      <w:sz w:val="18"/>
      <w:szCs w:val="18"/>
    </w:rPr>
  </w:style>
  <w:style w:type="character" w:customStyle="1" w:styleId="Char1">
    <w:name w:val="批注框文本 Char"/>
    <w:basedOn w:val="a0"/>
    <w:link w:val="a7"/>
    <w:uiPriority w:val="99"/>
    <w:semiHidden/>
    <w:rsid w:val="005672B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6B215EC-399C-4C94-A4C9-4B2372BC89C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cp:revision>
  <cp:lastPrinted>2019-09-23T00:54:00Z</cp:lastPrinted>
  <dcterms:created xsi:type="dcterms:W3CDTF">2019-08-16T02:22:00Z</dcterms:created>
  <dcterms:modified xsi:type="dcterms:W3CDTF">2019-10-12T08:04:00Z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