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30"/>
          <w:szCs w:val="30"/>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30"/>
          <w:szCs w:val="30"/>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kern w:val="2"/>
          <w:sz w:val="36"/>
          <w:szCs w:val="36"/>
          <w:lang w:val="en-US" w:eastAsia="zh-CN" w:bidi="ar-SA"/>
        </w:rPr>
      </w:pPr>
      <w:bookmarkStart w:id="0" w:name="_GoBack"/>
      <w:r>
        <w:rPr>
          <w:rFonts w:hint="eastAsia" w:ascii="黑体" w:hAnsi="黑体" w:eastAsia="黑体" w:cs="黑体"/>
          <w:b w:val="0"/>
          <w:bCs w:val="0"/>
          <w:kern w:val="2"/>
          <w:sz w:val="36"/>
          <w:szCs w:val="36"/>
          <w:lang w:val="en-US" w:eastAsia="zh-CN" w:bidi="ar-SA"/>
        </w:rPr>
        <w:t>2021年揭阳市骨干人才奖补资金安排方案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根据《揭阳市人民政府关于印发揭阳市促进产业发展“1+1+12”政策体系文件的通知》（揭府规〔2020〕3号）、《揭阳市集聚人才创新发展若干措施实施细则》（揭市组发〔2021〕6号）、《关于开展2021年揭阳市骨干人才奖申报工作的通知》（揭市人社〔2021〕52号）等文件精神和要求，经申报、审核，现制订2021年揭阳市骨干人才奖补资金安排方案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b/>
          <w:bCs/>
          <w:kern w:val="2"/>
          <w:sz w:val="32"/>
          <w:szCs w:val="32"/>
          <w:vertAlign w:val="baseline"/>
          <w:lang w:val="en-US" w:eastAsia="zh-CN" w:bidi="ar-SA"/>
        </w:rPr>
      </w:pPr>
      <w:r>
        <w:rPr>
          <w:rFonts w:hint="default" w:ascii="仿宋" w:hAnsi="仿宋" w:eastAsia="仿宋" w:cs="仿宋"/>
          <w:b/>
          <w:bCs/>
          <w:kern w:val="2"/>
          <w:sz w:val="32"/>
          <w:szCs w:val="32"/>
          <w:vertAlign w:val="baseline"/>
          <w:lang w:val="en-US" w:eastAsia="zh-CN" w:bidi="ar-SA"/>
        </w:rPr>
        <w:t>一、奖补资金发放对象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kern w:val="2"/>
          <w:sz w:val="32"/>
          <w:szCs w:val="32"/>
          <w:vertAlign w:val="baseline"/>
          <w:lang w:val="en-US" w:eastAsia="zh-CN" w:bidi="ar-SA"/>
        </w:rPr>
      </w:pPr>
      <w:r>
        <w:rPr>
          <w:rFonts w:hint="default" w:ascii="仿宋" w:hAnsi="仿宋" w:eastAsia="仿宋" w:cs="仿宋"/>
          <w:kern w:val="2"/>
          <w:sz w:val="32"/>
          <w:szCs w:val="32"/>
          <w:vertAlign w:val="baseline"/>
          <w:lang w:val="en-US" w:eastAsia="zh-CN" w:bidi="ar-SA"/>
        </w:rPr>
        <w:t>2021年揭阳市骨干人才奖补对象陈晓芬等8人。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b/>
          <w:bCs/>
          <w:kern w:val="2"/>
          <w:sz w:val="32"/>
          <w:szCs w:val="32"/>
          <w:vertAlign w:val="baseline"/>
          <w:lang w:val="en-US" w:eastAsia="zh-CN" w:bidi="ar-SA"/>
        </w:rPr>
      </w:pPr>
      <w:r>
        <w:rPr>
          <w:rFonts w:hint="default" w:ascii="仿宋" w:hAnsi="仿宋" w:eastAsia="仿宋" w:cs="仿宋"/>
          <w:b/>
          <w:bCs/>
          <w:kern w:val="2"/>
          <w:sz w:val="32"/>
          <w:szCs w:val="32"/>
          <w:vertAlign w:val="baseline"/>
          <w:lang w:val="en-US" w:eastAsia="zh-CN" w:bidi="ar-SA"/>
        </w:rPr>
        <w:t>二、奖补资金发放标准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vertAlign w:val="baseline"/>
          <w:lang w:val="en-US" w:eastAsia="zh-CN" w:bidi="ar-SA"/>
        </w:rPr>
      </w:pPr>
      <w:r>
        <w:rPr>
          <w:rFonts w:hint="default" w:ascii="仿宋" w:hAnsi="仿宋" w:eastAsia="仿宋" w:cs="仿宋"/>
          <w:kern w:val="2"/>
          <w:sz w:val="32"/>
          <w:szCs w:val="32"/>
          <w:vertAlign w:val="baseline"/>
          <w:lang w:val="en-US" w:eastAsia="zh-CN" w:bidi="ar-SA"/>
        </w:rPr>
        <w:t>对符合条件的重点发展领域骨干人才，按照其个人上一年度对地方财政贡献的50%给予财政奖补（2020年补贴期为2020年8月31日-12月31日）。按照《印发广东省调整完善分税制财政管理体制实施方案的通知》（粤府〔2010〕169号）中关于个人所得税中央、省、市县共享收入分享比例为60%、20%、20%的规定，2021年骨干人才奖补资金的发放标准为：骨干人才个人2020年度在揭阳市缴纳个人所得税工资薪金所得（税款所属期为2020年8月-12月）入库金额（总库）揭阳市县分享部分的50%，计算公式为：2021年骨干人才奖补金额=骨干人才个人2020年度在揭阳市缴纳个人所得税工资薪金所得（税款所属期为2020年8月-12月）入库金额（总库）×20%×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b/>
          <w:bCs/>
          <w:kern w:val="2"/>
          <w:sz w:val="32"/>
          <w:szCs w:val="32"/>
          <w:vertAlign w:val="baseline"/>
          <w:lang w:val="en-US" w:eastAsia="zh-CN" w:bidi="ar-SA"/>
        </w:rPr>
      </w:pPr>
      <w:r>
        <w:rPr>
          <w:rFonts w:hint="default" w:ascii="仿宋" w:hAnsi="仿宋" w:eastAsia="仿宋" w:cs="仿宋"/>
          <w:b/>
          <w:bCs/>
          <w:kern w:val="2"/>
          <w:sz w:val="32"/>
          <w:szCs w:val="32"/>
          <w:vertAlign w:val="baseline"/>
          <w:lang w:val="en-US" w:eastAsia="zh-CN" w:bidi="ar-SA"/>
        </w:rPr>
        <w:t>三、奖补资金发放计划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vertAlign w:val="baseline"/>
          <w:lang w:val="en-US" w:eastAsia="zh-CN" w:bidi="ar-SA"/>
        </w:rPr>
      </w:pPr>
      <w:r>
        <w:rPr>
          <w:rFonts w:hint="default" w:ascii="仿宋" w:hAnsi="仿宋" w:eastAsia="仿宋" w:cs="仿宋"/>
          <w:kern w:val="2"/>
          <w:sz w:val="32"/>
          <w:szCs w:val="32"/>
          <w:vertAlign w:val="baseline"/>
          <w:lang w:val="en-US" w:eastAsia="zh-CN" w:bidi="ar-SA"/>
        </w:rPr>
        <w:t>奖补资金由分享该骨干人才地方财政贡献的市县财政部门按分成比例分担。在奖补资金安排方案批准后1个月内，由市财政局将市级负担资金下达揭阳产业园、揭东区财政部门，揭阳产业园、揭东区按程序落实；广东天诚密封件股份有限公司骨干人才奖补资金揭东区财政应分担25%，通过年终结算上解市，再由市补助揭阳产业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vertAlign w:val="baseline"/>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表</w:t>
      </w:r>
      <w:r>
        <w:rPr>
          <w:rFonts w:hint="eastAsia" w:ascii="仿宋" w:hAnsi="仿宋" w:eastAsia="仿宋"/>
          <w:sz w:val="32"/>
          <w:szCs w:val="32"/>
        </w:rPr>
        <w:t>：2021年揭阳市骨干人才奖补资金发放计划表</w:t>
      </w:r>
    </w:p>
    <w:p/>
    <w:p/>
    <w:p/>
    <w:p/>
    <w:p/>
    <w:p/>
    <w:p/>
    <w:p/>
    <w:p/>
    <w:p/>
    <w:p/>
    <w:p/>
    <w:p/>
    <w:p/>
    <w:p/>
    <w:p/>
    <w:p/>
    <w:p/>
    <w:p/>
    <w:p>
      <w:p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附表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sz w:val="30"/>
          <w:szCs w:val="30"/>
          <w:u w:val="none"/>
          <w:lang w:val="en-US" w:eastAsia="zh-CN"/>
        </w:rPr>
      </w:pP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2021年揭阳市骨干人才奖补资金发放计划表</w:t>
      </w:r>
    </w:p>
    <w:tbl>
      <w:tblPr>
        <w:tblStyle w:val="3"/>
        <w:tblW w:w="0" w:type="auto"/>
        <w:jc w:val="center"/>
        <w:tblLayout w:type="fixed"/>
        <w:tblCellMar>
          <w:top w:w="0" w:type="dxa"/>
          <w:left w:w="108" w:type="dxa"/>
          <w:bottom w:w="0" w:type="dxa"/>
          <w:right w:w="108" w:type="dxa"/>
        </w:tblCellMar>
      </w:tblPr>
      <w:tblGrid>
        <w:gridCol w:w="747"/>
        <w:gridCol w:w="1789"/>
        <w:gridCol w:w="1127"/>
        <w:gridCol w:w="1044"/>
        <w:gridCol w:w="1504"/>
        <w:gridCol w:w="1212"/>
        <w:gridCol w:w="1211"/>
        <w:gridCol w:w="3843"/>
      </w:tblGrid>
      <w:tr>
        <w:tblPrEx>
          <w:tblCellMar>
            <w:top w:w="0" w:type="dxa"/>
            <w:left w:w="108" w:type="dxa"/>
            <w:bottom w:w="0" w:type="dxa"/>
            <w:right w:w="108" w:type="dxa"/>
          </w:tblCellMar>
        </w:tblPrEx>
        <w:trPr>
          <w:trHeight w:val="332" w:hRule="atLeast"/>
          <w:jc w:val="center"/>
        </w:trPr>
        <w:tc>
          <w:tcPr>
            <w:tcW w:w="747" w:type="dxa"/>
            <w:tcBorders>
              <w:top w:val="nil"/>
              <w:left w:val="nil"/>
              <w:bottom w:val="single" w:color="000000" w:sz="4" w:space="0"/>
              <w:right w:val="nil"/>
            </w:tcBorders>
            <w:noWrap w:val="0"/>
            <w:vAlign w:val="top"/>
          </w:tcPr>
          <w:p>
            <w:pPr>
              <w:widowControl/>
              <w:jc w:val="left"/>
              <w:textAlignment w:val="top"/>
              <w:rPr>
                <w:rFonts w:ascii="宋体" w:cs="宋体"/>
                <w:color w:val="000000"/>
                <w:sz w:val="18"/>
                <w:szCs w:val="18"/>
              </w:rPr>
            </w:pPr>
            <w:r>
              <w:rPr>
                <w:rFonts w:ascii="宋体" w:hAnsi="宋体" w:cs="宋体"/>
                <w:color w:val="000000"/>
                <w:kern w:val="0"/>
                <w:sz w:val="18"/>
                <w:szCs w:val="18"/>
                <w:lang w:bidi="ar"/>
              </w:rPr>
              <w:t xml:space="preserve">                                                                                                                                                </w:t>
            </w:r>
          </w:p>
        </w:tc>
        <w:tc>
          <w:tcPr>
            <w:tcW w:w="1789" w:type="dxa"/>
            <w:tcBorders>
              <w:top w:val="nil"/>
              <w:left w:val="nil"/>
              <w:bottom w:val="single" w:color="000000" w:sz="4" w:space="0"/>
              <w:right w:val="nil"/>
            </w:tcBorders>
            <w:noWrap w:val="0"/>
            <w:vAlign w:val="top"/>
          </w:tcPr>
          <w:p>
            <w:pPr>
              <w:rPr>
                <w:rFonts w:ascii="宋体" w:cs="宋体"/>
                <w:color w:val="000000"/>
                <w:sz w:val="18"/>
                <w:szCs w:val="18"/>
              </w:rPr>
            </w:pPr>
          </w:p>
        </w:tc>
        <w:tc>
          <w:tcPr>
            <w:tcW w:w="1127" w:type="dxa"/>
            <w:tcBorders>
              <w:top w:val="nil"/>
              <w:left w:val="nil"/>
              <w:bottom w:val="single" w:color="000000" w:sz="4" w:space="0"/>
              <w:right w:val="nil"/>
            </w:tcBorders>
            <w:noWrap w:val="0"/>
            <w:vAlign w:val="top"/>
          </w:tcPr>
          <w:p>
            <w:pPr>
              <w:rPr>
                <w:rFonts w:ascii="宋体" w:cs="宋体"/>
                <w:color w:val="000000"/>
                <w:sz w:val="18"/>
                <w:szCs w:val="18"/>
              </w:rPr>
            </w:pPr>
          </w:p>
        </w:tc>
        <w:tc>
          <w:tcPr>
            <w:tcW w:w="1044" w:type="dxa"/>
            <w:tcBorders>
              <w:top w:val="nil"/>
              <w:left w:val="nil"/>
              <w:bottom w:val="single" w:color="000000" w:sz="4" w:space="0"/>
              <w:right w:val="nil"/>
            </w:tcBorders>
            <w:noWrap w:val="0"/>
            <w:vAlign w:val="top"/>
          </w:tcPr>
          <w:p>
            <w:pPr>
              <w:rPr>
                <w:rFonts w:ascii="宋体" w:cs="宋体"/>
                <w:color w:val="000000"/>
                <w:sz w:val="18"/>
                <w:szCs w:val="18"/>
              </w:rPr>
            </w:pPr>
          </w:p>
        </w:tc>
        <w:tc>
          <w:tcPr>
            <w:tcW w:w="1504" w:type="dxa"/>
            <w:tcBorders>
              <w:top w:val="nil"/>
              <w:left w:val="nil"/>
              <w:bottom w:val="single" w:color="000000" w:sz="4" w:space="0"/>
              <w:right w:val="nil"/>
            </w:tcBorders>
            <w:noWrap w:val="0"/>
            <w:vAlign w:val="top"/>
          </w:tcPr>
          <w:p>
            <w:pPr>
              <w:rPr>
                <w:rFonts w:ascii="宋体" w:cs="宋体"/>
                <w:color w:val="000000"/>
                <w:sz w:val="18"/>
                <w:szCs w:val="18"/>
              </w:rPr>
            </w:pPr>
          </w:p>
        </w:tc>
        <w:tc>
          <w:tcPr>
            <w:tcW w:w="1212" w:type="dxa"/>
            <w:tcBorders>
              <w:top w:val="nil"/>
              <w:left w:val="nil"/>
              <w:bottom w:val="single" w:color="000000" w:sz="4" w:space="0"/>
              <w:right w:val="nil"/>
            </w:tcBorders>
            <w:noWrap w:val="0"/>
            <w:vAlign w:val="top"/>
          </w:tcPr>
          <w:p>
            <w:pPr>
              <w:jc w:val="center"/>
              <w:rPr>
                <w:rFonts w:ascii="宋体" w:cs="宋体"/>
                <w:color w:val="000000"/>
                <w:sz w:val="18"/>
                <w:szCs w:val="18"/>
              </w:rPr>
            </w:pPr>
          </w:p>
        </w:tc>
        <w:tc>
          <w:tcPr>
            <w:tcW w:w="1211" w:type="dxa"/>
            <w:tcBorders>
              <w:top w:val="nil"/>
              <w:left w:val="nil"/>
              <w:bottom w:val="single" w:color="000000" w:sz="4" w:space="0"/>
              <w:right w:val="nil"/>
            </w:tcBorders>
            <w:noWrap w:val="0"/>
            <w:vAlign w:val="top"/>
          </w:tcPr>
          <w:p>
            <w:pPr>
              <w:rPr>
                <w:rFonts w:ascii="宋体" w:cs="宋体"/>
                <w:color w:val="000000"/>
                <w:sz w:val="18"/>
                <w:szCs w:val="18"/>
              </w:rPr>
            </w:pPr>
          </w:p>
        </w:tc>
        <w:tc>
          <w:tcPr>
            <w:tcW w:w="3843" w:type="dxa"/>
            <w:tcBorders>
              <w:top w:val="nil"/>
              <w:left w:val="nil"/>
              <w:bottom w:val="single" w:color="000000" w:sz="4" w:space="0"/>
              <w:right w:val="nil"/>
            </w:tcBorders>
            <w:noWrap w:val="0"/>
            <w:vAlign w:val="top"/>
          </w:tcPr>
          <w:p>
            <w:pPr>
              <w:jc w:val="cente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单位：元</w:t>
            </w:r>
          </w:p>
        </w:tc>
      </w:tr>
      <w:tr>
        <w:tblPrEx>
          <w:tblCellMar>
            <w:top w:w="0" w:type="dxa"/>
            <w:left w:w="108" w:type="dxa"/>
            <w:bottom w:w="0" w:type="dxa"/>
            <w:right w:w="108" w:type="dxa"/>
          </w:tblCellMar>
        </w:tblPrEx>
        <w:trPr>
          <w:trHeight w:val="786" w:hRule="atLeast"/>
          <w:jc w:val="center"/>
        </w:trPr>
        <w:tc>
          <w:tcPr>
            <w:tcW w:w="747"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序号</w:t>
            </w:r>
          </w:p>
        </w:tc>
        <w:tc>
          <w:tcPr>
            <w:tcW w:w="1789"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申报单位</w:t>
            </w:r>
          </w:p>
        </w:tc>
        <w:tc>
          <w:tcPr>
            <w:tcW w:w="1127"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申报单位所属地</w:t>
            </w:r>
          </w:p>
        </w:tc>
        <w:tc>
          <w:tcPr>
            <w:tcW w:w="1044"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申报人</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2021年骨干人才奖补金额</w:t>
            </w:r>
          </w:p>
        </w:tc>
        <w:tc>
          <w:tcPr>
            <w:tcW w:w="2423" w:type="dxa"/>
            <w:gridSpan w:val="2"/>
            <w:tcBorders>
              <w:top w:val="nil"/>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市县财政部门</w:t>
            </w:r>
            <w:r>
              <w:rPr>
                <w:rFonts w:hint="eastAsia" w:asciiTheme="minorEastAsia" w:hAnsiTheme="minorEastAsia" w:eastAsiaTheme="minorEastAsia" w:cstheme="minorEastAsia"/>
                <w:b/>
                <w:bCs/>
                <w:color w:val="000000"/>
                <w:kern w:val="0"/>
                <w:sz w:val="21"/>
                <w:szCs w:val="21"/>
                <w:lang w:bidi="ar"/>
              </w:rPr>
              <w:br w:type="textWrapping"/>
            </w:r>
            <w:r>
              <w:rPr>
                <w:rFonts w:hint="eastAsia" w:asciiTheme="minorEastAsia" w:hAnsiTheme="minorEastAsia" w:eastAsiaTheme="minorEastAsia" w:cstheme="minorEastAsia"/>
                <w:b/>
                <w:bCs/>
                <w:color w:val="000000"/>
                <w:kern w:val="0"/>
                <w:sz w:val="21"/>
                <w:szCs w:val="21"/>
                <w:lang w:bidi="ar"/>
              </w:rPr>
              <w:t>分担比例及金额</w:t>
            </w:r>
          </w:p>
        </w:tc>
        <w:tc>
          <w:tcPr>
            <w:tcW w:w="3843" w:type="dxa"/>
            <w:vMerge w:val="restart"/>
            <w:tcBorders>
              <w:top w:val="nil"/>
              <w:left w:val="nil"/>
              <w:right w:val="single" w:color="000000" w:sz="4" w:space="0"/>
            </w:tcBorders>
            <w:noWrap w:val="0"/>
            <w:vAlign w:val="center"/>
          </w:tcPr>
          <w:p>
            <w:pPr>
              <w:widowControl/>
              <w:jc w:val="center"/>
              <w:textAlignment w:val="center"/>
              <w:rPr>
                <w:rFonts w:ascii="黑体" w:hAnsi="黑体" w:eastAsia="黑体" w:cs="黑体"/>
                <w:b/>
                <w:bCs/>
                <w:color w:val="000000"/>
                <w:kern w:val="0"/>
                <w:sz w:val="21"/>
                <w:szCs w:val="21"/>
                <w:lang w:bidi="ar"/>
              </w:rPr>
            </w:pPr>
            <w:r>
              <w:rPr>
                <w:rFonts w:hint="eastAsia" w:asciiTheme="majorEastAsia" w:hAnsiTheme="majorEastAsia" w:eastAsiaTheme="majorEastAsia" w:cstheme="majorEastAsia"/>
                <w:b/>
                <w:bCs/>
                <w:color w:val="000000"/>
                <w:kern w:val="0"/>
                <w:sz w:val="21"/>
                <w:szCs w:val="21"/>
                <w:lang w:bidi="ar"/>
              </w:rPr>
              <w:t>备注</w:t>
            </w:r>
          </w:p>
        </w:tc>
      </w:tr>
      <w:tr>
        <w:tblPrEx>
          <w:tblCellMar>
            <w:top w:w="0" w:type="dxa"/>
            <w:left w:w="108" w:type="dxa"/>
            <w:bottom w:w="0" w:type="dxa"/>
            <w:right w:w="108" w:type="dxa"/>
          </w:tblCellMar>
        </w:tblPrEx>
        <w:trPr>
          <w:trHeight w:val="754" w:hRule="atLeast"/>
          <w:jc w:val="center"/>
        </w:trPr>
        <w:tc>
          <w:tcPr>
            <w:tcW w:w="747"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789"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127"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044"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c>
          <w:tcPr>
            <w:tcW w:w="1212"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市财政</w:t>
            </w:r>
            <w:r>
              <w:rPr>
                <w:rFonts w:hint="eastAsia" w:asciiTheme="minorEastAsia" w:hAnsiTheme="minorEastAsia" w:eastAsiaTheme="minorEastAsia" w:cstheme="minorEastAsia"/>
                <w:b/>
                <w:bCs/>
                <w:color w:val="000000"/>
                <w:kern w:val="0"/>
                <w:sz w:val="21"/>
                <w:szCs w:val="21"/>
                <w:lang w:bidi="ar"/>
              </w:rPr>
              <w:br w:type="textWrapping"/>
            </w:r>
            <w:r>
              <w:rPr>
                <w:rFonts w:hint="eastAsia" w:asciiTheme="minorEastAsia" w:hAnsiTheme="minorEastAsia" w:eastAsiaTheme="minorEastAsia" w:cstheme="minorEastAsia"/>
                <w:b/>
                <w:bCs/>
                <w:color w:val="000000"/>
                <w:kern w:val="0"/>
                <w:sz w:val="21"/>
                <w:szCs w:val="21"/>
                <w:lang w:bidi="ar"/>
              </w:rPr>
              <w:t>部门</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县（市、区）财政部门</w:t>
            </w:r>
          </w:p>
        </w:tc>
        <w:tc>
          <w:tcPr>
            <w:tcW w:w="3843" w:type="dxa"/>
            <w:vMerge w:val="continue"/>
            <w:tcBorders>
              <w:left w:val="nil"/>
              <w:bottom w:val="single" w:color="000000" w:sz="4" w:space="0"/>
              <w:right w:val="single" w:color="000000" w:sz="4" w:space="0"/>
            </w:tcBorders>
            <w:noWrap w:val="0"/>
            <w:vAlign w:val="center"/>
          </w:tcPr>
          <w:p>
            <w:pPr>
              <w:widowControl/>
              <w:jc w:val="center"/>
              <w:textAlignment w:val="center"/>
              <w:rPr>
                <w:rFonts w:ascii="宋体" w:hAnsi="宋体" w:cs="黑体"/>
                <w:color w:val="000000"/>
                <w:kern w:val="0"/>
                <w:sz w:val="21"/>
                <w:szCs w:val="21"/>
                <w:lang w:bidi="ar"/>
              </w:rPr>
            </w:pPr>
          </w:p>
        </w:tc>
      </w:tr>
      <w:tr>
        <w:tblPrEx>
          <w:tblCellMar>
            <w:top w:w="0" w:type="dxa"/>
            <w:left w:w="108" w:type="dxa"/>
            <w:bottom w:w="0" w:type="dxa"/>
            <w:right w:w="108" w:type="dxa"/>
          </w:tblCellMar>
        </w:tblPrEx>
        <w:trPr>
          <w:trHeight w:val="504"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1</w:t>
            </w:r>
          </w:p>
        </w:tc>
        <w:tc>
          <w:tcPr>
            <w:tcW w:w="17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巨轮智能装备</w:t>
            </w:r>
          </w:p>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股份有限公司</w:t>
            </w:r>
          </w:p>
        </w:tc>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揭东区</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陈晓芬</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1451.52 </w:t>
            </w:r>
          </w:p>
        </w:tc>
        <w:tc>
          <w:tcPr>
            <w:tcW w:w="1212" w:type="dxa"/>
            <w:vMerge w:val="restart"/>
            <w:tcBorders>
              <w:top w:val="nil"/>
              <w:left w:val="single" w:color="000000" w:sz="4" w:space="0"/>
              <w:right w:val="single" w:color="000000" w:sz="4" w:space="0"/>
            </w:tcBorders>
            <w:noWrap w:val="0"/>
            <w:vAlign w:val="center"/>
          </w:tcPr>
          <w:p>
            <w:pPr>
              <w:jc w:val="center"/>
              <w:rPr>
                <w:rFonts w:ascii="宋体" w:hAnsi="宋体" w:cs="黑体"/>
                <w:color w:val="000000"/>
                <w:sz w:val="21"/>
                <w:szCs w:val="21"/>
              </w:rPr>
            </w:pPr>
            <w:r>
              <w:rPr>
                <w:rFonts w:ascii="宋体" w:hAnsi="宋体" w:cs="黑体"/>
                <w:color w:val="000000"/>
                <w:sz w:val="21"/>
                <w:szCs w:val="21"/>
              </w:rPr>
              <w:t>50%</w:t>
            </w:r>
          </w:p>
          <w:p>
            <w:pPr>
              <w:jc w:val="center"/>
              <w:rPr>
                <w:rFonts w:ascii="宋体" w:hAnsi="宋体" w:cs="黑体"/>
                <w:color w:val="000000"/>
                <w:sz w:val="21"/>
                <w:szCs w:val="21"/>
              </w:rPr>
            </w:pPr>
            <w:r>
              <w:rPr>
                <w:rFonts w:ascii="宋体" w:hAnsi="宋体"/>
                <w:color w:val="000000"/>
                <w:sz w:val="21"/>
                <w:szCs w:val="21"/>
              </w:rPr>
              <w:t>2998.93</w:t>
            </w:r>
          </w:p>
        </w:tc>
        <w:tc>
          <w:tcPr>
            <w:tcW w:w="1211" w:type="dxa"/>
            <w:vMerge w:val="restart"/>
            <w:tcBorders>
              <w:top w:val="nil"/>
              <w:left w:val="single" w:color="000000" w:sz="4" w:space="0"/>
              <w:right w:val="single" w:color="000000" w:sz="4" w:space="0"/>
            </w:tcBorders>
            <w:noWrap w:val="0"/>
            <w:vAlign w:val="center"/>
          </w:tcPr>
          <w:p>
            <w:pPr>
              <w:jc w:val="center"/>
              <w:rPr>
                <w:rFonts w:ascii="宋体" w:hAnsi="宋体"/>
                <w:color w:val="000000"/>
                <w:sz w:val="21"/>
                <w:szCs w:val="21"/>
              </w:rPr>
            </w:pPr>
            <w:r>
              <w:rPr>
                <w:rFonts w:ascii="宋体" w:hAnsi="宋体"/>
                <w:color w:val="000000"/>
                <w:sz w:val="21"/>
                <w:szCs w:val="21"/>
              </w:rPr>
              <w:t>50%</w:t>
            </w:r>
          </w:p>
          <w:p>
            <w:pPr>
              <w:jc w:val="center"/>
              <w:rPr>
                <w:rFonts w:ascii="宋体" w:hAnsi="宋体"/>
                <w:color w:val="000000"/>
                <w:sz w:val="21"/>
                <w:szCs w:val="21"/>
              </w:rPr>
            </w:pPr>
            <w:r>
              <w:rPr>
                <w:rFonts w:ascii="宋体" w:hAnsi="宋体"/>
                <w:color w:val="000000"/>
                <w:sz w:val="21"/>
                <w:szCs w:val="21"/>
              </w:rPr>
              <w:t>2998.92</w:t>
            </w:r>
          </w:p>
        </w:tc>
        <w:tc>
          <w:tcPr>
            <w:tcW w:w="3843" w:type="dxa"/>
            <w:vMerge w:val="restart"/>
            <w:tcBorders>
              <w:top w:val="nil"/>
              <w:left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437"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2</w:t>
            </w:r>
          </w:p>
        </w:tc>
        <w:tc>
          <w:tcPr>
            <w:tcW w:w="1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陈志勇</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1047.13 </w:t>
            </w:r>
          </w:p>
        </w:tc>
        <w:tc>
          <w:tcPr>
            <w:tcW w:w="1212"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1211"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3843"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417"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3</w:t>
            </w:r>
          </w:p>
        </w:tc>
        <w:tc>
          <w:tcPr>
            <w:tcW w:w="1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林瑞波</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1417.51 </w:t>
            </w:r>
          </w:p>
        </w:tc>
        <w:tc>
          <w:tcPr>
            <w:tcW w:w="1212"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1211"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3843"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3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4</w:t>
            </w:r>
          </w:p>
        </w:tc>
        <w:tc>
          <w:tcPr>
            <w:tcW w:w="1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姚</w:t>
            </w:r>
            <w:r>
              <w:rPr>
                <w:rFonts w:hint="eastAsia" w:ascii="宋体" w:hAnsi="宋体" w:cs="宋体"/>
                <w:color w:val="000000"/>
                <w:kern w:val="0"/>
                <w:sz w:val="21"/>
                <w:szCs w:val="21"/>
                <w:lang w:val="en-US" w:eastAsia="zh-CN" w:bidi="ar"/>
              </w:rPr>
              <w:t xml:space="preserve">  </w:t>
            </w:r>
            <w:r>
              <w:rPr>
                <w:rFonts w:hint="eastAsia" w:ascii="宋体" w:hAnsi="宋体" w:cs="宋体"/>
                <w:color w:val="000000"/>
                <w:kern w:val="0"/>
                <w:sz w:val="21"/>
                <w:szCs w:val="21"/>
                <w:lang w:bidi="ar"/>
              </w:rPr>
              <w:t>宁</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588.19 </w:t>
            </w:r>
          </w:p>
        </w:tc>
        <w:tc>
          <w:tcPr>
            <w:tcW w:w="1212"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1211"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3843"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417"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5</w:t>
            </w:r>
          </w:p>
        </w:tc>
        <w:tc>
          <w:tcPr>
            <w:tcW w:w="17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广东蒙泰高新纤维股份有限公司</w:t>
            </w: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郭清海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1041.45 </w:t>
            </w:r>
          </w:p>
        </w:tc>
        <w:tc>
          <w:tcPr>
            <w:tcW w:w="1212"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1211"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c>
          <w:tcPr>
            <w:tcW w:w="3843" w:type="dxa"/>
            <w:vMerge w:val="continue"/>
            <w:tcBorders>
              <w:left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38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6</w:t>
            </w:r>
          </w:p>
        </w:tc>
        <w:tc>
          <w:tcPr>
            <w:tcW w:w="1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郑小毅</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452.05 </w:t>
            </w:r>
          </w:p>
        </w:tc>
        <w:tc>
          <w:tcPr>
            <w:tcW w:w="1212"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c>
          <w:tcPr>
            <w:tcW w:w="1211"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c>
          <w:tcPr>
            <w:tcW w:w="3843"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465"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7</w:t>
            </w:r>
          </w:p>
        </w:tc>
        <w:tc>
          <w:tcPr>
            <w:tcW w:w="17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广东天诚密封件</w:t>
            </w:r>
          </w:p>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股份有限公司</w:t>
            </w:r>
          </w:p>
        </w:tc>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揭阳</w:t>
            </w:r>
          </w:p>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产业园</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吴克胜</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5670.02 </w:t>
            </w:r>
          </w:p>
        </w:tc>
        <w:tc>
          <w:tcPr>
            <w:tcW w:w="1212"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olor w:val="000000"/>
                <w:sz w:val="21"/>
                <w:szCs w:val="21"/>
              </w:rPr>
            </w:pPr>
            <w:r>
              <w:rPr>
                <w:rFonts w:ascii="宋体" w:hAnsi="宋体"/>
                <w:color w:val="000000"/>
                <w:sz w:val="21"/>
                <w:szCs w:val="21"/>
              </w:rPr>
              <w:t>25%</w:t>
            </w:r>
          </w:p>
          <w:p>
            <w:pPr>
              <w:jc w:val="center"/>
              <w:rPr>
                <w:rFonts w:ascii="宋体" w:hAnsi="宋体"/>
                <w:color w:val="000000"/>
                <w:sz w:val="21"/>
                <w:szCs w:val="21"/>
              </w:rPr>
            </w:pPr>
            <w:r>
              <w:rPr>
                <w:rFonts w:ascii="宋体" w:hAnsi="宋体"/>
                <w:color w:val="000000"/>
                <w:sz w:val="21"/>
                <w:szCs w:val="21"/>
              </w:rPr>
              <w:t>2266.23</w:t>
            </w:r>
          </w:p>
        </w:tc>
        <w:tc>
          <w:tcPr>
            <w:tcW w:w="1211"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olor w:val="000000"/>
                <w:sz w:val="21"/>
                <w:szCs w:val="21"/>
              </w:rPr>
            </w:pPr>
            <w:r>
              <w:rPr>
                <w:rFonts w:ascii="宋体" w:hAnsi="宋体"/>
                <w:color w:val="000000"/>
                <w:sz w:val="21"/>
                <w:szCs w:val="21"/>
              </w:rPr>
              <w:t>75%</w:t>
            </w:r>
          </w:p>
          <w:p>
            <w:pPr>
              <w:jc w:val="center"/>
              <w:rPr>
                <w:rFonts w:ascii="宋体" w:hAnsi="宋体"/>
                <w:color w:val="000000"/>
                <w:sz w:val="21"/>
                <w:szCs w:val="21"/>
              </w:rPr>
            </w:pPr>
            <w:r>
              <w:rPr>
                <w:rFonts w:ascii="宋体" w:hAnsi="宋体"/>
                <w:color w:val="000000"/>
                <w:sz w:val="21"/>
                <w:szCs w:val="21"/>
              </w:rPr>
              <w:t>6798.69</w:t>
            </w:r>
          </w:p>
        </w:tc>
        <w:tc>
          <w:tcPr>
            <w:tcW w:w="3843" w:type="dxa"/>
            <w:vMerge w:val="restart"/>
            <w:tcBorders>
              <w:top w:val="single" w:color="000000" w:sz="4" w:space="0"/>
              <w:left w:val="single" w:color="000000" w:sz="4" w:space="0"/>
              <w:right w:val="single" w:color="000000" w:sz="4" w:space="0"/>
            </w:tcBorders>
            <w:noWrap w:val="0"/>
            <w:vAlign w:val="center"/>
          </w:tcPr>
          <w:p>
            <w:pPr>
              <w:jc w:val="left"/>
              <w:rPr>
                <w:rFonts w:ascii="宋体" w:hAnsi="宋体"/>
                <w:color w:val="000000"/>
                <w:sz w:val="21"/>
                <w:szCs w:val="21"/>
              </w:rPr>
            </w:pPr>
            <w:r>
              <w:rPr>
                <w:rFonts w:hint="eastAsia" w:ascii="宋体" w:hAnsi="宋体"/>
                <w:color w:val="000000"/>
                <w:sz w:val="21"/>
                <w:szCs w:val="21"/>
              </w:rPr>
              <w:t>县区财政部门分担</w:t>
            </w:r>
            <w:r>
              <w:rPr>
                <w:rFonts w:ascii="宋体" w:hAnsi="宋体"/>
                <w:color w:val="000000"/>
                <w:sz w:val="21"/>
                <w:szCs w:val="21"/>
              </w:rPr>
              <w:t>75%</w:t>
            </w:r>
            <w:r>
              <w:rPr>
                <w:rFonts w:hint="eastAsia" w:ascii="宋体" w:hAnsi="宋体"/>
                <w:color w:val="000000"/>
                <w:sz w:val="21"/>
                <w:szCs w:val="21"/>
              </w:rPr>
              <w:t>，其中揭东区财政部门分担</w:t>
            </w:r>
            <w:r>
              <w:rPr>
                <w:rFonts w:ascii="宋体" w:hAnsi="宋体"/>
                <w:color w:val="000000"/>
                <w:sz w:val="21"/>
                <w:szCs w:val="21"/>
              </w:rPr>
              <w:t>25%</w:t>
            </w:r>
            <w:r>
              <w:rPr>
                <w:rFonts w:hint="eastAsia" w:ascii="宋体" w:hAnsi="宋体"/>
                <w:color w:val="000000"/>
                <w:sz w:val="21"/>
                <w:szCs w:val="21"/>
              </w:rPr>
              <w:t>，</w:t>
            </w:r>
            <w:r>
              <w:rPr>
                <w:rFonts w:ascii="宋体" w:hAnsi="宋体"/>
                <w:color w:val="000000"/>
                <w:sz w:val="21"/>
                <w:szCs w:val="21"/>
              </w:rPr>
              <w:t>2266.23</w:t>
            </w:r>
            <w:r>
              <w:rPr>
                <w:rFonts w:hint="eastAsia" w:ascii="宋体" w:hAnsi="宋体"/>
                <w:color w:val="000000"/>
                <w:sz w:val="21"/>
                <w:szCs w:val="21"/>
              </w:rPr>
              <w:t>元；揭阳产业园财政部门分担</w:t>
            </w:r>
            <w:r>
              <w:rPr>
                <w:rFonts w:ascii="宋体" w:hAnsi="宋体"/>
                <w:color w:val="000000"/>
                <w:sz w:val="21"/>
                <w:szCs w:val="21"/>
              </w:rPr>
              <w:t>50%</w:t>
            </w:r>
            <w:r>
              <w:rPr>
                <w:rFonts w:hint="eastAsia" w:ascii="宋体" w:hAnsi="宋体"/>
                <w:color w:val="000000"/>
                <w:sz w:val="21"/>
                <w:szCs w:val="21"/>
              </w:rPr>
              <w:t>，</w:t>
            </w:r>
            <w:r>
              <w:rPr>
                <w:rFonts w:ascii="宋体" w:hAnsi="宋体"/>
                <w:color w:val="000000"/>
                <w:sz w:val="21"/>
                <w:szCs w:val="21"/>
              </w:rPr>
              <w:t>4532.46</w:t>
            </w:r>
            <w:r>
              <w:rPr>
                <w:rFonts w:hint="eastAsia" w:ascii="宋体" w:hAnsi="宋体"/>
                <w:color w:val="000000"/>
                <w:sz w:val="21"/>
                <w:szCs w:val="21"/>
              </w:rPr>
              <w:t>元。</w:t>
            </w:r>
          </w:p>
        </w:tc>
      </w:tr>
      <w:tr>
        <w:tblPrEx>
          <w:tblCellMar>
            <w:top w:w="0" w:type="dxa"/>
            <w:left w:w="108" w:type="dxa"/>
            <w:bottom w:w="0" w:type="dxa"/>
            <w:right w:w="108" w:type="dxa"/>
          </w:tblCellMar>
        </w:tblPrEx>
        <w:trPr>
          <w:trHeight w:val="444"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8</w:t>
            </w:r>
          </w:p>
        </w:tc>
        <w:tc>
          <w:tcPr>
            <w:tcW w:w="17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何</w:t>
            </w:r>
            <w:r>
              <w:rPr>
                <w:rFonts w:hint="eastAsia" w:ascii="宋体" w:hAnsi="宋体" w:cs="宋体"/>
                <w:color w:val="000000"/>
                <w:kern w:val="0"/>
                <w:sz w:val="21"/>
                <w:szCs w:val="21"/>
                <w:lang w:val="en-US" w:eastAsia="zh-CN" w:bidi="ar"/>
              </w:rPr>
              <w:t xml:space="preserve">  </w:t>
            </w:r>
            <w:r>
              <w:rPr>
                <w:rFonts w:hint="eastAsia" w:ascii="宋体" w:hAnsi="宋体" w:cs="宋体"/>
                <w:color w:val="000000"/>
                <w:kern w:val="0"/>
                <w:sz w:val="21"/>
                <w:szCs w:val="21"/>
                <w:lang w:bidi="ar"/>
              </w:rPr>
              <w:t>洪</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 xml:space="preserve">3394.90 </w:t>
            </w:r>
          </w:p>
        </w:tc>
        <w:tc>
          <w:tcPr>
            <w:tcW w:w="1212"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c>
          <w:tcPr>
            <w:tcW w:w="1211"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c>
          <w:tcPr>
            <w:tcW w:w="3843"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r>
      <w:tr>
        <w:tblPrEx>
          <w:tblCellMar>
            <w:top w:w="0" w:type="dxa"/>
            <w:left w:w="108" w:type="dxa"/>
            <w:bottom w:w="0" w:type="dxa"/>
            <w:right w:w="108" w:type="dxa"/>
          </w:tblCellMar>
        </w:tblPrEx>
        <w:trPr>
          <w:trHeight w:val="427" w:hRule="atLeast"/>
          <w:jc w:val="center"/>
        </w:trPr>
        <w:tc>
          <w:tcPr>
            <w:tcW w:w="74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黑体"/>
                <w:color w:val="000000"/>
                <w:sz w:val="21"/>
                <w:szCs w:val="21"/>
              </w:rPr>
            </w:pPr>
            <w:r>
              <w:rPr>
                <w:rFonts w:hint="eastAsia" w:ascii="宋体" w:hAnsi="宋体" w:cs="黑体"/>
                <w:color w:val="000000"/>
                <w:kern w:val="0"/>
                <w:sz w:val="21"/>
                <w:szCs w:val="21"/>
                <w:lang w:bidi="ar"/>
              </w:rPr>
              <w:t>合计</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黑体"/>
                <w:color w:val="000000"/>
                <w:sz w:val="21"/>
                <w:szCs w:val="21"/>
              </w:rPr>
            </w:pPr>
          </w:p>
        </w:tc>
        <w:tc>
          <w:tcPr>
            <w:tcW w:w="112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黑体"/>
                <w:color w:val="000000"/>
                <w:sz w:val="21"/>
                <w:szCs w:val="21"/>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黑体"/>
                <w:color w:val="000000"/>
                <w:sz w:val="21"/>
                <w:szCs w:val="21"/>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1"/>
                <w:szCs w:val="21"/>
              </w:rPr>
            </w:pPr>
            <w:r>
              <w:rPr>
                <w:rFonts w:ascii="宋体" w:hAnsi="宋体"/>
                <w:color w:val="000000"/>
                <w:kern w:val="0"/>
                <w:sz w:val="21"/>
                <w:szCs w:val="21"/>
                <w:lang w:bidi="ar"/>
              </w:rPr>
              <w:t>15062.77</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r>
              <w:rPr>
                <w:rFonts w:ascii="宋体" w:hAnsi="宋体"/>
                <w:color w:val="000000"/>
                <w:sz w:val="21"/>
                <w:szCs w:val="21"/>
              </w:rPr>
              <w:t>5265.16</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r>
              <w:rPr>
                <w:rFonts w:ascii="宋体" w:hAnsi="宋体"/>
                <w:color w:val="000000"/>
                <w:sz w:val="21"/>
                <w:szCs w:val="21"/>
              </w:rPr>
              <w:t>9797.61</w:t>
            </w:r>
          </w:p>
        </w:tc>
        <w:tc>
          <w:tcPr>
            <w:tcW w:w="3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1"/>
                <w:szCs w:val="21"/>
              </w:rPr>
            </w:pPr>
          </w:p>
        </w:tc>
      </w:tr>
    </w:tbl>
    <w:p>
      <w:pPr>
        <w:ind w:firstLine="720" w:firstLineChars="400"/>
        <w:rPr>
          <w:rFonts w:ascii="宋体" w:hAnsi="宋体" w:cs="仿宋"/>
          <w:sz w:val="18"/>
          <w:szCs w:val="18"/>
        </w:rPr>
      </w:pPr>
      <w:r>
        <w:rPr>
          <w:rFonts w:hint="eastAsia" w:ascii="宋体" w:hAnsi="宋体" w:cs="仿宋"/>
          <w:sz w:val="18"/>
          <w:szCs w:val="18"/>
        </w:rPr>
        <w:t>注：</w:t>
      </w:r>
      <w:r>
        <w:rPr>
          <w:rFonts w:ascii="宋体" w:hAnsi="宋体" w:cs="仿宋"/>
          <w:sz w:val="18"/>
          <w:szCs w:val="18"/>
        </w:rPr>
        <w:t xml:space="preserve"> 1.</w:t>
      </w:r>
      <w:r>
        <w:rPr>
          <w:rFonts w:hint="eastAsia" w:ascii="宋体" w:hAnsi="宋体" w:cs="仿宋"/>
          <w:sz w:val="18"/>
          <w:szCs w:val="18"/>
        </w:rPr>
        <w:t>骨干人才奖补资金由分享该骨干人才地方财政贡献的市县财政部门按分成比例分担。</w:t>
      </w:r>
    </w:p>
    <w:p>
      <w:pPr>
        <w:rPr>
          <w:rFonts w:ascii="仿宋" w:hAnsi="仿宋" w:eastAsia="仿宋"/>
          <w:sz w:val="30"/>
          <w:szCs w:val="30"/>
        </w:rPr>
      </w:pPr>
      <w:r>
        <w:rPr>
          <w:rFonts w:ascii="宋体" w:hAnsi="宋体" w:cs="仿宋"/>
          <w:sz w:val="18"/>
          <w:szCs w:val="18"/>
        </w:rPr>
        <w:t xml:space="preserve">             2.</w:t>
      </w:r>
      <w:r>
        <w:rPr>
          <w:rFonts w:hint="eastAsia" w:ascii="宋体" w:hAnsi="宋体" w:cs="仿宋"/>
          <w:sz w:val="18"/>
          <w:szCs w:val="18"/>
        </w:rPr>
        <w:t>金额四舍五入，保留小数点后两位数。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7055A"/>
    <w:rsid w:val="6137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2022-01-14T03:55:00Z</dcterms:created>
  <dc:creator>刘娴娴</dc:creator>
  <cp:lastModifiedBy>刘娴娴</cp:lastModifiedBy>
  <dcterms:modified xsi:type="dcterms:W3CDTF">2022-01-14T03:57:54Z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0DD9F660A2754FB2BA8D1781DB15A616</vt:lpwstr>
  </property>
</Properties>
</file>