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60" w:lineRule="exact"/>
        <w:jc w:val="left"/>
        <w:textAlignment w:val="auto"/>
        <w:rPr>
          <w:rFonts w:hint="default" w:ascii="黑体" w:hAnsi="黑体" w:eastAsia="黑体" w:cs="黑体"/>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揭阳市省级先进制造业发展专项资金</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（普惠性制造业投资奖励）</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管理实施细则</w:t>
      </w:r>
    </w:p>
    <w:p>
      <w:pPr>
        <w:pStyle w:val="2"/>
        <w:keepNext w:val="0"/>
        <w:keepLines w:val="0"/>
        <w:pageBreakBefore w:val="0"/>
        <w:kinsoku/>
        <w:wordWrap/>
        <w:overflowPunct/>
        <w:topLinePunct w:val="0"/>
        <w:bidi w:val="0"/>
        <w:snapToGrid/>
        <w:spacing w:line="560" w:lineRule="exact"/>
        <w:jc w:val="center"/>
        <w:textAlignment w:val="auto"/>
        <w:rPr>
          <w:rFonts w:hint="eastAsia" w:eastAsia="方正小标宋简体"/>
          <w:lang w:eastAsia="zh-CN"/>
        </w:rPr>
      </w:pPr>
    </w:p>
    <w:p>
      <w:pPr>
        <w:keepNext w:val="0"/>
        <w:keepLines w:val="0"/>
        <w:pageBreakBefore w:val="0"/>
        <w:kinsoku/>
        <w:wordWrap/>
        <w:overflowPunct/>
        <w:topLinePunct w:val="0"/>
        <w:autoSpaceDE w:val="0"/>
        <w:bidi w:val="0"/>
        <w:snapToGrid/>
        <w:spacing w:line="560" w:lineRule="exact"/>
        <w:jc w:val="center"/>
        <w:textAlignment w:val="auto"/>
        <w:rPr>
          <w:rFonts w:ascii="方正小标宋_GBK" w:eastAsia="方正小标宋_GBK"/>
          <w:color w:val="000000"/>
          <w:sz w:val="32"/>
          <w:szCs w:val="32"/>
        </w:rPr>
      </w:pPr>
    </w:p>
    <w:p>
      <w:pPr>
        <w:keepNext w:val="0"/>
        <w:keepLines w:val="0"/>
        <w:pageBreakBefore w:val="0"/>
        <w:kinsoku/>
        <w:wordWrap/>
        <w:overflowPunct/>
        <w:topLinePunct w:val="0"/>
        <w:autoSpaceDE w:val="0"/>
        <w:bidi w:val="0"/>
        <w:snapToGrid/>
        <w:spacing w:line="560" w:lineRule="exact"/>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 xml:space="preserve">第一章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  则</w:t>
      </w:r>
    </w:p>
    <w:p>
      <w:pPr>
        <w:pStyle w:val="3"/>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根据《广东省人民政府关于印发广东省加快先进制造业项目投资建设若干政策措施的通知》(粤府</w:t>
      </w:r>
      <w:r>
        <w:rPr>
          <w:rFonts w:hint="default" w:ascii="Times New Roman" w:hAnsi="Times New Roman" w:eastAsia="仿宋_GB2312" w:cs="Times New Roman"/>
          <w:sz w:val="32"/>
          <w:szCs w:val="32"/>
        </w:rPr>
        <w:t>〔2021〕21</w:t>
      </w:r>
      <w:r>
        <w:rPr>
          <w:rFonts w:hint="eastAsia" w:ascii="仿宋_GB2312" w:hAnsi="仿宋_GB2312" w:eastAsia="仿宋_GB2312" w:cs="仿宋_GB2312"/>
          <w:sz w:val="32"/>
          <w:szCs w:val="32"/>
        </w:rPr>
        <w:t>号，简称“</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号文”)、</w:t>
      </w:r>
      <w:r>
        <w:rPr>
          <w:rFonts w:hint="eastAsia" w:ascii="仿宋_GB2312" w:hAnsi="仿宋_GB2312" w:eastAsia="仿宋_GB2312" w:cs="仿宋_GB2312"/>
          <w:sz w:val="32"/>
          <w:szCs w:val="32"/>
          <w:lang w:eastAsia="zh-CN"/>
        </w:rPr>
        <w:t>《广东省省级财政专项资金管理办法（试行）》（粤府</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）、《广东省省级财政资金项目库管理办法（试行）》（粤财预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263</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《广东省先进制造业发展专项资金（普惠性制造业投资奖励）管理实施细则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修订本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》（粤工信技改函</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rPr>
        <w:t>号）等有关规定，为规范落实本市省级先进制造业投资奖励专项资金（普惠性制造业投资奖励）管理，制定本实施细则。</w:t>
      </w:r>
    </w:p>
    <w:p>
      <w:pPr>
        <w:pStyle w:val="3"/>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细则所称省级先进制造业发展专项资金（省普惠性制造业投资奖励）(以下简称“投资奖励资金”），是指省财政根据符合条件的制造业项目投资建设情况，按规定对揭阳市政府予以事后奖励的专项资金。投资奖励资金由揭阳市政府按规定用途统筹用于支持制造业项目引进建设。</w:t>
      </w:r>
    </w:p>
    <w:p>
      <w:pPr>
        <w:pStyle w:val="3"/>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本细则所称投资奖励资金测算奖励额度的项目（以下简称“测算项目”）是指经评审后用于测算投资奖励资金符合条件的制造业项目；投资奖励资金支持项目（以下简称“支持项目”）是指</w:t>
      </w:r>
      <w:r>
        <w:rPr>
          <w:rFonts w:hint="eastAsia" w:ascii="仿宋_GB2312" w:hAnsi="仿宋_GB2312" w:eastAsia="仿宋_GB2312" w:cs="仿宋_GB2312"/>
          <w:sz w:val="32"/>
          <w:szCs w:val="32"/>
          <w:lang w:eastAsia="zh-CN"/>
        </w:rPr>
        <w:t>按照投资奖励资金使用范围</w:t>
      </w:r>
      <w:r>
        <w:rPr>
          <w:rFonts w:hint="eastAsia" w:ascii="仿宋_GB2312" w:hAnsi="仿宋_GB2312" w:eastAsia="仿宋_GB2312" w:cs="仿宋_GB2312"/>
          <w:sz w:val="32"/>
          <w:szCs w:val="32"/>
        </w:rPr>
        <w:t>经评审遴选后予以支持的项目。测算项目仅用于测算投资奖励资金额度，不等同于支持项目；支持项目</w:t>
      </w:r>
      <w:r>
        <w:rPr>
          <w:rFonts w:hint="eastAsia" w:ascii="仿宋_GB2312" w:hAnsi="仿宋_GB2312" w:eastAsia="仿宋_GB2312" w:cs="仿宋_GB2312"/>
          <w:sz w:val="32"/>
          <w:szCs w:val="32"/>
          <w:lang w:eastAsia="zh-CN"/>
        </w:rPr>
        <w:t>须符合投资奖励资金适用范围，可从测算项目中评选遴选产生。</w:t>
      </w:r>
    </w:p>
    <w:p>
      <w:pPr>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本实施细则所称新增实际固定资产投资是指符合条件的测算项目在</w:t>
      </w:r>
      <w:r>
        <w:rPr>
          <w:rFonts w:hint="eastAsia" w:ascii="仿宋_GB2312" w:hAnsi="仿宋_GB2312" w:eastAsia="仿宋_GB2312" w:cs="仿宋_GB2312"/>
          <w:color w:val="000000"/>
          <w:sz w:val="32"/>
          <w:szCs w:val="32"/>
          <w:lang w:val="en-US" w:eastAsia="zh-CN"/>
        </w:rPr>
        <w:t>规定时限</w:t>
      </w:r>
      <w:r>
        <w:rPr>
          <w:rFonts w:hint="eastAsia" w:ascii="仿宋_GB2312" w:hAnsi="仿宋_GB2312" w:eastAsia="仿宋_GB2312" w:cs="仿宋_GB2312"/>
          <w:color w:val="000000"/>
          <w:sz w:val="32"/>
          <w:szCs w:val="32"/>
        </w:rPr>
        <w:t>内完成的</w:t>
      </w:r>
      <w:r>
        <w:rPr>
          <w:rFonts w:hint="eastAsia" w:ascii="仿宋_GB2312" w:hAnsi="仿宋_GB2312" w:eastAsia="仿宋_GB2312" w:cs="仿宋_GB2312"/>
          <w:color w:val="000000"/>
          <w:sz w:val="32"/>
          <w:szCs w:val="32"/>
          <w:lang w:val="en-US" w:eastAsia="zh-CN"/>
        </w:rPr>
        <w:t>符合</w:t>
      </w:r>
      <w:r>
        <w:rPr>
          <w:rFonts w:hint="eastAsia" w:ascii="仿宋_GB2312" w:hAnsi="仿宋_GB2312" w:eastAsia="仿宋_GB2312" w:cs="仿宋_GB2312"/>
          <w:color w:val="000000"/>
          <w:sz w:val="32"/>
          <w:szCs w:val="32"/>
        </w:rPr>
        <w:t>固定资产投资</w:t>
      </w:r>
      <w:r>
        <w:rPr>
          <w:rFonts w:hint="eastAsia" w:ascii="仿宋_GB2312" w:hAnsi="仿宋_GB2312" w:eastAsia="仿宋_GB2312" w:cs="仿宋_GB2312"/>
          <w:color w:val="000000"/>
          <w:sz w:val="32"/>
          <w:szCs w:val="32"/>
          <w:lang w:val="en-US" w:eastAsia="zh-CN"/>
        </w:rPr>
        <w:t>统计范围并经市政府审定的实际固定资产投资额</w:t>
      </w:r>
      <w:r>
        <w:rPr>
          <w:rFonts w:hint="eastAsia" w:ascii="仿宋_GB2312" w:hAnsi="仿宋_GB2312" w:eastAsia="仿宋_GB2312" w:cs="仿宋_GB2312"/>
          <w:color w:val="000000"/>
          <w:sz w:val="32"/>
          <w:szCs w:val="32"/>
        </w:rPr>
        <w:t>。</w:t>
      </w:r>
    </w:p>
    <w:p>
      <w:pPr>
        <w:pStyle w:val="3"/>
        <w:keepNext w:val="0"/>
        <w:keepLines w:val="0"/>
        <w:pageBreakBefore w:val="0"/>
        <w:kinsoku/>
        <w:wordWrap/>
        <w:overflowPunct/>
        <w:topLinePunct w:val="0"/>
        <w:bidi w:val="0"/>
        <w:snapToGrid/>
        <w:spacing w:line="560" w:lineRule="exact"/>
        <w:ind w:firstLine="64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围绕降低用地或生产经营成本、科研投入、产业园发展、配套建设、公共服务平台、设备奖励、贷款贴息、人才奖励、用工或职业技能培训、“工改工”等使用范围，将投资奖励资金用于支持制造业项目引进建设。</w:t>
      </w:r>
    </w:p>
    <w:p>
      <w:pPr>
        <w:pStyle w:val="3"/>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投资奖励资金测算申报和使用管理应遵循依法依规、公平公正、突出重点、科学分配、绩效导向、规范管理的原则。</w:t>
      </w:r>
    </w:p>
    <w:p>
      <w:pPr>
        <w:keepNext w:val="0"/>
        <w:keepLines w:val="0"/>
        <w:pageBreakBefore w:val="0"/>
        <w:kinsoku/>
        <w:wordWrap/>
        <w:overflowPunct/>
        <w:topLinePunct w:val="0"/>
        <w:bidi w:val="0"/>
        <w:snapToGrid/>
        <w:spacing w:line="560" w:lineRule="exact"/>
        <w:ind w:firstLine="640"/>
        <w:textAlignment w:val="auto"/>
      </w:pPr>
    </w:p>
    <w:p>
      <w:pPr>
        <w:pStyle w:val="3"/>
        <w:keepNext w:val="0"/>
        <w:keepLines w:val="0"/>
        <w:pageBreakBefore w:val="0"/>
        <w:kinsoku/>
        <w:wordWrap/>
        <w:overflowPunct/>
        <w:topLinePunct w:val="0"/>
        <w:bidi w:val="0"/>
        <w:snapToGrid/>
        <w:spacing w:line="560"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 xml:space="preserve">第二章 </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职责分工</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sz w:val="32"/>
          <w:szCs w:val="32"/>
        </w:rPr>
        <w:t>市工业和信息化局是投资奖励资金的</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业务主管部门，负责</w:t>
      </w:r>
      <w:r>
        <w:rPr>
          <w:rFonts w:hint="eastAsia" w:ascii="仿宋_GB2312" w:hAnsi="仿宋_GB2312" w:eastAsia="仿宋_GB2312" w:cs="仿宋_GB2312"/>
          <w:sz w:val="32"/>
          <w:szCs w:val="32"/>
          <w:lang w:eastAsia="zh-CN"/>
        </w:rPr>
        <w:t>牵头做好投资奖励资金评审测算和支持项目申报、评审等工作；制订全市投资奖励资金绩效目标；按规定组织公示、下达和信息公开；按要求开展投资奖励资金监督检查，按规定做好投资奖励资金绩效评价有关工作。</w:t>
      </w:r>
    </w:p>
    <w:p>
      <w:pPr>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市财政局负责</w:t>
      </w:r>
      <w:r>
        <w:rPr>
          <w:rFonts w:hint="eastAsia" w:ascii="仿宋_GB2312" w:hAnsi="仿宋_GB2312" w:eastAsia="仿宋_GB2312" w:cs="仿宋_GB2312"/>
          <w:color w:val="000000"/>
          <w:sz w:val="32"/>
          <w:szCs w:val="32"/>
          <w:lang w:eastAsia="zh-CN"/>
        </w:rPr>
        <w:t>投资奖励资金预算管理，</w:t>
      </w:r>
      <w:r>
        <w:rPr>
          <w:rFonts w:hint="eastAsia" w:ascii="仿宋_GB2312" w:hAnsi="仿宋_GB2312" w:eastAsia="仿宋_GB2312" w:cs="仿宋_GB2312"/>
          <w:color w:val="000000"/>
          <w:sz w:val="32"/>
          <w:szCs w:val="32"/>
        </w:rPr>
        <w:t>按规定下达拨付投资奖励资金，按要求组织实施奖励资金财政监督检查，审核全市投资奖励资金绩效目标，</w:t>
      </w:r>
      <w:r>
        <w:rPr>
          <w:rFonts w:hint="eastAsia" w:ascii="仿宋_GB2312" w:hAnsi="仿宋_GB2312" w:eastAsia="仿宋_GB2312" w:cs="仿宋_GB2312"/>
          <w:color w:val="000000"/>
          <w:sz w:val="32"/>
          <w:szCs w:val="32"/>
          <w:lang w:eastAsia="zh-CN"/>
        </w:rPr>
        <w:t>将资金使用管理、绩效目标完成情况运用在资金项目计划安排等方面</w:t>
      </w:r>
      <w:r>
        <w:rPr>
          <w:rFonts w:hint="eastAsia" w:ascii="仿宋_GB2312" w:hAnsi="仿宋_GB2312" w:eastAsia="仿宋_GB2312" w:cs="仿宋_GB2312"/>
          <w:color w:val="000000"/>
          <w:sz w:val="32"/>
          <w:szCs w:val="32"/>
        </w:rPr>
        <w:t>。</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p>
    <w:p>
      <w:pPr>
        <w:pStyle w:val="3"/>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rPr>
        <w:t>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sz w:val="32"/>
          <w:szCs w:val="32"/>
        </w:rPr>
        <w:t>各县（市、区）人民政府（管委会）是投资奖励资金测算项目和支持项目的推荐部门，负责做好投资奖励资金测算项目和支持项目的初审和推荐申报，</w:t>
      </w:r>
      <w:r>
        <w:rPr>
          <w:rFonts w:hint="eastAsia" w:ascii="仿宋_GB2312" w:hAnsi="仿宋_GB2312" w:eastAsia="仿宋_GB2312" w:cs="仿宋_GB2312"/>
          <w:sz w:val="32"/>
          <w:szCs w:val="32"/>
          <w:lang w:eastAsia="zh-CN"/>
        </w:rPr>
        <w:t>统筹本地投资奖励资金测算上报、使用监督、绩效管理等工作，</w:t>
      </w:r>
      <w:r>
        <w:rPr>
          <w:rFonts w:hint="eastAsia" w:ascii="仿宋_GB2312" w:hAnsi="仿宋_GB2312" w:eastAsia="仿宋_GB2312" w:cs="仿宋_GB2312"/>
          <w:sz w:val="32"/>
          <w:szCs w:val="32"/>
        </w:rPr>
        <w:t>开展本地支持项目和投资奖励资金的后续跟踪和监督管理，配合做好审计、监督检查、绩效评价等工作。各县（市、区）人民政府（管委会）指定本地工业和信息化主管部门牵头统筹投资奖励资金的组织实施等工作。</w:t>
      </w:r>
    </w:p>
    <w:p>
      <w:pPr>
        <w:keepNext w:val="0"/>
        <w:keepLines w:val="0"/>
        <w:pageBreakBefore w:val="0"/>
        <w:kinsoku/>
        <w:wordWrap/>
        <w:overflowPunct/>
        <w:topLinePunct w:val="0"/>
        <w:bidi w:val="0"/>
        <w:snapToGrid/>
        <w:spacing w:line="560" w:lineRule="exact"/>
        <w:textAlignment w:val="auto"/>
      </w:pPr>
    </w:p>
    <w:p>
      <w:pPr>
        <w:pStyle w:val="3"/>
        <w:keepNext w:val="0"/>
        <w:keepLines w:val="0"/>
        <w:pageBreakBefore w:val="0"/>
        <w:kinsoku/>
        <w:wordWrap/>
        <w:overflowPunct/>
        <w:topLinePunct w:val="0"/>
        <w:bidi w:val="0"/>
        <w:snapToGrid/>
        <w:spacing w:line="560" w:lineRule="exact"/>
        <w:jc w:val="center"/>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第三章 测算项目条件</w:t>
      </w:r>
      <w:r>
        <w:rPr>
          <w:rFonts w:hint="eastAsia" w:ascii="黑体" w:hAnsi="黑体" w:eastAsia="黑体"/>
          <w:color w:val="000000"/>
          <w:sz w:val="32"/>
          <w:szCs w:val="32"/>
          <w:lang w:eastAsia="zh-CN"/>
        </w:rPr>
        <w:t>和投资奖励资金使用范围</w:t>
      </w:r>
    </w:p>
    <w:p>
      <w:pPr>
        <w:pStyle w:val="3"/>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lang w:val="en-US" w:eastAsia="zh-CN"/>
        </w:rPr>
        <w:t xml:space="preserve"> </w:t>
      </w:r>
      <w:r>
        <w:rPr>
          <w:rFonts w:hint="eastAsia" w:ascii="仿宋_GB2312" w:hAnsi="仿宋_GB2312" w:eastAsia="仿宋_GB2312" w:cs="仿宋_GB2312"/>
          <w:color w:val="000000"/>
          <w:sz w:val="32"/>
          <w:szCs w:val="32"/>
        </w:rPr>
        <w:t>测算项目应具备</w:t>
      </w:r>
      <w:r>
        <w:rPr>
          <w:rFonts w:hint="eastAsia" w:ascii="仿宋_GB2312" w:hAnsi="仿宋_GB2312" w:eastAsia="仿宋_GB2312" w:cs="仿宋_GB2312"/>
          <w:color w:val="000000"/>
          <w:sz w:val="32"/>
          <w:szCs w:val="32"/>
          <w:lang w:eastAsia="zh-CN"/>
        </w:rPr>
        <w:t>以下</w:t>
      </w:r>
      <w:r>
        <w:rPr>
          <w:rFonts w:hint="eastAsia" w:ascii="仿宋_GB2312" w:hAnsi="仿宋_GB2312" w:eastAsia="仿宋_GB2312" w:cs="仿宋_GB2312"/>
          <w:color w:val="000000"/>
          <w:sz w:val="32"/>
          <w:szCs w:val="32"/>
        </w:rPr>
        <w:t>条件</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测算项目未获得过省重大制造业项目投资奖励的支持；</w:t>
      </w:r>
    </w:p>
    <w:p>
      <w:pPr>
        <w:pStyle w:val="3"/>
        <w:keepNext w:val="0"/>
        <w:keepLines w:val="0"/>
        <w:pageBreakBefore w:val="0"/>
        <w:kinsoku/>
        <w:wordWrap/>
        <w:overflowPunct/>
        <w:topLinePunct w:val="0"/>
        <w:bidi w:val="0"/>
        <w:snapToGrid/>
        <w:spacing w:line="560" w:lineRule="exact"/>
        <w:ind w:firstLine="640" w:firstLineChars="200"/>
        <w:textAlignment w:val="auto"/>
        <w:rPr>
          <w:rFonts w:eastAsia="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制造业项目立项和“十四五”期间（</w:t>
      </w:r>
      <w:r>
        <w:rPr>
          <w:rFonts w:eastAsia="仿宋_GB2312"/>
          <w:color w:val="000000"/>
          <w:sz w:val="32"/>
          <w:szCs w:val="32"/>
        </w:rPr>
        <w:t>2021</w:t>
      </w:r>
      <w:r>
        <w:rPr>
          <w:rFonts w:hint="eastAsia" w:ascii="仿宋_GB2312" w:hAnsi="仿宋_GB2312" w:eastAsia="仿宋_GB2312" w:cs="仿宋_GB2312"/>
          <w:color w:val="000000"/>
          <w:sz w:val="32"/>
          <w:szCs w:val="32"/>
        </w:rPr>
        <w:t>年</w:t>
      </w:r>
      <w:r>
        <w:rPr>
          <w:rFonts w:hint="eastAsia" w:eastAsia="仿宋_GB2312"/>
          <w:color w:val="000000"/>
          <w:sz w:val="32"/>
          <w:szCs w:val="32"/>
        </w:rPr>
        <w:t>1</w:t>
      </w:r>
      <w:r>
        <w:rPr>
          <w:rFonts w:hint="eastAsia" w:ascii="仿宋_GB2312" w:hAnsi="仿宋_GB2312" w:eastAsia="仿宋_GB2312" w:cs="仿宋_GB2312"/>
          <w:color w:val="000000"/>
          <w:sz w:val="32"/>
          <w:szCs w:val="32"/>
        </w:rPr>
        <w:t>月</w:t>
      </w:r>
      <w:r>
        <w:rPr>
          <w:rFonts w:hint="eastAsia" w:eastAsia="仿宋_GB2312"/>
          <w:color w:val="000000"/>
          <w:sz w:val="32"/>
          <w:szCs w:val="32"/>
        </w:rPr>
        <w:t>1</w:t>
      </w:r>
      <w:r>
        <w:rPr>
          <w:rFonts w:hint="eastAsia" w:ascii="仿宋_GB2312" w:hAnsi="仿宋_GB2312" w:eastAsia="仿宋_GB2312" w:cs="仿宋_GB2312"/>
          <w:color w:val="000000"/>
          <w:sz w:val="32"/>
          <w:szCs w:val="32"/>
        </w:rPr>
        <w:t>日至</w:t>
      </w:r>
      <w:r>
        <w:rPr>
          <w:rFonts w:hint="eastAsia" w:eastAsia="仿宋_GB2312"/>
          <w:color w:val="000000"/>
          <w:sz w:val="32"/>
          <w:szCs w:val="32"/>
        </w:rPr>
        <w:t>2025年12月31日）完成总投资须5亿元以上;</w:t>
      </w:r>
    </w:p>
    <w:p>
      <w:pPr>
        <w:pStyle w:val="3"/>
        <w:keepNext w:val="0"/>
        <w:keepLines w:val="0"/>
        <w:pageBreakBefore w:val="0"/>
        <w:kinsoku/>
        <w:wordWrap/>
        <w:overflowPunct/>
        <w:topLinePunct w:val="0"/>
        <w:bidi w:val="0"/>
        <w:snapToGrid/>
        <w:spacing w:line="56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）项目单位近</w:t>
      </w:r>
      <w:r>
        <w:rPr>
          <w:rFonts w:eastAsia="仿宋_GB2312"/>
          <w:color w:val="000000"/>
          <w:sz w:val="32"/>
          <w:szCs w:val="32"/>
        </w:rPr>
        <w:t>3</w:t>
      </w:r>
      <w:r>
        <w:rPr>
          <w:rFonts w:hint="eastAsia" w:ascii="仿宋_GB2312" w:hAnsi="仿宋_GB2312" w:eastAsia="仿宋_GB2312" w:cs="仿宋_GB2312"/>
          <w:color w:val="000000"/>
          <w:sz w:val="32"/>
          <w:szCs w:val="32"/>
        </w:rPr>
        <w:t>年内在质量、安全、环保等方面未发生重大事故,不属于失信被执行人；</w:t>
      </w:r>
    </w:p>
    <w:p>
      <w:pPr>
        <w:pStyle w:val="3"/>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）申报通知或指南明确的其他条件。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投资奖励资金使用范围：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投资奖励资金用于支持制造业项目引进建设，资金使用主要范围如下：降低用地或生产运营成本、科研投入、产业园发展、配套建设、公共服务平台、设备奖励、贷款贴息、人才奖励、用工或职业技能培训、“工改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（二）投资奖励资金不得用于已获得省级财政资金支持过的固定资产。</w:t>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（三）除中央和省委、省政府文件规定外、投资奖励资金一律不得用于行政事业单位编制内人员工作、津补贴、奖金和其他福利支出，楼堂馆所建设、修缮等。</w:t>
      </w:r>
    </w:p>
    <w:p>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bidi w:val="0"/>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测算项目申报程序</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第十二条</w:t>
      </w:r>
      <w:r>
        <w:rPr>
          <w:rFonts w:hint="eastAsia" w:ascii="仿宋_GB2312" w:hAnsi="仿宋_GB2312" w:eastAsia="仿宋_GB2312" w:cs="仿宋_GB2312"/>
          <w:sz w:val="32"/>
          <w:szCs w:val="32"/>
          <w:u w:val="none"/>
          <w:lang w:val="en-US" w:eastAsia="zh-CN"/>
        </w:rPr>
        <w:t xml:space="preserve">  市工业和信息化局按照省工业和信息化厅相关通知要求，负责起草投资奖励资金测算项目市级申报通知，按程序报市人民政府同意后发布。</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 xml:space="preserve">第十三条  </w:t>
      </w:r>
      <w:r>
        <w:rPr>
          <w:rFonts w:hint="eastAsia" w:ascii="仿宋_GB2312" w:hAnsi="仿宋_GB2312" w:eastAsia="仿宋_GB2312" w:cs="仿宋_GB2312"/>
          <w:sz w:val="32"/>
          <w:szCs w:val="32"/>
          <w:u w:val="none"/>
          <w:lang w:val="en-US" w:eastAsia="zh-CN"/>
        </w:rPr>
        <w:t>测算项目根据投资奖励资金测算项目市级申报通知有关要求，编制申报资料，提交县（市、区）人民政府（管委会）审核后上报市工业和信息化局。</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第十四条</w:t>
      </w:r>
      <w:r>
        <w:rPr>
          <w:rFonts w:hint="eastAsia" w:ascii="仿宋_GB2312" w:hAnsi="仿宋_GB2312" w:eastAsia="仿宋_GB2312" w:cs="仿宋_GB2312"/>
          <w:sz w:val="32"/>
          <w:szCs w:val="32"/>
          <w:u w:val="none"/>
          <w:lang w:val="en-US" w:eastAsia="zh-CN"/>
        </w:rPr>
        <w:t xml:space="preserve">  市工业和信息化局按省工业和信息化厅相关通知要求，负责组织开展测算项目评审等工作，按规定将测算项目有关情况报市人民政府审定后上报省工业和信息化厅。</w:t>
      </w:r>
    </w:p>
    <w:p>
      <w:pPr>
        <w:pStyle w:val="3"/>
        <w:keepNext w:val="0"/>
        <w:keepLines w:val="0"/>
        <w:pageBreakBefore w:val="0"/>
        <w:kinsoku/>
        <w:wordWrap/>
        <w:overflowPunct/>
        <w:topLinePunct w:val="0"/>
        <w:bidi w:val="0"/>
        <w:snapToGrid/>
        <w:spacing w:line="560" w:lineRule="exact"/>
        <w:ind w:firstLine="640"/>
        <w:textAlignment w:val="auto"/>
        <w:rPr>
          <w:rFonts w:hint="eastAsia"/>
          <w:lang w:val="en-US" w:eastAsia="zh-CN"/>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条</w:t>
      </w:r>
      <w:r>
        <w:rPr>
          <w:rFonts w:hint="eastAsia" w:ascii="仿宋" w:hAnsi="仿宋" w:eastAsia="仿宋" w:cs="宋体"/>
          <w:b/>
          <w:bCs/>
          <w:kern w:val="0"/>
          <w:sz w:val="32"/>
          <w:szCs w:val="32"/>
        </w:rPr>
        <w:t xml:space="preserve"> </w:t>
      </w:r>
      <w:r>
        <w:rPr>
          <w:rFonts w:hint="eastAsia" w:ascii="仿宋" w:hAnsi="仿宋" w:eastAsia="仿宋" w:cs="宋体"/>
          <w:b/>
          <w:bCs/>
          <w:kern w:val="0"/>
          <w:sz w:val="32"/>
          <w:szCs w:val="32"/>
          <w:lang w:val="en-US" w:eastAsia="zh-CN"/>
        </w:rPr>
        <w:t xml:space="preserve"> </w:t>
      </w:r>
      <w:r>
        <w:rPr>
          <w:rFonts w:hint="eastAsia" w:eastAsia="仿宋_GB2312" w:cs="仿宋_GB2312"/>
          <w:sz w:val="32"/>
          <w:szCs w:val="32"/>
          <w:lang w:eastAsia="zh-CN"/>
        </w:rPr>
        <w:t>投资奖励资金实行台账管理，各县（市、区）工业和信息化主管部门</w:t>
      </w:r>
      <w:r>
        <w:rPr>
          <w:rFonts w:hint="eastAsia" w:ascii="仿宋_GB2312" w:hAnsi="仿宋_GB2312" w:eastAsia="仿宋_GB2312" w:cs="仿宋_GB2312"/>
          <w:sz w:val="32"/>
          <w:szCs w:val="32"/>
        </w:rPr>
        <w:t>于每年</w:t>
      </w:r>
      <w:r>
        <w:rPr>
          <w:rFonts w:hint="eastAsia" w:eastAsia="仿宋_GB2312" w:cs="仿宋_GB2312"/>
          <w:sz w:val="32"/>
          <w:szCs w:val="32"/>
        </w:rPr>
        <w:t>1</w:t>
      </w:r>
      <w:r>
        <w:rPr>
          <w:rFonts w:hint="eastAsia" w:ascii="仿宋_GB2312" w:hAnsi="仿宋_GB2312" w:eastAsia="仿宋_GB2312" w:cs="仿宋_GB2312"/>
          <w:sz w:val="32"/>
          <w:szCs w:val="32"/>
        </w:rPr>
        <w:t>月</w:t>
      </w:r>
      <w:r>
        <w:rPr>
          <w:rFonts w:hint="eastAsia" w:eastAsia="仿宋_GB2312" w:cs="仿宋_GB2312"/>
          <w:sz w:val="32"/>
          <w:szCs w:val="32"/>
        </w:rPr>
        <w:t>10</w:t>
      </w:r>
      <w:r>
        <w:rPr>
          <w:rFonts w:hint="eastAsia" w:ascii="仿宋_GB2312" w:hAnsi="仿宋_GB2312" w:eastAsia="仿宋_GB2312" w:cs="仿宋_GB2312"/>
          <w:sz w:val="32"/>
          <w:szCs w:val="32"/>
        </w:rPr>
        <w:t>日和</w:t>
      </w:r>
      <w:r>
        <w:rPr>
          <w:rFonts w:hint="eastAsia" w:eastAsia="仿宋_GB2312" w:cs="仿宋_GB2312"/>
          <w:sz w:val="32"/>
          <w:szCs w:val="32"/>
        </w:rPr>
        <w:t>7</w:t>
      </w:r>
      <w:r>
        <w:rPr>
          <w:rFonts w:hint="eastAsia" w:ascii="仿宋_GB2312" w:hAnsi="仿宋_GB2312" w:eastAsia="仿宋_GB2312" w:cs="仿宋_GB2312"/>
          <w:sz w:val="32"/>
          <w:szCs w:val="32"/>
        </w:rPr>
        <w:t>月</w:t>
      </w:r>
      <w:r>
        <w:rPr>
          <w:rFonts w:hint="eastAsia" w:eastAsia="仿宋_GB2312" w:cs="仿宋_GB2312"/>
          <w:sz w:val="32"/>
          <w:szCs w:val="32"/>
        </w:rPr>
        <w:t>10</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投资奖励资金</w:t>
      </w:r>
      <w:r>
        <w:rPr>
          <w:rFonts w:hint="eastAsia" w:ascii="仿宋_GB2312" w:hAnsi="仿宋_GB2312" w:eastAsia="仿宋_GB2312" w:cs="仿宋_GB2312"/>
          <w:sz w:val="32"/>
          <w:szCs w:val="32"/>
        </w:rPr>
        <w:t>测算项目台账（</w:t>
      </w:r>
      <w:r>
        <w:rPr>
          <w:rFonts w:hint="eastAsia" w:ascii="仿宋_GB2312" w:hAnsi="仿宋_GB2312" w:eastAsia="仿宋_GB2312" w:cs="仿宋_GB2312"/>
          <w:sz w:val="32"/>
          <w:szCs w:val="32"/>
          <w:lang w:eastAsia="zh-CN"/>
        </w:rPr>
        <w:t>详见</w:t>
      </w:r>
      <w:r>
        <w:rPr>
          <w:rFonts w:hint="eastAsia" w:ascii="仿宋_GB2312" w:hAnsi="仿宋_GB2312" w:eastAsia="仿宋_GB2312" w:cs="仿宋_GB2312"/>
          <w:sz w:val="32"/>
          <w:szCs w:val="32"/>
        </w:rPr>
        <w:t>附件）报</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市工业和信息化局。</w:t>
      </w:r>
    </w:p>
    <w:p>
      <w:pPr>
        <w:pStyle w:val="2"/>
        <w:keepNext w:val="0"/>
        <w:keepLines w:val="0"/>
        <w:pageBreakBefore w:val="0"/>
        <w:kinsoku/>
        <w:wordWrap/>
        <w:overflowPunct/>
        <w:topLinePunct w:val="0"/>
        <w:bidi w:val="0"/>
        <w:snapToGrid/>
        <w:spacing w:line="560" w:lineRule="exact"/>
        <w:textAlignment w:val="auto"/>
        <w:rPr>
          <w:rFonts w:hint="default"/>
          <w:lang w:val="en-US" w:eastAsia="zh-CN"/>
        </w:rPr>
      </w:pPr>
    </w:p>
    <w:p>
      <w:pPr>
        <w:keepNext w:val="0"/>
        <w:keepLines w:val="0"/>
        <w:pageBreakBefore w:val="0"/>
        <w:kinsoku/>
        <w:wordWrap/>
        <w:overflowPunct/>
        <w:topLinePunct w:val="0"/>
        <w:bidi w:val="0"/>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支持</w:t>
      </w:r>
      <w:r>
        <w:rPr>
          <w:rFonts w:hint="eastAsia" w:ascii="黑体" w:hAnsi="黑体" w:eastAsia="黑体" w:cs="黑体"/>
          <w:sz w:val="32"/>
          <w:szCs w:val="32"/>
        </w:rPr>
        <w:t>项目申报程序</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市工业和信息化局围绕投资奖励资金使用范围，结合本地制造业投资建设实际，</w:t>
      </w:r>
      <w:r>
        <w:rPr>
          <w:rFonts w:hint="eastAsia" w:ascii="仿宋_GB2312" w:hAnsi="仿宋_GB2312" w:eastAsia="仿宋_GB2312" w:cs="仿宋_GB2312"/>
          <w:sz w:val="32"/>
          <w:szCs w:val="32"/>
        </w:rPr>
        <w:t>牵头组织市直有关部门拟定投资奖励资金支持方向，牵头起草投资奖励资金支持项目市级申报通知，按程序报市人民政府审定后发布。</w:t>
      </w:r>
      <w:r>
        <w:rPr>
          <w:rFonts w:hint="eastAsia" w:ascii="仿宋_GB2312" w:hAnsi="仿宋_GB2312" w:eastAsia="仿宋_GB2312" w:cs="仿宋_GB2312"/>
          <w:sz w:val="32"/>
          <w:szCs w:val="32"/>
          <w:lang w:eastAsia="zh-CN"/>
        </w:rPr>
        <w:t>支持项目要体现“集中财力办大事”原则，避免“小、散、杂”。</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各县（市、区）人民政府（管委会）根据市级申报通知要求，组织开展项目申报工作，并将申报资料报市工业和信息化局。</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市工业和信息化局</w:t>
      </w:r>
      <w:r>
        <w:rPr>
          <w:rFonts w:hint="eastAsia" w:ascii="仿宋_GB2312" w:hAnsi="仿宋_GB2312" w:eastAsia="仿宋_GB2312" w:cs="仿宋_GB2312"/>
          <w:sz w:val="32"/>
          <w:szCs w:val="32"/>
          <w:lang w:eastAsia="zh-CN"/>
        </w:rPr>
        <w:t>结合投资奖励资金测算项目预算额度，</w:t>
      </w:r>
      <w:r>
        <w:rPr>
          <w:rFonts w:hint="eastAsia" w:ascii="仿宋_GB2312" w:hAnsi="仿宋_GB2312" w:eastAsia="仿宋_GB2312" w:cs="仿宋_GB2312"/>
          <w:sz w:val="32"/>
          <w:szCs w:val="32"/>
        </w:rPr>
        <w:t>按照投资奖励资金支持项目市级申报通知等有关要求，牵头做好支持项目的验收（完工评价）、评审、入库等工作，</w:t>
      </w:r>
      <w:r>
        <w:rPr>
          <w:rFonts w:hint="eastAsia" w:ascii="仿宋_GB2312" w:hAnsi="仿宋_GB2312" w:eastAsia="仿宋_GB2312" w:cs="仿宋_GB2312"/>
          <w:sz w:val="32"/>
          <w:szCs w:val="32"/>
          <w:lang w:eastAsia="zh-CN"/>
        </w:rPr>
        <w:t>编制支持项目资金安排方案，</w:t>
      </w:r>
      <w:r>
        <w:rPr>
          <w:rFonts w:hint="eastAsia" w:ascii="仿宋_GB2312" w:hAnsi="仿宋_GB2312" w:eastAsia="仿宋_GB2312" w:cs="仿宋_GB2312"/>
          <w:sz w:val="32"/>
          <w:szCs w:val="32"/>
        </w:rPr>
        <w:t>按程序报市人民政府审定</w:t>
      </w:r>
      <w:r>
        <w:rPr>
          <w:rFonts w:hint="eastAsia" w:ascii="仿宋_GB2312" w:hAnsi="仿宋_GB2312" w:eastAsia="仿宋_GB2312" w:cs="仿宋_GB2312"/>
          <w:sz w:val="32"/>
          <w:szCs w:val="32"/>
          <w:lang w:eastAsia="zh-CN"/>
        </w:rPr>
        <w:t>后将支持项目清单等相关资料按规定时间要求正式行文上报省工业和信息化厅</w:t>
      </w:r>
      <w:r>
        <w:rPr>
          <w:rFonts w:hint="eastAsia" w:ascii="仿宋_GB2312" w:hAnsi="仿宋_GB2312" w:eastAsia="仿宋_GB2312" w:cs="仿宋_GB2312"/>
          <w:sz w:val="32"/>
          <w:szCs w:val="32"/>
        </w:rPr>
        <w:t xml:space="preserve">。申报通知支持方向涉及其他部门职能的，市直对应职能部门应按照各自职能范围，配合做好对应支持方向项目的验收（完工评价）、评审、入库等工作。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市工业和信息化局根据省下达的投资奖励资金项目计划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定投资奖励资金市级项目计划并按程序报市政府审定后，在规定时限内下达项目计划。市财政局按照投资奖励资金市级项目计划，按规定下达拨付资金。各县（市、区）人民政府（管委会）根据市下达的投资奖励资金项目计划，按规定及时将资金下达拨付至项目单位。</w:t>
      </w:r>
    </w:p>
    <w:p>
      <w:pPr>
        <w:keepNext w:val="0"/>
        <w:keepLines w:val="0"/>
        <w:pageBreakBefore w:val="0"/>
        <w:kinsoku/>
        <w:wordWrap/>
        <w:overflowPunct/>
        <w:topLinePunct w:val="0"/>
        <w:bidi w:val="0"/>
        <w:snapToGrid/>
        <w:spacing w:line="560" w:lineRule="exact"/>
        <w:ind w:firstLine="640" w:firstLineChars="200"/>
        <w:textAlignment w:val="auto"/>
      </w:pPr>
      <w:r>
        <w:rPr>
          <w:rFonts w:hint="eastAsia" w:ascii="黑体" w:hAnsi="黑体" w:eastAsia="黑体" w:cs="黑体"/>
          <w:sz w:val="32"/>
          <w:szCs w:val="32"/>
        </w:rPr>
        <w:t>第</w:t>
      </w:r>
      <w:r>
        <w:rPr>
          <w:rFonts w:hint="eastAsia" w:ascii="黑体" w:hAnsi="黑体" w:eastAsia="黑体" w:cs="黑体"/>
          <w:sz w:val="32"/>
          <w:szCs w:val="32"/>
          <w:lang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投资奖励资金实行项目库管理，未纳入项目库的项目，原则上不予以支持。</w:t>
      </w:r>
    </w:p>
    <w:p>
      <w:pPr>
        <w:keepNext w:val="0"/>
        <w:keepLines w:val="0"/>
        <w:pageBreakBefore w:val="0"/>
        <w:kinsoku/>
        <w:wordWrap/>
        <w:overflowPunct/>
        <w:topLinePunct w:val="0"/>
        <w:bidi w:val="0"/>
        <w:snapToGrid/>
        <w:spacing w:line="560" w:lineRule="exact"/>
        <w:textAlignment w:val="auto"/>
      </w:pPr>
    </w:p>
    <w:p>
      <w:pPr>
        <w:pStyle w:val="2"/>
        <w:keepNext w:val="0"/>
        <w:keepLines w:val="0"/>
        <w:pageBreakBefore w:val="0"/>
        <w:kinsoku/>
        <w:wordWrap/>
        <w:overflowPunct/>
        <w:topLinePunct w:val="0"/>
        <w:bidi w:val="0"/>
        <w:snapToGrid/>
        <w:spacing w:line="560" w:lineRule="exact"/>
        <w:jc w:val="center"/>
        <w:textAlignment w:val="auto"/>
      </w:pPr>
      <w:r>
        <w:rPr>
          <w:rFonts w:hint="eastAsia" w:ascii="黑体" w:hAnsi="黑体" w:eastAsia="黑体" w:cs="黑体"/>
          <w:b w:val="0"/>
          <w:bCs w:val="0"/>
          <w:color w:val="000000"/>
          <w:kern w:val="2"/>
          <w:sz w:val="32"/>
          <w:szCs w:val="32"/>
        </w:rPr>
        <w:t xml:space="preserve">第六章 </w:t>
      </w:r>
      <w:r>
        <w:rPr>
          <w:rFonts w:hint="eastAsia" w:ascii="黑体" w:hAnsi="黑体" w:eastAsia="黑体" w:cs="黑体"/>
          <w:b w:val="0"/>
          <w:bCs w:val="0"/>
          <w:color w:val="000000"/>
          <w:kern w:val="2"/>
          <w:sz w:val="32"/>
          <w:szCs w:val="32"/>
          <w:lang w:val="en-US" w:eastAsia="zh-CN"/>
        </w:rPr>
        <w:t xml:space="preserve"> </w:t>
      </w:r>
      <w:r>
        <w:rPr>
          <w:rFonts w:hint="eastAsia" w:ascii="黑体" w:hAnsi="黑体" w:eastAsia="黑体" w:cs="黑体"/>
          <w:b w:val="0"/>
          <w:bCs w:val="0"/>
          <w:color w:val="000000"/>
          <w:kern w:val="2"/>
          <w:sz w:val="32"/>
          <w:szCs w:val="32"/>
        </w:rPr>
        <w:t>监督检查及绩效评价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u w:val="none"/>
          <w:lang w:val="en-US" w:eastAsia="zh-CN"/>
        </w:rPr>
        <w:t xml:space="preserve">  除涉及保密要求或重大敏感事项不予公开的内容外，投资奖励资金分配、执行和结果等全过程信息按照“谁制定、谁分配、谁使用、谁公开”的原则予以公开。投资奖励资金实行信息公开。主要内容包括：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（一）投资奖励资金管理实施细则。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（二）投资奖励资金申报通知。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（三）投资奖励资金市级分配程序及结果。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（四）投资奖励资金绩效评价和审计结果。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（五）接受、处理投诉情况。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（六）其他按规定应公开的内容。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b w:val="0"/>
          <w:bCs w:val="0"/>
          <w:sz w:val="32"/>
          <w:szCs w:val="32"/>
        </w:rPr>
      </w:pPr>
      <w:r>
        <w:rPr>
          <w:rFonts w:hint="eastAsia" w:ascii="黑体" w:hAnsi="黑体" w:eastAsia="黑体" w:cs="黑体"/>
          <w:b w:val="0"/>
          <w:bCs w:val="0"/>
          <w:color w:val="000000"/>
          <w:kern w:val="2"/>
          <w:sz w:val="32"/>
          <w:szCs w:val="32"/>
        </w:rPr>
        <w:t>第</w:t>
      </w:r>
      <w:r>
        <w:rPr>
          <w:rFonts w:hint="eastAsia" w:ascii="黑体" w:hAnsi="黑体" w:eastAsia="黑体" w:cs="黑体"/>
          <w:b w:val="0"/>
          <w:bCs w:val="0"/>
          <w:color w:val="000000"/>
          <w:kern w:val="2"/>
          <w:sz w:val="32"/>
          <w:szCs w:val="32"/>
          <w:lang w:eastAsia="zh-CN"/>
        </w:rPr>
        <w:t>二十</w:t>
      </w:r>
      <w:r>
        <w:rPr>
          <w:rFonts w:hint="eastAsia" w:ascii="黑体" w:hAnsi="黑体" w:eastAsia="黑体" w:cs="黑体"/>
          <w:b w:val="0"/>
          <w:bCs w:val="0"/>
          <w:color w:val="000000"/>
          <w:kern w:val="2"/>
          <w:sz w:val="32"/>
          <w:szCs w:val="32"/>
          <w:lang w:val="en-US" w:eastAsia="zh-CN"/>
        </w:rPr>
        <w:t>二</w:t>
      </w:r>
      <w:r>
        <w:rPr>
          <w:rFonts w:hint="eastAsia" w:ascii="黑体" w:hAnsi="黑体" w:eastAsia="黑体" w:cs="黑体"/>
          <w:b w:val="0"/>
          <w:bCs w:val="0"/>
          <w:color w:val="000000"/>
          <w:kern w:val="2"/>
          <w:sz w:val="32"/>
          <w:szCs w:val="32"/>
        </w:rPr>
        <w:t>条</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b w:val="0"/>
          <w:bCs w:val="0"/>
          <w:sz w:val="32"/>
          <w:szCs w:val="32"/>
        </w:rPr>
        <w:t>市工业和信息化局</w:t>
      </w:r>
      <w:r>
        <w:rPr>
          <w:rFonts w:hint="eastAsia" w:ascii="仿宋_GB2312" w:hAnsi="仿宋_GB2312" w:eastAsia="仿宋_GB2312" w:cs="仿宋_GB2312"/>
          <w:b w:val="0"/>
          <w:bCs w:val="0"/>
          <w:sz w:val="32"/>
          <w:szCs w:val="32"/>
          <w:lang w:eastAsia="zh-CN"/>
        </w:rPr>
        <w:t>负责指导各县（市、区）人民政府（管委会）报送的绩效目标，制订全市投资奖励资金绩效目标，</w:t>
      </w:r>
      <w:r>
        <w:rPr>
          <w:rFonts w:hint="eastAsia" w:ascii="仿宋_GB2312" w:hAnsi="仿宋_GB2312" w:eastAsia="仿宋_GB2312" w:cs="仿宋_GB2312"/>
          <w:b w:val="0"/>
          <w:bCs w:val="0"/>
          <w:sz w:val="32"/>
          <w:szCs w:val="32"/>
        </w:rPr>
        <w:t>会同各县（市、区）落实绩效跟踪督查和绩效评价等工作。市财政局</w:t>
      </w:r>
      <w:r>
        <w:rPr>
          <w:rFonts w:hint="eastAsia" w:ascii="仿宋_GB2312" w:hAnsi="仿宋_GB2312" w:eastAsia="仿宋_GB2312" w:cs="仿宋_GB2312"/>
          <w:b w:val="0"/>
          <w:bCs w:val="0"/>
          <w:sz w:val="32"/>
          <w:szCs w:val="32"/>
          <w:lang w:eastAsia="zh-CN"/>
        </w:rPr>
        <w:t>负责审核全市投资奖励资金绩效目标，</w:t>
      </w:r>
      <w:r>
        <w:rPr>
          <w:rFonts w:hint="eastAsia" w:ascii="仿宋_GB2312" w:hAnsi="仿宋_GB2312" w:eastAsia="仿宋_GB2312" w:cs="仿宋_GB2312"/>
          <w:b w:val="0"/>
          <w:bCs w:val="0"/>
          <w:sz w:val="32"/>
          <w:szCs w:val="32"/>
        </w:rPr>
        <w:t>按要求</w:t>
      </w:r>
      <w:r>
        <w:rPr>
          <w:rFonts w:hint="eastAsia" w:ascii="仿宋_GB2312" w:hAnsi="仿宋_GB2312" w:eastAsia="仿宋_GB2312" w:cs="仿宋_GB2312"/>
          <w:b w:val="0"/>
          <w:bCs w:val="0"/>
          <w:sz w:val="32"/>
          <w:szCs w:val="32"/>
          <w:lang w:eastAsia="zh-CN"/>
        </w:rPr>
        <w:t>配合做好绩效评价有关工作。各县（市、区）人民政府（管委会）负责制订报送各地投资奖励资金绩效目标，根据市指导意见修改完善绩效目标信息</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sz w:val="32"/>
          <w:szCs w:val="32"/>
          <w:lang w:eastAsia="zh-CN"/>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条</w:t>
      </w:r>
      <w:r>
        <w:rPr>
          <w:rFonts w:hint="eastAsia" w:ascii="仿宋" w:hAnsi="仿宋" w:eastAsia="仿宋"/>
          <w:b/>
          <w:bCs/>
          <w:color w:val="000000"/>
          <w:sz w:val="32"/>
          <w:szCs w:val="32"/>
        </w:rPr>
        <w:t xml:space="preserve"> </w:t>
      </w:r>
      <w:r>
        <w:rPr>
          <w:rFonts w:hint="eastAsia" w:ascii="仿宋" w:hAnsi="仿宋" w:eastAsia="仿宋"/>
          <w:b/>
          <w:bCs/>
          <w:color w:val="000000"/>
          <w:sz w:val="32"/>
          <w:szCs w:val="32"/>
          <w:lang w:val="en-US" w:eastAsia="zh-CN"/>
        </w:rPr>
        <w:t xml:space="preserve"> </w:t>
      </w:r>
      <w:r>
        <w:rPr>
          <w:rFonts w:hint="eastAsia" w:ascii="Times New Roman" w:hAnsi="Times New Roman" w:eastAsia="仿宋_GB2312"/>
          <w:b w:val="0"/>
          <w:bCs w:val="0"/>
          <w:sz w:val="32"/>
          <w:szCs w:val="32"/>
          <w:lang w:eastAsia="zh-CN"/>
        </w:rPr>
        <w:t>各县（市、区）人民政府（管委会）要切实加强对测算项目和支持项目的跟踪管理，</w:t>
      </w:r>
      <w:r>
        <w:rPr>
          <w:rFonts w:hint="eastAsia" w:eastAsia="仿宋_GB2312"/>
          <w:sz w:val="32"/>
          <w:szCs w:val="32"/>
        </w:rPr>
        <w:t>自觉接受</w:t>
      </w:r>
      <w:r>
        <w:rPr>
          <w:rFonts w:hint="eastAsia" w:eastAsia="仿宋_GB2312"/>
          <w:sz w:val="32"/>
          <w:szCs w:val="32"/>
          <w:lang w:eastAsia="zh-CN"/>
        </w:rPr>
        <w:t>各级人大、</w:t>
      </w:r>
      <w:r>
        <w:rPr>
          <w:rFonts w:hint="eastAsia" w:eastAsia="仿宋_GB2312"/>
          <w:sz w:val="32"/>
          <w:szCs w:val="32"/>
        </w:rPr>
        <w:t>财政、工信、审计、监察等部门的监督检查</w:t>
      </w:r>
      <w:r>
        <w:rPr>
          <w:rFonts w:hint="eastAsia" w:eastAsia="仿宋_GB2312"/>
          <w:sz w:val="32"/>
          <w:szCs w:val="32"/>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eastAsia="仿宋_GB2312"/>
          <w:sz w:val="32"/>
          <w:szCs w:val="32"/>
        </w:rPr>
      </w:pPr>
      <w:r>
        <w:rPr>
          <w:rFonts w:hint="eastAsia" w:ascii="黑体" w:hAnsi="黑体" w:eastAsia="黑体" w:cs="黑体"/>
          <w:sz w:val="32"/>
          <w:szCs w:val="32"/>
          <w:lang w:eastAsia="zh-CN"/>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eastAsia="仿宋_GB2312"/>
          <w:sz w:val="32"/>
          <w:szCs w:val="32"/>
          <w:lang w:val="en-US" w:eastAsia="zh-CN"/>
        </w:rPr>
        <w:t xml:space="preserve">  </w:t>
      </w:r>
      <w:r>
        <w:rPr>
          <w:rFonts w:hint="eastAsia" w:eastAsia="仿宋_GB2312"/>
          <w:sz w:val="32"/>
          <w:szCs w:val="32"/>
        </w:rPr>
        <w:t>获得</w:t>
      </w:r>
      <w:r>
        <w:rPr>
          <w:rFonts w:hint="eastAsia" w:eastAsia="仿宋_GB2312"/>
          <w:sz w:val="32"/>
          <w:szCs w:val="32"/>
          <w:lang w:eastAsia="zh-CN"/>
        </w:rPr>
        <w:t>投资奖励资金</w:t>
      </w:r>
      <w:r>
        <w:rPr>
          <w:rFonts w:hint="eastAsia" w:eastAsia="仿宋_GB2312"/>
          <w:sz w:val="32"/>
          <w:szCs w:val="32"/>
        </w:rPr>
        <w:t>支持</w:t>
      </w:r>
      <w:r>
        <w:rPr>
          <w:rFonts w:hint="eastAsia" w:eastAsia="仿宋_GB2312"/>
          <w:sz w:val="32"/>
          <w:szCs w:val="32"/>
          <w:lang w:eastAsia="zh-CN"/>
        </w:rPr>
        <w:t>的</w:t>
      </w:r>
      <w:r>
        <w:rPr>
          <w:rFonts w:hint="eastAsia" w:eastAsia="仿宋_GB2312"/>
          <w:sz w:val="32"/>
          <w:szCs w:val="32"/>
        </w:rPr>
        <w:t>项目单位要切实加强对专项资金的使用管理，严格执行财务规章制度和会计核算办法。</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eastAsia="仿宋_GB2312"/>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五</w:t>
      </w:r>
      <w:r>
        <w:rPr>
          <w:rFonts w:hint="eastAsia" w:ascii="黑体" w:hAnsi="黑体" w:eastAsia="黑体" w:cs="黑体"/>
          <w:color w:val="000000"/>
          <w:sz w:val="32"/>
          <w:szCs w:val="32"/>
        </w:rPr>
        <w:t>条</w:t>
      </w: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eastAsia="仿宋_GB2312"/>
          <w:sz w:val="32"/>
          <w:szCs w:val="32"/>
        </w:rPr>
        <w:t>投资奖励资金管理实行责任追究机制。对专项资金使用管理过程中存在违规行为的单位、个人，按照《中华人民共和国预算法》和《财政违法行为处罚处分条例》（国务院令427号）等法律法规及相关规定进行严肃处理，涉及违法犯罪的，移送司法机关处理。</w:t>
      </w:r>
    </w:p>
    <w:p>
      <w:pPr>
        <w:pStyle w:val="2"/>
        <w:keepNext w:val="0"/>
        <w:keepLines w:val="0"/>
        <w:pageBreakBefore w:val="0"/>
        <w:kinsoku/>
        <w:wordWrap/>
        <w:overflowPunct/>
        <w:topLinePunct w:val="0"/>
        <w:bidi w:val="0"/>
        <w:snapToGrid/>
        <w:spacing w:line="560" w:lineRule="exact"/>
        <w:textAlignment w:val="auto"/>
      </w:pPr>
    </w:p>
    <w:p>
      <w:pPr>
        <w:pStyle w:val="2"/>
        <w:keepNext w:val="0"/>
        <w:keepLines w:val="0"/>
        <w:pageBreakBefore w:val="0"/>
        <w:kinsoku/>
        <w:wordWrap/>
        <w:overflowPunct/>
        <w:topLinePunct w:val="0"/>
        <w:bidi w:val="0"/>
        <w:snapToGrid/>
        <w:spacing w:line="560" w:lineRule="exact"/>
        <w:jc w:val="center"/>
        <w:textAlignment w:val="auto"/>
        <w:rPr>
          <w:rFonts w:ascii="黑体" w:hAnsi="黑体" w:eastAsia="黑体" w:cs="黑体"/>
          <w:b w:val="0"/>
          <w:bCs w:val="0"/>
          <w:sz w:val="32"/>
          <w:szCs w:val="32"/>
        </w:rPr>
      </w:pPr>
      <w:r>
        <w:rPr>
          <w:rFonts w:hint="eastAsia" w:ascii="黑体" w:hAnsi="黑体" w:eastAsia="黑体" w:cs="黑体"/>
          <w:b w:val="0"/>
          <w:bCs w:val="0"/>
          <w:sz w:val="32"/>
          <w:szCs w:val="32"/>
        </w:rPr>
        <w:t>第七章 附则</w:t>
      </w:r>
    </w:p>
    <w:p>
      <w:pPr>
        <w:keepNext w:val="0"/>
        <w:keepLines w:val="0"/>
        <w:pageBreakBefore w:val="0"/>
        <w:kinsoku/>
        <w:wordWrap/>
        <w:overflowPunct/>
        <w:topLinePunct w:val="0"/>
        <w:bidi w:val="0"/>
        <w:snapToGrid/>
        <w:spacing w:line="560" w:lineRule="exact"/>
        <w:ind w:firstLine="640"/>
        <w:textAlignment w:val="auto"/>
        <w:rPr>
          <w:rFonts w:eastAsia="仿宋_GB2312"/>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rPr>
        <w:t>条</w:t>
      </w:r>
      <w:r>
        <w:rPr>
          <w:rFonts w:hint="eastAsia" w:ascii="仿宋" w:hAnsi="仿宋" w:eastAsia="仿宋"/>
          <w:b/>
          <w:bCs/>
          <w:color w:val="000000"/>
          <w:sz w:val="32"/>
          <w:szCs w:val="32"/>
        </w:rPr>
        <w:t xml:space="preserve"> </w:t>
      </w:r>
      <w:r>
        <w:rPr>
          <w:rFonts w:hint="eastAsia" w:ascii="仿宋" w:hAnsi="仿宋" w:eastAsia="仿宋"/>
          <w:b/>
          <w:bCs/>
          <w:color w:val="000000"/>
          <w:sz w:val="32"/>
          <w:szCs w:val="32"/>
          <w:lang w:val="en-US" w:eastAsia="zh-CN"/>
        </w:rPr>
        <w:t xml:space="preserve"> </w:t>
      </w:r>
      <w:r>
        <w:rPr>
          <w:rFonts w:hint="eastAsia" w:eastAsia="仿宋_GB2312"/>
          <w:sz w:val="32"/>
          <w:szCs w:val="32"/>
        </w:rPr>
        <w:t>本细则由市工业和信息化局</w:t>
      </w:r>
      <w:r>
        <w:rPr>
          <w:rFonts w:hint="eastAsia" w:eastAsia="仿宋_GB2312"/>
          <w:sz w:val="32"/>
          <w:szCs w:val="32"/>
          <w:lang w:eastAsia="zh-CN"/>
        </w:rPr>
        <w:t>、市财政局</w:t>
      </w:r>
      <w:r>
        <w:rPr>
          <w:rFonts w:hint="eastAsia" w:eastAsia="仿宋_GB2312"/>
          <w:sz w:val="32"/>
          <w:szCs w:val="32"/>
        </w:rPr>
        <w:t>负责解释</w:t>
      </w:r>
      <w:r>
        <w:rPr>
          <w:rFonts w:hint="eastAsia" w:eastAsia="仿宋_GB2312"/>
          <w:sz w:val="32"/>
          <w:szCs w:val="32"/>
          <w:lang w:eastAsia="zh-CN"/>
        </w:rPr>
        <w:t>，</w:t>
      </w:r>
      <w:r>
        <w:rPr>
          <w:rFonts w:hint="eastAsia" w:eastAsia="仿宋_GB2312"/>
          <w:sz w:val="32"/>
          <w:szCs w:val="32"/>
        </w:rPr>
        <w:t>实施过程中</w:t>
      </w:r>
      <w:r>
        <w:rPr>
          <w:rFonts w:hint="eastAsia" w:eastAsia="仿宋_GB2312"/>
          <w:sz w:val="32"/>
          <w:szCs w:val="32"/>
          <w:lang w:eastAsia="zh-CN"/>
        </w:rPr>
        <w:t>可根据上级文件要求和实施情况等进行调整</w:t>
      </w:r>
    </w:p>
    <w:p>
      <w:pPr>
        <w:keepNext w:val="0"/>
        <w:keepLines w:val="0"/>
        <w:pageBreakBefore w:val="0"/>
        <w:kinsoku/>
        <w:wordWrap/>
        <w:overflowPunct/>
        <w:topLinePunct w:val="0"/>
        <w:bidi w:val="0"/>
        <w:snapToGrid/>
        <w:spacing w:line="560" w:lineRule="exact"/>
        <w:ind w:firstLine="640" w:firstLineChars="200"/>
        <w:textAlignment w:val="auto"/>
        <w:rPr>
          <w:rFonts w:eastAsia="仿宋_GB2312"/>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条</w:t>
      </w:r>
      <w:r>
        <w:rPr>
          <w:rFonts w:hint="eastAsia" w:ascii="仿宋" w:hAnsi="仿宋" w:eastAsia="仿宋"/>
          <w:b/>
          <w:bCs/>
          <w:color w:val="000000"/>
          <w:sz w:val="32"/>
          <w:szCs w:val="32"/>
        </w:rPr>
        <w:t xml:space="preserve"> </w:t>
      </w:r>
      <w:r>
        <w:rPr>
          <w:rFonts w:hint="eastAsia" w:ascii="仿宋" w:hAnsi="仿宋" w:eastAsia="仿宋"/>
          <w:b/>
          <w:bCs/>
          <w:color w:val="000000"/>
          <w:sz w:val="32"/>
          <w:szCs w:val="32"/>
          <w:lang w:val="en-US" w:eastAsia="zh-CN"/>
        </w:rPr>
        <w:t xml:space="preserve"> </w:t>
      </w:r>
      <w:r>
        <w:rPr>
          <w:rFonts w:hint="eastAsia" w:eastAsia="仿宋_GB2312"/>
          <w:sz w:val="32"/>
          <w:szCs w:val="32"/>
        </w:rPr>
        <w:t>本细则自发布之日起施行，有效期</w:t>
      </w:r>
      <w:r>
        <w:rPr>
          <w:rFonts w:hint="eastAsia" w:eastAsia="仿宋_GB2312"/>
          <w:sz w:val="32"/>
          <w:szCs w:val="32"/>
          <w:lang w:val="en-US" w:eastAsia="zh-CN"/>
        </w:rPr>
        <w:t>5年</w:t>
      </w:r>
      <w:r>
        <w:rPr>
          <w:rFonts w:hint="eastAsia" w:eastAsia="仿宋_GB2312"/>
          <w:sz w:val="32"/>
          <w:szCs w:val="32"/>
        </w:rPr>
        <w:t>。</w:t>
      </w:r>
    </w:p>
    <w:p>
      <w:pPr>
        <w:pStyle w:val="2"/>
        <w:keepNext w:val="0"/>
        <w:keepLines w:val="0"/>
        <w:pageBreakBefore w:val="0"/>
        <w:kinsoku/>
        <w:wordWrap/>
        <w:overflowPunct/>
        <w:topLinePunct w:val="0"/>
        <w:bidi w:val="0"/>
        <w:snapToGrid/>
        <w:spacing w:line="560" w:lineRule="exact"/>
        <w:textAlignment w:val="auto"/>
      </w:pPr>
      <w:r>
        <w:rPr>
          <w:rFonts w:hint="eastAsia" w:ascii="Times New Roman" w:hAnsi="Times New Roman" w:eastAsia="仿宋_GB2312" w:cs="Times New Roman"/>
          <w:sz w:val="32"/>
          <w:szCs w:val="32"/>
        </w:rPr>
        <w:t xml:space="preserve">             </w:t>
      </w:r>
    </w:p>
    <w:p>
      <w:pPr>
        <w:pStyle w:val="3"/>
        <w:keepNext w:val="0"/>
        <w:keepLines w:val="0"/>
        <w:pageBreakBefore w:val="0"/>
        <w:kinsoku/>
        <w:wordWrap/>
        <w:overflowPunct/>
        <w:topLinePunct w:val="0"/>
        <w:bidi w:val="0"/>
        <w:snapToGrid/>
        <w:spacing w:line="560" w:lineRule="exact"/>
        <w:textAlignment w:val="auto"/>
        <w:rPr>
          <w:rFonts w:eastAsia="仿宋"/>
          <w:color w:val="000000"/>
          <w:sz w:val="32"/>
          <w:szCs w:val="32"/>
        </w:rPr>
      </w:pPr>
      <w:r>
        <w:rPr>
          <w:rFonts w:eastAsia="仿宋"/>
          <w:color w:val="000000"/>
          <w:sz w:val="32"/>
          <w:szCs w:val="32"/>
        </w:rPr>
        <w:t xml:space="preserve"> </w:t>
      </w:r>
    </w:p>
    <w:p>
      <w:pPr>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sz w:val="32"/>
          <w:szCs w:val="32"/>
          <w:lang w:eastAsia="zh-CN"/>
        </w:rPr>
      </w:pPr>
      <w:r>
        <w:rPr>
          <w:rFonts w:eastAsia="仿宋_GB2312"/>
          <w:sz w:val="32"/>
          <w:szCs w:val="32"/>
        </w:rPr>
        <w:t>附件：普惠性制造业投资奖励资金项目台</w:t>
      </w:r>
      <w:r>
        <w:rPr>
          <w:rFonts w:hint="eastAsia" w:eastAsia="仿宋_GB2312"/>
          <w:sz w:val="32"/>
          <w:szCs w:val="32"/>
          <w:lang w:eastAsia="zh-CN"/>
        </w:rPr>
        <w:t>账</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sectPr>
          <w:footerReference r:id="rId3" w:type="default"/>
          <w:pgSz w:w="11906" w:h="16838"/>
          <w:pgMar w:top="2324" w:right="1531" w:bottom="1757" w:left="1531" w:header="851" w:footer="992" w:gutter="0"/>
          <w:cols w:space="720" w:num="1"/>
          <w:docGrid w:type="lines" w:linePitch="327" w:charSpace="0"/>
        </w:sectPr>
      </w:pPr>
    </w:p>
    <w:p>
      <w:pPr>
        <w:jc w:val="left"/>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附件</w:t>
      </w:r>
    </w:p>
    <w:p>
      <w:pPr>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z w:val="32"/>
          <w:szCs w:val="32"/>
        </w:rPr>
        <w:t>普惠性制造业投资奖励资金项目台</w:t>
      </w:r>
      <w:r>
        <w:rPr>
          <w:rFonts w:hint="eastAsia" w:ascii="方正小标宋简体" w:hAnsi="方正小标宋简体" w:eastAsia="方正小标宋简体" w:cs="方正小标宋简体"/>
          <w:sz w:val="32"/>
          <w:szCs w:val="32"/>
          <w:lang w:eastAsia="zh-CN"/>
        </w:rPr>
        <w:t>账</w:t>
      </w:r>
    </w:p>
    <w:p>
      <w:pPr>
        <w:spacing w:line="560"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填报日期：</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单位：万</w:t>
      </w:r>
      <w:r>
        <w:rPr>
          <w:rFonts w:hint="eastAsia" w:ascii="仿宋_GB2312" w:hAnsi="仿宋_GB2312" w:eastAsia="仿宋_GB2312" w:cs="仿宋_GB2312"/>
          <w:sz w:val="21"/>
          <w:szCs w:val="21"/>
          <w:lang w:eastAsia="zh-CN"/>
        </w:rPr>
        <w:t>元</w:t>
      </w:r>
    </w:p>
    <w:tbl>
      <w:tblPr>
        <w:tblStyle w:val="7"/>
        <w:tblW w:w="15109"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35"/>
        <w:gridCol w:w="435"/>
        <w:gridCol w:w="510"/>
        <w:gridCol w:w="480"/>
        <w:gridCol w:w="524"/>
        <w:gridCol w:w="408"/>
        <w:gridCol w:w="628"/>
        <w:gridCol w:w="525"/>
        <w:gridCol w:w="630"/>
        <w:gridCol w:w="633"/>
        <w:gridCol w:w="604"/>
        <w:gridCol w:w="604"/>
        <w:gridCol w:w="574"/>
        <w:gridCol w:w="585"/>
        <w:gridCol w:w="660"/>
        <w:gridCol w:w="600"/>
        <w:gridCol w:w="630"/>
        <w:gridCol w:w="555"/>
        <w:gridCol w:w="660"/>
        <w:gridCol w:w="675"/>
        <w:gridCol w:w="4"/>
        <w:gridCol w:w="581"/>
        <w:gridCol w:w="4"/>
        <w:gridCol w:w="581"/>
        <w:gridCol w:w="4"/>
        <w:gridCol w:w="596"/>
        <w:gridCol w:w="4"/>
        <w:gridCol w:w="671"/>
        <w:gridCol w:w="4"/>
        <w:gridCol w:w="686"/>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Pr>
        <w:tc>
          <w:tcPr>
            <w:tcW w:w="615"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序号</w:t>
            </w:r>
          </w:p>
        </w:tc>
        <w:tc>
          <w:tcPr>
            <w:tcW w:w="435"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地市</w:t>
            </w:r>
          </w:p>
        </w:tc>
        <w:tc>
          <w:tcPr>
            <w:tcW w:w="435"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项目名称</w:t>
            </w:r>
          </w:p>
        </w:tc>
        <w:tc>
          <w:tcPr>
            <w:tcW w:w="510"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实施项目的企业名称</w:t>
            </w:r>
          </w:p>
        </w:tc>
        <w:tc>
          <w:tcPr>
            <w:tcW w:w="480"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项目立项时间</w:t>
            </w:r>
          </w:p>
        </w:tc>
        <w:tc>
          <w:tcPr>
            <w:tcW w:w="524"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项目建设状态（尚未开工、在建、完成）</w:t>
            </w:r>
          </w:p>
        </w:tc>
        <w:tc>
          <w:tcPr>
            <w:tcW w:w="408" w:type="dxa"/>
            <w:vMerge w:val="restart"/>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立项总投资金额</w:t>
            </w:r>
          </w:p>
        </w:tc>
        <w:tc>
          <w:tcPr>
            <w:tcW w:w="5443" w:type="dxa"/>
            <w:gridSpan w:val="9"/>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项目总投资情况</w:t>
            </w:r>
          </w:p>
        </w:tc>
        <w:tc>
          <w:tcPr>
            <w:tcW w:w="5565" w:type="dxa"/>
            <w:gridSpan w:val="13"/>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项目固定资产投资情况</w:t>
            </w:r>
          </w:p>
        </w:tc>
        <w:tc>
          <w:tcPr>
            <w:tcW w:w="690" w:type="dxa"/>
            <w:gridSpan w:val="2"/>
            <w:vMerge w:val="restart"/>
            <w:vAlign w:val="center"/>
          </w:tcPr>
          <w:p>
            <w:pPr>
              <w:pStyle w:val="2"/>
              <w:jc w:val="center"/>
              <w:rPr>
                <w:rFonts w:hint="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03" w:hRule="atLeast"/>
        </w:trPr>
        <w:tc>
          <w:tcPr>
            <w:tcW w:w="615"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435"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435"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510"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480"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524"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408" w:type="dxa"/>
            <w:vMerge w:val="continue"/>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p>
        </w:tc>
        <w:tc>
          <w:tcPr>
            <w:tcW w:w="628"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sz w:val="15"/>
                <w:szCs w:val="15"/>
                <w:vertAlign w:val="baseline"/>
                <w:lang w:val="en-US" w:eastAsia="zh-CN"/>
              </w:rPr>
            </w:pPr>
            <w:r>
              <w:rPr>
                <w:rFonts w:hint="eastAsia"/>
                <w:sz w:val="15"/>
                <w:szCs w:val="15"/>
                <w:vertAlign w:val="baseline"/>
                <w:lang w:eastAsia="zh-CN"/>
              </w:rPr>
              <w:t>项目立项至</w:t>
            </w:r>
            <w:r>
              <w:rPr>
                <w:rFonts w:hint="eastAsia"/>
                <w:sz w:val="15"/>
                <w:szCs w:val="15"/>
                <w:vertAlign w:val="baseline"/>
                <w:lang w:val="en-US" w:eastAsia="zh-CN"/>
              </w:rPr>
              <w:t>2020年底项目投资额</w:t>
            </w:r>
          </w:p>
        </w:tc>
        <w:tc>
          <w:tcPr>
            <w:tcW w:w="525"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sz w:val="15"/>
                <w:szCs w:val="15"/>
                <w:vertAlign w:val="baseline"/>
                <w:lang w:val="en-US" w:eastAsia="zh-CN"/>
              </w:rPr>
            </w:pPr>
            <w:r>
              <w:rPr>
                <w:rFonts w:hint="eastAsia"/>
                <w:sz w:val="15"/>
                <w:szCs w:val="15"/>
                <w:vertAlign w:val="baseline"/>
                <w:lang w:val="en-US" w:eastAsia="zh-CN"/>
              </w:rPr>
              <w:t>2021年项目投资额</w:t>
            </w:r>
          </w:p>
        </w:tc>
        <w:tc>
          <w:tcPr>
            <w:tcW w:w="630"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2022年项目预计投资额</w:t>
            </w:r>
          </w:p>
        </w:tc>
        <w:tc>
          <w:tcPr>
            <w:tcW w:w="633"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2023年项目预计投资额</w:t>
            </w:r>
          </w:p>
        </w:tc>
        <w:tc>
          <w:tcPr>
            <w:tcW w:w="604"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2024年项目预计投资额</w:t>
            </w:r>
          </w:p>
        </w:tc>
        <w:tc>
          <w:tcPr>
            <w:tcW w:w="604"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2025年项目预计投资额</w:t>
            </w:r>
          </w:p>
        </w:tc>
        <w:tc>
          <w:tcPr>
            <w:tcW w:w="574"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2026年及以后项目预计投资额</w:t>
            </w:r>
          </w:p>
        </w:tc>
        <w:tc>
          <w:tcPr>
            <w:tcW w:w="585"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本年度已完成的投资额</w:t>
            </w:r>
          </w:p>
        </w:tc>
        <w:tc>
          <w:tcPr>
            <w:tcW w:w="660"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本年度剩余月份预计投资额</w:t>
            </w:r>
          </w:p>
        </w:tc>
        <w:tc>
          <w:tcPr>
            <w:tcW w:w="600"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项目立项至</w:t>
            </w:r>
            <w:r>
              <w:rPr>
                <w:rFonts w:hint="eastAsia"/>
                <w:sz w:val="15"/>
                <w:szCs w:val="15"/>
                <w:vertAlign w:val="baseline"/>
                <w:lang w:val="en-US" w:eastAsia="zh-CN"/>
              </w:rPr>
              <w:t>2020年底项目固定资产投资额</w:t>
            </w:r>
          </w:p>
        </w:tc>
        <w:tc>
          <w:tcPr>
            <w:tcW w:w="630"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val="en-US" w:eastAsia="zh-CN"/>
              </w:rPr>
              <w:t>2021年项目固定资产投资额</w:t>
            </w:r>
          </w:p>
        </w:tc>
        <w:tc>
          <w:tcPr>
            <w:tcW w:w="555"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val="en-US" w:eastAsia="zh-CN"/>
              </w:rPr>
              <w:t>2022年项目预计固定资产投资额</w:t>
            </w:r>
          </w:p>
        </w:tc>
        <w:tc>
          <w:tcPr>
            <w:tcW w:w="660"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val="en-US" w:eastAsia="zh-CN"/>
              </w:rPr>
              <w:t>2023年项目预计固定资产投资额</w:t>
            </w:r>
          </w:p>
        </w:tc>
        <w:tc>
          <w:tcPr>
            <w:tcW w:w="675" w:type="dxa"/>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val="en-US" w:eastAsia="zh-CN"/>
              </w:rPr>
              <w:t>2024年项目预计固定资产投资额</w:t>
            </w:r>
          </w:p>
        </w:tc>
        <w:tc>
          <w:tcPr>
            <w:tcW w:w="585" w:type="dxa"/>
            <w:gridSpan w:val="2"/>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val="en-US" w:eastAsia="zh-CN"/>
              </w:rPr>
              <w:t>2025年项目预计投资额</w:t>
            </w:r>
          </w:p>
        </w:tc>
        <w:tc>
          <w:tcPr>
            <w:tcW w:w="585" w:type="dxa"/>
            <w:gridSpan w:val="2"/>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alibri Light" w:hAnsi="Calibri Light" w:eastAsia="宋体" w:cs="宋体"/>
                <w:b/>
                <w:bCs/>
                <w:kern w:val="0"/>
                <w:sz w:val="15"/>
                <w:szCs w:val="15"/>
                <w:vertAlign w:val="baseline"/>
                <w:lang w:val="en-US" w:eastAsia="zh-CN" w:bidi="ar-SA"/>
              </w:rPr>
            </w:pPr>
            <w:r>
              <w:rPr>
                <w:rFonts w:hint="eastAsia"/>
                <w:sz w:val="15"/>
                <w:szCs w:val="15"/>
                <w:vertAlign w:val="baseline"/>
                <w:lang w:val="en-US" w:eastAsia="zh-CN"/>
              </w:rPr>
              <w:t>2026年及以后项目预计固定资产投资额</w:t>
            </w:r>
          </w:p>
        </w:tc>
        <w:tc>
          <w:tcPr>
            <w:tcW w:w="600" w:type="dxa"/>
            <w:gridSpan w:val="2"/>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本年度已完成的</w:t>
            </w:r>
            <w:r>
              <w:rPr>
                <w:rFonts w:hint="eastAsia"/>
                <w:sz w:val="15"/>
                <w:szCs w:val="15"/>
                <w:vertAlign w:val="baseline"/>
                <w:lang w:val="en-US" w:eastAsia="zh-CN"/>
              </w:rPr>
              <w:t>固定资产</w:t>
            </w:r>
            <w:r>
              <w:rPr>
                <w:rFonts w:hint="eastAsia"/>
                <w:sz w:val="15"/>
                <w:szCs w:val="15"/>
                <w:vertAlign w:val="baseline"/>
                <w:lang w:eastAsia="zh-CN"/>
              </w:rPr>
              <w:t>投资额</w:t>
            </w:r>
          </w:p>
        </w:tc>
        <w:tc>
          <w:tcPr>
            <w:tcW w:w="675" w:type="dxa"/>
            <w:gridSpan w:val="2"/>
            <w:vAlign w:val="center"/>
          </w:tcPr>
          <w:p>
            <w:pPr>
              <w:pStyle w:val="2"/>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sz w:val="15"/>
                <w:szCs w:val="15"/>
                <w:vertAlign w:val="baseline"/>
                <w:lang w:eastAsia="zh-CN"/>
              </w:rPr>
            </w:pPr>
            <w:r>
              <w:rPr>
                <w:rFonts w:hint="eastAsia"/>
                <w:sz w:val="15"/>
                <w:szCs w:val="15"/>
                <w:vertAlign w:val="baseline"/>
                <w:lang w:eastAsia="zh-CN"/>
              </w:rPr>
              <w:t>本年度剩余月份预计</w:t>
            </w:r>
            <w:r>
              <w:rPr>
                <w:rFonts w:hint="eastAsia"/>
                <w:sz w:val="15"/>
                <w:szCs w:val="15"/>
                <w:vertAlign w:val="baseline"/>
                <w:lang w:val="en-US" w:eastAsia="zh-CN"/>
              </w:rPr>
              <w:t>固定资产</w:t>
            </w:r>
            <w:r>
              <w:rPr>
                <w:rFonts w:hint="eastAsia"/>
                <w:sz w:val="15"/>
                <w:szCs w:val="15"/>
                <w:vertAlign w:val="baseline"/>
                <w:lang w:eastAsia="zh-CN"/>
              </w:rPr>
              <w:t>投资额</w:t>
            </w:r>
          </w:p>
        </w:tc>
        <w:tc>
          <w:tcPr>
            <w:tcW w:w="690" w:type="dxa"/>
            <w:gridSpan w:val="2"/>
            <w:vMerge w:val="continue"/>
            <w:vAlign w:val="center"/>
          </w:tcPr>
          <w:p>
            <w:pPr>
              <w:pStyle w:val="2"/>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510" w:type="dxa"/>
          </w:tcPr>
          <w:p>
            <w:pPr>
              <w:pStyle w:val="2"/>
              <w:rPr>
                <w:rFonts w:hint="eastAsia"/>
                <w:vertAlign w:val="baseline"/>
                <w:lang w:eastAsia="zh-CN"/>
              </w:rPr>
            </w:pPr>
          </w:p>
        </w:tc>
        <w:tc>
          <w:tcPr>
            <w:tcW w:w="480" w:type="dxa"/>
          </w:tcPr>
          <w:p>
            <w:pPr>
              <w:pStyle w:val="2"/>
              <w:rPr>
                <w:rFonts w:hint="eastAsia"/>
                <w:vertAlign w:val="baseline"/>
                <w:lang w:eastAsia="zh-CN"/>
              </w:rPr>
            </w:pPr>
          </w:p>
        </w:tc>
        <w:tc>
          <w:tcPr>
            <w:tcW w:w="524" w:type="dxa"/>
          </w:tcPr>
          <w:p>
            <w:pPr>
              <w:pStyle w:val="2"/>
              <w:rPr>
                <w:rFonts w:hint="eastAsia"/>
                <w:vertAlign w:val="baseline"/>
                <w:lang w:eastAsia="zh-CN"/>
              </w:rPr>
            </w:pPr>
          </w:p>
        </w:tc>
        <w:tc>
          <w:tcPr>
            <w:tcW w:w="408" w:type="dxa"/>
          </w:tcPr>
          <w:p>
            <w:pPr>
              <w:pStyle w:val="2"/>
              <w:rPr>
                <w:rFonts w:hint="eastAsia"/>
                <w:vertAlign w:val="baseline"/>
                <w:lang w:eastAsia="zh-CN"/>
              </w:rPr>
            </w:pPr>
          </w:p>
        </w:tc>
        <w:tc>
          <w:tcPr>
            <w:tcW w:w="628" w:type="dxa"/>
          </w:tcPr>
          <w:p>
            <w:pPr>
              <w:pStyle w:val="2"/>
              <w:rPr>
                <w:rFonts w:hint="eastAsia"/>
                <w:vertAlign w:val="baseline"/>
                <w:lang w:eastAsia="zh-CN"/>
              </w:rPr>
            </w:pPr>
          </w:p>
        </w:tc>
        <w:tc>
          <w:tcPr>
            <w:tcW w:w="525"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633"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574" w:type="dxa"/>
          </w:tcPr>
          <w:p>
            <w:pPr>
              <w:pStyle w:val="2"/>
              <w:rPr>
                <w:rFonts w:hint="eastAsia"/>
                <w:vertAlign w:val="baseline"/>
                <w:lang w:eastAsia="zh-CN"/>
              </w:rPr>
            </w:pPr>
          </w:p>
        </w:tc>
        <w:tc>
          <w:tcPr>
            <w:tcW w:w="58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00"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55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79"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600" w:type="dxa"/>
            <w:gridSpan w:val="2"/>
          </w:tcPr>
          <w:p>
            <w:pPr>
              <w:pStyle w:val="2"/>
              <w:rPr>
                <w:rFonts w:hint="eastAsia"/>
                <w:vertAlign w:val="baseline"/>
                <w:lang w:eastAsia="zh-CN"/>
              </w:rPr>
            </w:pPr>
          </w:p>
        </w:tc>
        <w:tc>
          <w:tcPr>
            <w:tcW w:w="675" w:type="dxa"/>
            <w:gridSpan w:val="2"/>
          </w:tcPr>
          <w:p>
            <w:pPr>
              <w:pStyle w:val="2"/>
              <w:rPr>
                <w:rFonts w:hint="eastAsia"/>
                <w:vertAlign w:val="baseline"/>
                <w:lang w:eastAsia="zh-CN"/>
              </w:rPr>
            </w:pPr>
          </w:p>
        </w:tc>
        <w:tc>
          <w:tcPr>
            <w:tcW w:w="690" w:type="dxa"/>
            <w:gridSpan w:val="2"/>
          </w:tcPr>
          <w:p>
            <w:pPr>
              <w:pStyle w:val="2"/>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510" w:type="dxa"/>
          </w:tcPr>
          <w:p>
            <w:pPr>
              <w:pStyle w:val="2"/>
              <w:rPr>
                <w:rFonts w:hint="eastAsia"/>
                <w:vertAlign w:val="baseline"/>
                <w:lang w:eastAsia="zh-CN"/>
              </w:rPr>
            </w:pPr>
          </w:p>
        </w:tc>
        <w:tc>
          <w:tcPr>
            <w:tcW w:w="480" w:type="dxa"/>
          </w:tcPr>
          <w:p>
            <w:pPr>
              <w:pStyle w:val="2"/>
              <w:rPr>
                <w:rFonts w:hint="eastAsia"/>
                <w:vertAlign w:val="baseline"/>
                <w:lang w:eastAsia="zh-CN"/>
              </w:rPr>
            </w:pPr>
          </w:p>
        </w:tc>
        <w:tc>
          <w:tcPr>
            <w:tcW w:w="524" w:type="dxa"/>
          </w:tcPr>
          <w:p>
            <w:pPr>
              <w:pStyle w:val="2"/>
              <w:rPr>
                <w:rFonts w:hint="eastAsia"/>
                <w:vertAlign w:val="baseline"/>
                <w:lang w:eastAsia="zh-CN"/>
              </w:rPr>
            </w:pPr>
          </w:p>
        </w:tc>
        <w:tc>
          <w:tcPr>
            <w:tcW w:w="408" w:type="dxa"/>
          </w:tcPr>
          <w:p>
            <w:pPr>
              <w:pStyle w:val="2"/>
              <w:rPr>
                <w:rFonts w:hint="eastAsia"/>
                <w:vertAlign w:val="baseline"/>
                <w:lang w:eastAsia="zh-CN"/>
              </w:rPr>
            </w:pPr>
          </w:p>
        </w:tc>
        <w:tc>
          <w:tcPr>
            <w:tcW w:w="628" w:type="dxa"/>
          </w:tcPr>
          <w:p>
            <w:pPr>
              <w:pStyle w:val="2"/>
              <w:rPr>
                <w:rFonts w:hint="eastAsia"/>
                <w:vertAlign w:val="baseline"/>
                <w:lang w:eastAsia="zh-CN"/>
              </w:rPr>
            </w:pPr>
          </w:p>
        </w:tc>
        <w:tc>
          <w:tcPr>
            <w:tcW w:w="525"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633"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574" w:type="dxa"/>
          </w:tcPr>
          <w:p>
            <w:pPr>
              <w:pStyle w:val="2"/>
              <w:rPr>
                <w:rFonts w:hint="eastAsia"/>
                <w:vertAlign w:val="baseline"/>
                <w:lang w:eastAsia="zh-CN"/>
              </w:rPr>
            </w:pPr>
          </w:p>
        </w:tc>
        <w:tc>
          <w:tcPr>
            <w:tcW w:w="58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00"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55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79"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600" w:type="dxa"/>
            <w:gridSpan w:val="2"/>
          </w:tcPr>
          <w:p>
            <w:pPr>
              <w:pStyle w:val="2"/>
              <w:rPr>
                <w:rFonts w:hint="eastAsia"/>
                <w:vertAlign w:val="baseline"/>
                <w:lang w:eastAsia="zh-CN"/>
              </w:rPr>
            </w:pPr>
          </w:p>
        </w:tc>
        <w:tc>
          <w:tcPr>
            <w:tcW w:w="675" w:type="dxa"/>
            <w:gridSpan w:val="2"/>
          </w:tcPr>
          <w:p>
            <w:pPr>
              <w:pStyle w:val="2"/>
              <w:rPr>
                <w:rFonts w:hint="eastAsia"/>
                <w:vertAlign w:val="baseline"/>
                <w:lang w:eastAsia="zh-CN"/>
              </w:rPr>
            </w:pPr>
          </w:p>
        </w:tc>
        <w:tc>
          <w:tcPr>
            <w:tcW w:w="690" w:type="dxa"/>
            <w:gridSpan w:val="2"/>
          </w:tcPr>
          <w:p>
            <w:pPr>
              <w:pStyle w:val="2"/>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510" w:type="dxa"/>
          </w:tcPr>
          <w:p>
            <w:pPr>
              <w:pStyle w:val="2"/>
              <w:rPr>
                <w:rFonts w:hint="eastAsia"/>
                <w:vertAlign w:val="baseline"/>
                <w:lang w:eastAsia="zh-CN"/>
              </w:rPr>
            </w:pPr>
          </w:p>
        </w:tc>
        <w:tc>
          <w:tcPr>
            <w:tcW w:w="480" w:type="dxa"/>
          </w:tcPr>
          <w:p>
            <w:pPr>
              <w:pStyle w:val="2"/>
              <w:rPr>
                <w:rFonts w:hint="eastAsia"/>
                <w:vertAlign w:val="baseline"/>
                <w:lang w:eastAsia="zh-CN"/>
              </w:rPr>
            </w:pPr>
          </w:p>
        </w:tc>
        <w:tc>
          <w:tcPr>
            <w:tcW w:w="524" w:type="dxa"/>
          </w:tcPr>
          <w:p>
            <w:pPr>
              <w:pStyle w:val="2"/>
              <w:rPr>
                <w:rFonts w:hint="eastAsia"/>
                <w:vertAlign w:val="baseline"/>
                <w:lang w:eastAsia="zh-CN"/>
              </w:rPr>
            </w:pPr>
          </w:p>
        </w:tc>
        <w:tc>
          <w:tcPr>
            <w:tcW w:w="408" w:type="dxa"/>
          </w:tcPr>
          <w:p>
            <w:pPr>
              <w:pStyle w:val="2"/>
              <w:rPr>
                <w:rFonts w:hint="eastAsia"/>
                <w:vertAlign w:val="baseline"/>
                <w:lang w:eastAsia="zh-CN"/>
              </w:rPr>
            </w:pPr>
          </w:p>
        </w:tc>
        <w:tc>
          <w:tcPr>
            <w:tcW w:w="628" w:type="dxa"/>
          </w:tcPr>
          <w:p>
            <w:pPr>
              <w:pStyle w:val="2"/>
              <w:rPr>
                <w:rFonts w:hint="eastAsia"/>
                <w:vertAlign w:val="baseline"/>
                <w:lang w:eastAsia="zh-CN"/>
              </w:rPr>
            </w:pPr>
          </w:p>
        </w:tc>
        <w:tc>
          <w:tcPr>
            <w:tcW w:w="525"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633"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574" w:type="dxa"/>
          </w:tcPr>
          <w:p>
            <w:pPr>
              <w:pStyle w:val="2"/>
              <w:rPr>
                <w:rFonts w:hint="eastAsia"/>
                <w:vertAlign w:val="baseline"/>
                <w:lang w:eastAsia="zh-CN"/>
              </w:rPr>
            </w:pPr>
          </w:p>
        </w:tc>
        <w:tc>
          <w:tcPr>
            <w:tcW w:w="58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00"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55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79"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600" w:type="dxa"/>
            <w:gridSpan w:val="2"/>
          </w:tcPr>
          <w:p>
            <w:pPr>
              <w:pStyle w:val="2"/>
              <w:rPr>
                <w:rFonts w:hint="eastAsia"/>
                <w:vertAlign w:val="baseline"/>
                <w:lang w:eastAsia="zh-CN"/>
              </w:rPr>
            </w:pPr>
          </w:p>
        </w:tc>
        <w:tc>
          <w:tcPr>
            <w:tcW w:w="675" w:type="dxa"/>
            <w:gridSpan w:val="2"/>
          </w:tcPr>
          <w:p>
            <w:pPr>
              <w:pStyle w:val="2"/>
              <w:rPr>
                <w:rFonts w:hint="eastAsia"/>
                <w:vertAlign w:val="baseline"/>
                <w:lang w:eastAsia="zh-CN"/>
              </w:rPr>
            </w:pPr>
          </w:p>
        </w:tc>
        <w:tc>
          <w:tcPr>
            <w:tcW w:w="690" w:type="dxa"/>
            <w:gridSpan w:val="2"/>
          </w:tcPr>
          <w:p>
            <w:pPr>
              <w:pStyle w:val="2"/>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510" w:type="dxa"/>
          </w:tcPr>
          <w:p>
            <w:pPr>
              <w:pStyle w:val="2"/>
              <w:rPr>
                <w:rFonts w:hint="eastAsia"/>
                <w:vertAlign w:val="baseline"/>
                <w:lang w:eastAsia="zh-CN"/>
              </w:rPr>
            </w:pPr>
          </w:p>
        </w:tc>
        <w:tc>
          <w:tcPr>
            <w:tcW w:w="480" w:type="dxa"/>
          </w:tcPr>
          <w:p>
            <w:pPr>
              <w:pStyle w:val="2"/>
              <w:rPr>
                <w:rFonts w:hint="eastAsia"/>
                <w:vertAlign w:val="baseline"/>
                <w:lang w:eastAsia="zh-CN"/>
              </w:rPr>
            </w:pPr>
          </w:p>
        </w:tc>
        <w:tc>
          <w:tcPr>
            <w:tcW w:w="524" w:type="dxa"/>
          </w:tcPr>
          <w:p>
            <w:pPr>
              <w:pStyle w:val="2"/>
              <w:rPr>
                <w:rFonts w:hint="eastAsia"/>
                <w:vertAlign w:val="baseline"/>
                <w:lang w:eastAsia="zh-CN"/>
              </w:rPr>
            </w:pPr>
          </w:p>
        </w:tc>
        <w:tc>
          <w:tcPr>
            <w:tcW w:w="408" w:type="dxa"/>
          </w:tcPr>
          <w:p>
            <w:pPr>
              <w:pStyle w:val="2"/>
              <w:rPr>
                <w:rFonts w:hint="eastAsia"/>
                <w:vertAlign w:val="baseline"/>
                <w:lang w:eastAsia="zh-CN"/>
              </w:rPr>
            </w:pPr>
          </w:p>
        </w:tc>
        <w:tc>
          <w:tcPr>
            <w:tcW w:w="628" w:type="dxa"/>
          </w:tcPr>
          <w:p>
            <w:pPr>
              <w:pStyle w:val="2"/>
              <w:rPr>
                <w:rFonts w:hint="eastAsia"/>
                <w:vertAlign w:val="baseline"/>
                <w:lang w:eastAsia="zh-CN"/>
              </w:rPr>
            </w:pPr>
          </w:p>
        </w:tc>
        <w:tc>
          <w:tcPr>
            <w:tcW w:w="525"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633"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574" w:type="dxa"/>
          </w:tcPr>
          <w:p>
            <w:pPr>
              <w:pStyle w:val="2"/>
              <w:rPr>
                <w:rFonts w:hint="eastAsia"/>
                <w:vertAlign w:val="baseline"/>
                <w:lang w:eastAsia="zh-CN"/>
              </w:rPr>
            </w:pPr>
          </w:p>
        </w:tc>
        <w:tc>
          <w:tcPr>
            <w:tcW w:w="58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00"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55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79"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600" w:type="dxa"/>
            <w:gridSpan w:val="2"/>
          </w:tcPr>
          <w:p>
            <w:pPr>
              <w:pStyle w:val="2"/>
              <w:rPr>
                <w:rFonts w:hint="eastAsia"/>
                <w:vertAlign w:val="baseline"/>
                <w:lang w:eastAsia="zh-CN"/>
              </w:rPr>
            </w:pPr>
          </w:p>
        </w:tc>
        <w:tc>
          <w:tcPr>
            <w:tcW w:w="675" w:type="dxa"/>
            <w:gridSpan w:val="2"/>
          </w:tcPr>
          <w:p>
            <w:pPr>
              <w:pStyle w:val="2"/>
              <w:rPr>
                <w:rFonts w:hint="eastAsia"/>
                <w:vertAlign w:val="baseline"/>
                <w:lang w:eastAsia="zh-CN"/>
              </w:rPr>
            </w:pPr>
          </w:p>
        </w:tc>
        <w:tc>
          <w:tcPr>
            <w:tcW w:w="690" w:type="dxa"/>
            <w:gridSpan w:val="2"/>
          </w:tcPr>
          <w:p>
            <w:pPr>
              <w:pStyle w:val="2"/>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435" w:type="dxa"/>
          </w:tcPr>
          <w:p>
            <w:pPr>
              <w:pStyle w:val="2"/>
              <w:rPr>
                <w:rFonts w:hint="eastAsia"/>
                <w:vertAlign w:val="baseline"/>
                <w:lang w:eastAsia="zh-CN"/>
              </w:rPr>
            </w:pPr>
          </w:p>
        </w:tc>
        <w:tc>
          <w:tcPr>
            <w:tcW w:w="510" w:type="dxa"/>
          </w:tcPr>
          <w:p>
            <w:pPr>
              <w:pStyle w:val="2"/>
              <w:rPr>
                <w:rFonts w:hint="eastAsia"/>
                <w:vertAlign w:val="baseline"/>
                <w:lang w:eastAsia="zh-CN"/>
              </w:rPr>
            </w:pPr>
          </w:p>
        </w:tc>
        <w:tc>
          <w:tcPr>
            <w:tcW w:w="480" w:type="dxa"/>
          </w:tcPr>
          <w:p>
            <w:pPr>
              <w:pStyle w:val="2"/>
              <w:rPr>
                <w:rFonts w:hint="eastAsia"/>
                <w:vertAlign w:val="baseline"/>
                <w:lang w:eastAsia="zh-CN"/>
              </w:rPr>
            </w:pPr>
          </w:p>
        </w:tc>
        <w:tc>
          <w:tcPr>
            <w:tcW w:w="524" w:type="dxa"/>
          </w:tcPr>
          <w:p>
            <w:pPr>
              <w:pStyle w:val="2"/>
              <w:rPr>
                <w:rFonts w:hint="eastAsia"/>
                <w:vertAlign w:val="baseline"/>
                <w:lang w:eastAsia="zh-CN"/>
              </w:rPr>
            </w:pPr>
          </w:p>
        </w:tc>
        <w:tc>
          <w:tcPr>
            <w:tcW w:w="408" w:type="dxa"/>
          </w:tcPr>
          <w:p>
            <w:pPr>
              <w:pStyle w:val="2"/>
              <w:rPr>
                <w:rFonts w:hint="eastAsia"/>
                <w:vertAlign w:val="baseline"/>
                <w:lang w:eastAsia="zh-CN"/>
              </w:rPr>
            </w:pPr>
          </w:p>
        </w:tc>
        <w:tc>
          <w:tcPr>
            <w:tcW w:w="628" w:type="dxa"/>
          </w:tcPr>
          <w:p>
            <w:pPr>
              <w:pStyle w:val="2"/>
              <w:rPr>
                <w:rFonts w:hint="eastAsia"/>
                <w:vertAlign w:val="baseline"/>
                <w:lang w:eastAsia="zh-CN"/>
              </w:rPr>
            </w:pPr>
          </w:p>
        </w:tc>
        <w:tc>
          <w:tcPr>
            <w:tcW w:w="525"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633"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604" w:type="dxa"/>
          </w:tcPr>
          <w:p>
            <w:pPr>
              <w:pStyle w:val="2"/>
              <w:rPr>
                <w:rFonts w:hint="eastAsia"/>
                <w:vertAlign w:val="baseline"/>
                <w:lang w:eastAsia="zh-CN"/>
              </w:rPr>
            </w:pPr>
          </w:p>
        </w:tc>
        <w:tc>
          <w:tcPr>
            <w:tcW w:w="574" w:type="dxa"/>
          </w:tcPr>
          <w:p>
            <w:pPr>
              <w:pStyle w:val="2"/>
              <w:rPr>
                <w:rFonts w:hint="eastAsia"/>
                <w:vertAlign w:val="baseline"/>
                <w:lang w:eastAsia="zh-CN"/>
              </w:rPr>
            </w:pPr>
          </w:p>
        </w:tc>
        <w:tc>
          <w:tcPr>
            <w:tcW w:w="58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00" w:type="dxa"/>
          </w:tcPr>
          <w:p>
            <w:pPr>
              <w:pStyle w:val="2"/>
              <w:rPr>
                <w:rFonts w:hint="eastAsia"/>
                <w:vertAlign w:val="baseline"/>
                <w:lang w:eastAsia="zh-CN"/>
              </w:rPr>
            </w:pPr>
          </w:p>
        </w:tc>
        <w:tc>
          <w:tcPr>
            <w:tcW w:w="630" w:type="dxa"/>
          </w:tcPr>
          <w:p>
            <w:pPr>
              <w:pStyle w:val="2"/>
              <w:rPr>
                <w:rFonts w:hint="eastAsia"/>
                <w:vertAlign w:val="baseline"/>
                <w:lang w:eastAsia="zh-CN"/>
              </w:rPr>
            </w:pPr>
          </w:p>
        </w:tc>
        <w:tc>
          <w:tcPr>
            <w:tcW w:w="555" w:type="dxa"/>
          </w:tcPr>
          <w:p>
            <w:pPr>
              <w:pStyle w:val="2"/>
              <w:rPr>
                <w:rFonts w:hint="eastAsia"/>
                <w:vertAlign w:val="baseline"/>
                <w:lang w:eastAsia="zh-CN"/>
              </w:rPr>
            </w:pPr>
          </w:p>
        </w:tc>
        <w:tc>
          <w:tcPr>
            <w:tcW w:w="660" w:type="dxa"/>
          </w:tcPr>
          <w:p>
            <w:pPr>
              <w:pStyle w:val="2"/>
              <w:rPr>
                <w:rFonts w:hint="eastAsia"/>
                <w:vertAlign w:val="baseline"/>
                <w:lang w:eastAsia="zh-CN"/>
              </w:rPr>
            </w:pPr>
          </w:p>
        </w:tc>
        <w:tc>
          <w:tcPr>
            <w:tcW w:w="679"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585" w:type="dxa"/>
            <w:gridSpan w:val="2"/>
          </w:tcPr>
          <w:p>
            <w:pPr>
              <w:pStyle w:val="2"/>
              <w:rPr>
                <w:rFonts w:hint="eastAsia"/>
                <w:vertAlign w:val="baseline"/>
                <w:lang w:eastAsia="zh-CN"/>
              </w:rPr>
            </w:pPr>
          </w:p>
        </w:tc>
        <w:tc>
          <w:tcPr>
            <w:tcW w:w="600" w:type="dxa"/>
            <w:gridSpan w:val="2"/>
          </w:tcPr>
          <w:p>
            <w:pPr>
              <w:pStyle w:val="2"/>
              <w:rPr>
                <w:rFonts w:hint="eastAsia"/>
                <w:vertAlign w:val="baseline"/>
                <w:lang w:eastAsia="zh-CN"/>
              </w:rPr>
            </w:pPr>
          </w:p>
        </w:tc>
        <w:tc>
          <w:tcPr>
            <w:tcW w:w="675" w:type="dxa"/>
            <w:gridSpan w:val="2"/>
          </w:tcPr>
          <w:p>
            <w:pPr>
              <w:pStyle w:val="2"/>
              <w:rPr>
                <w:rFonts w:hint="eastAsia"/>
                <w:vertAlign w:val="baseline"/>
                <w:lang w:eastAsia="zh-CN"/>
              </w:rPr>
            </w:pPr>
          </w:p>
        </w:tc>
        <w:tc>
          <w:tcPr>
            <w:tcW w:w="690" w:type="dxa"/>
            <w:gridSpan w:val="2"/>
          </w:tcPr>
          <w:p>
            <w:pPr>
              <w:pStyle w:val="2"/>
              <w:rPr>
                <w:rFonts w:hint="eastAsia"/>
                <w:vertAlign w:val="baseline"/>
                <w:lang w:eastAsia="zh-CN"/>
              </w:rPr>
            </w:pPr>
          </w:p>
        </w:tc>
      </w:tr>
    </w:tbl>
    <w:p>
      <w:pPr>
        <w:pStyle w:val="2"/>
        <w:rPr>
          <w:rFonts w:hint="eastAsia"/>
          <w:lang w:eastAsia="zh-CN"/>
        </w:rPr>
      </w:pPr>
    </w:p>
    <w:p>
      <w:pPr>
        <w:rPr>
          <w:rFonts w:hint="eastAsia"/>
          <w:lang w:eastAsia="zh-CN"/>
        </w:rPr>
        <w:sectPr>
          <w:footerReference r:id="rId4" w:type="default"/>
          <w:pgSz w:w="16838" w:h="11906" w:orient="landscape"/>
          <w:pgMar w:top="1531" w:right="2324" w:bottom="1531" w:left="1757" w:header="851" w:footer="992" w:gutter="0"/>
          <w:cols w:space="0" w:num="1"/>
          <w:docGrid w:type="lines" w:linePitch="327" w:charSpace="0"/>
        </w:sectPr>
      </w:pPr>
      <w:r>
        <w:rPr>
          <w:rFonts w:hint="eastAsia" w:ascii="仿宋_GB2312" w:hAnsi="仿宋_GB2312" w:eastAsia="仿宋_GB2312" w:cs="仿宋_GB2312"/>
          <w:sz w:val="21"/>
          <w:szCs w:val="21"/>
          <w:lang w:eastAsia="zh-CN"/>
        </w:rPr>
        <w:br w:type="page"/>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rPr>
          <w:rFonts w:hint="eastAsia"/>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rPr>
          <w:rFonts w:hint="eastAsia"/>
          <w:lang w:eastAsia="zh-CN"/>
        </w:rPr>
      </w:pPr>
    </w:p>
    <w:p>
      <w:pPr>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pPr>
        <w:pStyle w:val="2"/>
        <w:ind w:firstLine="640" w:firstLineChars="200"/>
        <w:rPr>
          <w:rFonts w:hint="eastAsia"/>
          <w:b w:val="0"/>
          <w:bCs w:val="0"/>
          <w:lang w:eastAsia="zh-CN"/>
        </w:rPr>
      </w:pPr>
      <w:r>
        <w:rPr>
          <w:rFonts w:hint="eastAsia" w:ascii="仿宋_GB2312" w:hAnsi="仿宋_GB2312" w:eastAsia="仿宋_GB2312" w:cs="仿宋_GB2312"/>
          <w:b w:val="0"/>
          <w:bCs w:val="0"/>
          <w:sz w:val="32"/>
          <w:szCs w:val="32"/>
          <w:lang w:eastAsia="zh-CN"/>
        </w:rPr>
        <w:t>抄</w:t>
      </w:r>
      <w:r>
        <w:rPr>
          <w:rFonts w:hint="eastAsia" w:ascii="仿宋_GB2312" w:hAnsi="仿宋_GB2312" w:eastAsia="仿宋_GB2312" w:cs="仿宋_GB2312"/>
          <w:b w:val="0"/>
          <w:bCs w:val="0"/>
          <w:sz w:val="32"/>
          <w:szCs w:val="32"/>
          <w:lang w:val="en-US" w:eastAsia="zh-CN"/>
        </w:rPr>
        <w:t>报</w:t>
      </w:r>
      <w:r>
        <w:rPr>
          <w:rFonts w:hint="eastAsia" w:ascii="仿宋_GB2312" w:hAnsi="仿宋_GB2312" w:eastAsia="仿宋_GB2312" w:cs="仿宋_GB2312"/>
          <w:b w:val="0"/>
          <w:bCs w:val="0"/>
          <w:sz w:val="32"/>
          <w:szCs w:val="32"/>
          <w:lang w:eastAsia="zh-CN"/>
        </w:rPr>
        <w:t>：省工业和信息化厅</w:t>
      </w:r>
    </w:p>
    <w:sectPr>
      <w:pgSz w:w="11906" w:h="16838"/>
      <w:pgMar w:top="2324" w:right="1531" w:bottom="1757" w:left="1531"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N2M4ZGQ4NzQ2YTJlMDg4MTk3NTBjMGQwOTBjNzcifQ=="/>
  </w:docVars>
  <w:rsids>
    <w:rsidRoot w:val="00EB2C63"/>
    <w:rsid w:val="006E6E06"/>
    <w:rsid w:val="00AE37B2"/>
    <w:rsid w:val="00EB2C63"/>
    <w:rsid w:val="014E6E5E"/>
    <w:rsid w:val="06B82B49"/>
    <w:rsid w:val="11E74152"/>
    <w:rsid w:val="1259456B"/>
    <w:rsid w:val="1299771C"/>
    <w:rsid w:val="1B662B68"/>
    <w:rsid w:val="283D0A8D"/>
    <w:rsid w:val="2B305F48"/>
    <w:rsid w:val="2CC45B10"/>
    <w:rsid w:val="36F86FE5"/>
    <w:rsid w:val="3CE63BC7"/>
    <w:rsid w:val="3F3A4C2C"/>
    <w:rsid w:val="3FA11A38"/>
    <w:rsid w:val="40CD5875"/>
    <w:rsid w:val="41E9705B"/>
    <w:rsid w:val="46CC1A9D"/>
    <w:rsid w:val="4738741D"/>
    <w:rsid w:val="4C522EE6"/>
    <w:rsid w:val="4D3162B1"/>
    <w:rsid w:val="4EE36D24"/>
    <w:rsid w:val="526D1FCD"/>
    <w:rsid w:val="581F4C71"/>
    <w:rsid w:val="5E803A82"/>
    <w:rsid w:val="61341774"/>
    <w:rsid w:val="66490B07"/>
    <w:rsid w:val="6B5F3B4A"/>
    <w:rsid w:val="73A40A54"/>
    <w:rsid w:val="7B26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line="415" w:lineRule="auto"/>
      <w:outlineLvl w:val="1"/>
    </w:pPr>
    <w:rPr>
      <w:rFonts w:ascii="Calibri Light" w:hAnsi="Calibri Light" w:cs="宋体"/>
      <w:b/>
      <w:bCs/>
      <w:kern w:val="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15"/>
    <w:basedOn w:val="8"/>
    <w:qFormat/>
    <w:uiPriority w:val="0"/>
    <w:rPr>
      <w:rFonts w:hint="default" w:ascii="Calibri" w:hAnsi="Calibri" w:cs="Calibri"/>
      <w:color w:val="53535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3521</Words>
  <Characters>3593</Characters>
  <Lines>3</Lines>
  <Paragraphs>7</Paragraphs>
  <TotalTime>61</TotalTime>
  <ScaleCrop>false</ScaleCrop>
  <LinksUpToDate>false</LinksUpToDate>
  <CharactersWithSpaces>3778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2023-05-09T01:54:52Z</cp:lastPrinted>
  <dcterms:modified xsi:type="dcterms:W3CDTF">2023-05-09T01:56:22Z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46691C6449B840EA9CA03D70EA2F9411</vt:lpwstr>
  </property>
</Properties>
</file>