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280" w:type="dxa"/>
        <w:tblInd w:w="0" w:type="dxa"/>
        <w:tblLayout w:type="fixed"/>
        <w:tblCellMar>
          <w:top w:w="0" w:type="dxa"/>
          <w:left w:w="108" w:type="dxa"/>
          <w:bottom w:w="0" w:type="dxa"/>
          <w:right w:w="108" w:type="dxa"/>
        </w:tblCellMar>
      </w:tblPr>
      <w:tblGrid>
        <w:gridCol w:w="1972"/>
        <w:gridCol w:w="1507"/>
        <w:gridCol w:w="428"/>
        <w:gridCol w:w="2693"/>
        <w:gridCol w:w="742"/>
        <w:gridCol w:w="1536"/>
        <w:gridCol w:w="1535"/>
        <w:gridCol w:w="1032"/>
        <w:gridCol w:w="2835"/>
      </w:tblGrid>
      <w:tr>
        <w:tblPrEx>
          <w:tblLayout w:type="fixed"/>
          <w:tblCellMar>
            <w:top w:w="0" w:type="dxa"/>
            <w:left w:w="108" w:type="dxa"/>
            <w:bottom w:w="0" w:type="dxa"/>
            <w:right w:w="108" w:type="dxa"/>
          </w:tblCellMar>
        </w:tblPrEx>
        <w:trPr>
          <w:trHeight w:val="529" w:hRule="atLeast"/>
        </w:trPr>
        <w:tc>
          <w:tcPr>
            <w:tcW w:w="3479" w:type="dxa"/>
            <w:gridSpan w:val="2"/>
            <w:vAlign w:val="center"/>
          </w:tcPr>
          <w:p>
            <w:pPr>
              <w:autoSpaceDN w:val="0"/>
              <w:jc w:val="left"/>
              <w:textAlignment w:val="center"/>
              <w:rPr>
                <w:rFonts w:ascii="宋体" w:hAnsi="宋体" w:eastAsia="宋体" w:cs="Times New Roman"/>
                <w:color w:val="000000"/>
                <w:sz w:val="24"/>
              </w:rPr>
            </w:pPr>
            <w:r>
              <w:rPr>
                <w:rStyle w:val="11"/>
                <w:rFonts w:hint="eastAsia" w:ascii="仿宋_GB2312" w:hAnsi="仿宋_GB2312" w:eastAsia="仿宋_GB2312"/>
              </w:rPr>
              <w:t>附件</w:t>
            </w:r>
            <w:r>
              <w:rPr>
                <w:rStyle w:val="11"/>
                <w:rFonts w:hint="eastAsia" w:eastAsia="宋体"/>
              </w:rPr>
              <w:t>2</w:t>
            </w:r>
          </w:p>
        </w:tc>
        <w:tc>
          <w:tcPr>
            <w:tcW w:w="3863" w:type="dxa"/>
            <w:gridSpan w:val="3"/>
            <w:vAlign w:val="center"/>
          </w:tcPr>
          <w:p>
            <w:pPr>
              <w:autoSpaceDN w:val="0"/>
              <w:jc w:val="left"/>
              <w:textAlignment w:val="center"/>
              <w:rPr>
                <w:rFonts w:ascii="宋体" w:hAnsi="宋体" w:eastAsia="宋体" w:cs="Times New Roman"/>
                <w:color w:val="000000"/>
                <w:sz w:val="24"/>
              </w:rPr>
            </w:pPr>
          </w:p>
        </w:tc>
        <w:tc>
          <w:tcPr>
            <w:tcW w:w="1536" w:type="dxa"/>
            <w:vAlign w:val="center"/>
          </w:tcPr>
          <w:p>
            <w:pPr>
              <w:autoSpaceDN w:val="0"/>
              <w:jc w:val="left"/>
              <w:textAlignment w:val="center"/>
              <w:rPr>
                <w:rFonts w:ascii="宋体" w:hAnsi="宋体" w:eastAsia="宋体" w:cs="Times New Roman"/>
                <w:color w:val="000000"/>
                <w:sz w:val="24"/>
              </w:rPr>
            </w:pPr>
          </w:p>
        </w:tc>
        <w:tc>
          <w:tcPr>
            <w:tcW w:w="1535" w:type="dxa"/>
            <w:vAlign w:val="center"/>
          </w:tcPr>
          <w:p>
            <w:pPr>
              <w:autoSpaceDN w:val="0"/>
              <w:jc w:val="left"/>
              <w:textAlignment w:val="center"/>
              <w:rPr>
                <w:rFonts w:ascii="宋体" w:hAnsi="宋体" w:eastAsia="宋体" w:cs="Times New Roman"/>
                <w:color w:val="000000"/>
                <w:sz w:val="24"/>
              </w:rPr>
            </w:pPr>
          </w:p>
        </w:tc>
        <w:tc>
          <w:tcPr>
            <w:tcW w:w="3867" w:type="dxa"/>
            <w:gridSpan w:val="2"/>
            <w:vAlign w:val="center"/>
          </w:tcPr>
          <w:p>
            <w:pPr>
              <w:autoSpaceDN w:val="0"/>
              <w:jc w:val="left"/>
              <w:textAlignment w:val="center"/>
              <w:rPr>
                <w:rFonts w:ascii="宋体" w:hAnsi="宋体" w:eastAsia="宋体" w:cs="Times New Roman"/>
                <w:color w:val="000000"/>
                <w:sz w:val="24"/>
              </w:rPr>
            </w:pPr>
          </w:p>
        </w:tc>
      </w:tr>
      <w:tr>
        <w:tblPrEx>
          <w:tblLayout w:type="fixed"/>
          <w:tblCellMar>
            <w:top w:w="0" w:type="dxa"/>
            <w:left w:w="108" w:type="dxa"/>
            <w:bottom w:w="0" w:type="dxa"/>
            <w:right w:w="108" w:type="dxa"/>
          </w:tblCellMar>
        </w:tblPrEx>
        <w:trPr>
          <w:trHeight w:val="644" w:hRule="atLeast"/>
        </w:trPr>
        <w:tc>
          <w:tcPr>
            <w:tcW w:w="14280" w:type="dxa"/>
            <w:gridSpan w:val="9"/>
            <w:vAlign w:val="center"/>
          </w:tcPr>
          <w:p>
            <w:pPr>
              <w:autoSpaceDN w:val="0"/>
              <w:jc w:val="center"/>
              <w:textAlignment w:val="center"/>
              <w:rPr>
                <w:rFonts w:ascii="方正小标宋简体" w:hAnsi="方正小标宋简体" w:eastAsia="方正小标宋简体" w:cs="Times New Roman"/>
                <w:color w:val="000000"/>
                <w:sz w:val="36"/>
              </w:rPr>
            </w:pPr>
            <w:r>
              <w:rPr>
                <w:rFonts w:hint="eastAsia" w:ascii="方正小标宋简体" w:hAnsi="方正小标宋简体" w:eastAsia="方正小标宋简体" w:cs="Times New Roman"/>
                <w:color w:val="000000"/>
                <w:sz w:val="32"/>
              </w:rPr>
              <w:t>揭阳市</w:t>
            </w:r>
            <w:r>
              <w:rPr>
                <w:rFonts w:ascii="方正小标宋简体" w:hAnsi="方正小标宋简体" w:eastAsia="方正小标宋简体" w:cs="Times New Roman"/>
                <w:color w:val="000000"/>
                <w:sz w:val="32"/>
              </w:rPr>
              <w:t>2022年省级促进经济高质量发展专项资金（民营经济及中小微企业发展）绩效目标表</w:t>
            </w:r>
          </w:p>
        </w:tc>
      </w:tr>
      <w:tr>
        <w:tblPrEx>
          <w:tblLayout w:type="fixed"/>
          <w:tblCellMar>
            <w:top w:w="0" w:type="dxa"/>
            <w:left w:w="108" w:type="dxa"/>
            <w:bottom w:w="0" w:type="dxa"/>
            <w:right w:w="108" w:type="dxa"/>
          </w:tblCellMar>
        </w:tblPrEx>
        <w:trPr>
          <w:trHeight w:val="523" w:hRule="atLeast"/>
        </w:trPr>
        <w:tc>
          <w:tcPr>
            <w:tcW w:w="19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项目名称</w:t>
            </w:r>
          </w:p>
        </w:tc>
        <w:tc>
          <w:tcPr>
            <w:tcW w:w="1230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b/>
                <w:color w:val="000000"/>
                <w:sz w:val="24"/>
              </w:rPr>
            </w:pPr>
            <w:r>
              <w:rPr>
                <w:rFonts w:ascii="宋体" w:hAnsi="宋体" w:eastAsia="宋体" w:cs="Times New Roman"/>
                <w:b/>
                <w:color w:val="000000"/>
                <w:sz w:val="24"/>
              </w:rPr>
              <w:t>2022年省级促进经济高质量发展专项资金（民营经济及中小微企业发展）</w:t>
            </w:r>
          </w:p>
        </w:tc>
      </w:tr>
      <w:tr>
        <w:tblPrEx>
          <w:tblLayout w:type="fixed"/>
          <w:tblCellMar>
            <w:top w:w="0" w:type="dxa"/>
            <w:left w:w="108" w:type="dxa"/>
            <w:bottom w:w="0" w:type="dxa"/>
            <w:right w:w="108" w:type="dxa"/>
          </w:tblCellMar>
        </w:tblPrEx>
        <w:trPr>
          <w:trHeight w:val="655" w:hRule="atLeast"/>
        </w:trPr>
        <w:tc>
          <w:tcPr>
            <w:tcW w:w="19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资金需求</w:t>
            </w:r>
            <w:r>
              <w:rPr>
                <w:rFonts w:ascii="宋体" w:hAnsi="宋体" w:eastAsia="宋体" w:cs="Times New Roman"/>
                <w:color w:val="000000"/>
                <w:sz w:val="24"/>
              </w:rPr>
              <w:br w:type="textWrapping"/>
            </w:r>
            <w:r>
              <w:rPr>
                <w:rFonts w:ascii="宋体" w:hAnsi="宋体" w:eastAsia="宋体" w:cs="Times New Roman"/>
                <w:color w:val="000000"/>
                <w:sz w:val="24"/>
              </w:rPr>
              <w:t>（万元）</w:t>
            </w:r>
          </w:p>
        </w:tc>
        <w:tc>
          <w:tcPr>
            <w:tcW w:w="1230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b/>
                <w:sz w:val="24"/>
              </w:rPr>
            </w:pPr>
            <w:r>
              <w:rPr>
                <w:rFonts w:ascii="宋体" w:hAnsi="宋体" w:eastAsia="宋体" w:cs="Times New Roman"/>
                <w:b/>
                <w:sz w:val="24"/>
              </w:rPr>
              <w:t>308（其中第一批资金需求</w:t>
            </w:r>
            <w:r>
              <w:rPr>
                <w:rFonts w:hint="eastAsia" w:ascii="黑体" w:hAnsi="宋体" w:eastAsia="黑体" w:cs="黑体"/>
                <w:kern w:val="0"/>
                <w:sz w:val="22"/>
                <w:szCs w:val="22"/>
              </w:rPr>
              <w:t>267.85</w:t>
            </w:r>
            <w:r>
              <w:rPr>
                <w:rFonts w:ascii="宋体" w:hAnsi="宋体" w:eastAsia="宋体" w:cs="Times New Roman"/>
                <w:b/>
                <w:sz w:val="24"/>
              </w:rPr>
              <w:t>）</w:t>
            </w:r>
          </w:p>
        </w:tc>
      </w:tr>
      <w:tr>
        <w:tblPrEx>
          <w:tblLayout w:type="fixed"/>
          <w:tblCellMar>
            <w:top w:w="0" w:type="dxa"/>
            <w:left w:w="108" w:type="dxa"/>
            <w:bottom w:w="0" w:type="dxa"/>
            <w:right w:w="108" w:type="dxa"/>
          </w:tblCellMar>
        </w:tblPrEx>
        <w:trPr>
          <w:trHeight w:val="1282" w:hRule="atLeast"/>
        </w:trPr>
        <w:tc>
          <w:tcPr>
            <w:tcW w:w="19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总体绩效目标</w:t>
            </w:r>
            <w:r>
              <w:rPr>
                <w:rFonts w:ascii="宋体" w:hAnsi="宋体" w:eastAsia="宋体" w:cs="Times New Roman"/>
                <w:color w:val="000000"/>
                <w:sz w:val="24"/>
              </w:rPr>
              <w:br w:type="textWrapping"/>
            </w:r>
            <w:r>
              <w:rPr>
                <w:rFonts w:ascii="宋体" w:hAnsi="宋体" w:eastAsia="宋体" w:cs="Times New Roman"/>
                <w:color w:val="000000"/>
                <w:sz w:val="24"/>
              </w:rPr>
              <w:t>（概述）</w:t>
            </w:r>
          </w:p>
        </w:tc>
        <w:tc>
          <w:tcPr>
            <w:tcW w:w="1230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s="Times New Roman"/>
                <w:sz w:val="24"/>
              </w:rPr>
            </w:pPr>
            <w:r>
              <w:rPr>
                <w:rFonts w:ascii="宋体" w:hAnsi="宋体" w:eastAsia="宋体" w:cs="Times New Roman"/>
                <w:sz w:val="24"/>
              </w:rPr>
              <w:t>1.推动政府性融资担保机构开展支小业务，省财政扶持的政府性融资担保业务年化保费费率不高于1.5%；</w:t>
            </w:r>
            <w:r>
              <w:rPr>
                <w:rFonts w:ascii="宋体" w:hAnsi="宋体" w:eastAsia="宋体" w:cs="Times New Roman"/>
                <w:sz w:val="24"/>
              </w:rPr>
              <w:br w:type="textWrapping"/>
            </w:r>
            <w:r>
              <w:rPr>
                <w:rFonts w:ascii="宋体" w:hAnsi="宋体" w:eastAsia="宋体" w:cs="Times New Roman"/>
                <w:sz w:val="24"/>
              </w:rPr>
              <w:t>2.对在2020年7月1日至2021年6月30日期间实际发生商业银行贷款利息支出的专精特新中小企业给予贴息补助，支持企业获得贷款4577万元以上</w:t>
            </w:r>
            <w:r>
              <w:rPr>
                <w:rFonts w:ascii="宋体" w:hAnsi="宋体" w:eastAsia="宋体"/>
                <w:sz w:val="24"/>
              </w:rPr>
              <w:t>（其中：榕城区</w:t>
            </w:r>
            <w:r>
              <w:rPr>
                <w:rFonts w:hint="eastAsia" w:ascii="宋体" w:hAnsi="宋体" w:eastAsia="宋体"/>
                <w:sz w:val="24"/>
              </w:rPr>
              <w:t>1000万元以上、揭东区1200万元以上、普宁市850万元以上、产业园770万元以上、空港经济区757万元以上</w:t>
            </w:r>
            <w:r>
              <w:rPr>
                <w:rFonts w:ascii="宋体" w:hAnsi="宋体" w:eastAsia="宋体"/>
                <w:sz w:val="24"/>
              </w:rPr>
              <w:t>）</w:t>
            </w:r>
            <w:r>
              <w:rPr>
                <w:rFonts w:ascii="宋体" w:hAnsi="宋体" w:eastAsia="宋体" w:cs="Times New Roman"/>
                <w:sz w:val="24"/>
              </w:rPr>
              <w:t>。</w:t>
            </w:r>
          </w:p>
        </w:tc>
      </w:tr>
      <w:tr>
        <w:tblPrEx>
          <w:tblLayout w:type="fixed"/>
          <w:tblCellMar>
            <w:top w:w="0" w:type="dxa"/>
            <w:left w:w="108" w:type="dxa"/>
            <w:bottom w:w="0" w:type="dxa"/>
            <w:right w:w="108" w:type="dxa"/>
          </w:tblCellMar>
        </w:tblPrEx>
        <w:trPr>
          <w:trHeight w:val="527" w:hRule="atLeast"/>
        </w:trPr>
        <w:tc>
          <w:tcPr>
            <w:tcW w:w="197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绩</w:t>
            </w:r>
            <w:r>
              <w:rPr>
                <w:rFonts w:ascii="宋体" w:hAnsi="宋体" w:eastAsia="宋体" w:cs="Times New Roman"/>
                <w:color w:val="000000"/>
                <w:sz w:val="24"/>
              </w:rPr>
              <w:br w:type="textWrapping"/>
            </w:r>
            <w:r>
              <w:rPr>
                <w:rFonts w:ascii="宋体" w:hAnsi="宋体" w:eastAsia="宋体" w:cs="Times New Roman"/>
                <w:color w:val="000000"/>
                <w:sz w:val="24"/>
              </w:rPr>
              <w:t>效</w:t>
            </w:r>
            <w:r>
              <w:rPr>
                <w:rFonts w:ascii="宋体" w:hAnsi="宋体" w:eastAsia="宋体" w:cs="Times New Roman"/>
                <w:color w:val="000000"/>
                <w:sz w:val="24"/>
              </w:rPr>
              <w:br w:type="textWrapping"/>
            </w:r>
            <w:r>
              <w:rPr>
                <w:rFonts w:ascii="宋体" w:hAnsi="宋体" w:eastAsia="宋体" w:cs="Times New Roman"/>
                <w:color w:val="000000"/>
                <w:sz w:val="24"/>
              </w:rPr>
              <w:t>指</w:t>
            </w:r>
            <w:r>
              <w:rPr>
                <w:rFonts w:ascii="宋体" w:hAnsi="宋体" w:eastAsia="宋体" w:cs="Times New Roman"/>
                <w:color w:val="000000"/>
                <w:sz w:val="24"/>
              </w:rPr>
              <w:br w:type="textWrapping"/>
            </w:r>
            <w:r>
              <w:rPr>
                <w:rFonts w:ascii="宋体" w:hAnsi="宋体" w:eastAsia="宋体" w:cs="Times New Roman"/>
                <w:color w:val="000000"/>
                <w:sz w:val="24"/>
              </w:rPr>
              <w:t>标</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一级指标</w:t>
            </w:r>
          </w:p>
        </w:tc>
        <w:tc>
          <w:tcPr>
            <w:tcW w:w="2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二级指标</w:t>
            </w:r>
          </w:p>
        </w:tc>
        <w:tc>
          <w:tcPr>
            <w:tcW w:w="484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三级指标</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三级指标目标值</w:t>
            </w:r>
          </w:p>
        </w:tc>
      </w:tr>
      <w:tr>
        <w:tblPrEx>
          <w:tblLayout w:type="fixed"/>
          <w:tblCellMar>
            <w:top w:w="0" w:type="dxa"/>
            <w:left w:w="108" w:type="dxa"/>
            <w:bottom w:w="0" w:type="dxa"/>
            <w:right w:w="108" w:type="dxa"/>
          </w:tblCellMar>
        </w:tblPrEx>
        <w:trPr>
          <w:trHeight w:val="493" w:hRule="atLeast"/>
        </w:trPr>
        <w:tc>
          <w:tcPr>
            <w:tcW w:w="1972" w:type="dxa"/>
            <w:vMerge w:val="continue"/>
            <w:tcBorders>
              <w:left w:val="single" w:color="000000" w:sz="4" w:space="0"/>
              <w:right w:val="single" w:color="000000" w:sz="4" w:space="0"/>
            </w:tcBorders>
            <w:vAlign w:val="center"/>
          </w:tcPr>
          <w:p>
            <w:pPr>
              <w:rPr>
                <w:rFonts w:ascii="Calibri" w:hAnsi="Calibri" w:eastAsia="宋体" w:cs="Times New Roman"/>
              </w:rPr>
            </w:pPr>
          </w:p>
        </w:tc>
        <w:tc>
          <w:tcPr>
            <w:tcW w:w="193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产出</w:t>
            </w:r>
          </w:p>
        </w:tc>
        <w:tc>
          <w:tcPr>
            <w:tcW w:w="2693" w:type="dxa"/>
            <w:tcBorders>
              <w:top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数量指标</w:t>
            </w:r>
          </w:p>
        </w:tc>
        <w:tc>
          <w:tcPr>
            <w:tcW w:w="484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新增“专精特新”企业（家）</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3</w:t>
            </w:r>
          </w:p>
        </w:tc>
      </w:tr>
      <w:tr>
        <w:tblPrEx>
          <w:tblLayout w:type="fixed"/>
          <w:tblCellMar>
            <w:top w:w="0" w:type="dxa"/>
            <w:left w:w="108" w:type="dxa"/>
            <w:bottom w:w="0" w:type="dxa"/>
            <w:right w:w="108" w:type="dxa"/>
          </w:tblCellMar>
        </w:tblPrEx>
        <w:trPr>
          <w:trHeight w:val="828" w:hRule="atLeast"/>
        </w:trPr>
        <w:tc>
          <w:tcPr>
            <w:tcW w:w="1972" w:type="dxa"/>
            <w:vMerge w:val="continue"/>
            <w:tcBorders>
              <w:left w:val="single" w:color="000000" w:sz="4" w:space="0"/>
              <w:right w:val="single" w:color="000000" w:sz="4" w:space="0"/>
            </w:tcBorders>
            <w:vAlign w:val="center"/>
          </w:tcPr>
          <w:p>
            <w:pPr>
              <w:rPr>
                <w:rFonts w:ascii="Calibri" w:hAnsi="Calibri" w:eastAsia="宋体" w:cs="Times New Roman"/>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rPr>
            </w:pPr>
          </w:p>
        </w:tc>
        <w:tc>
          <w:tcPr>
            <w:tcW w:w="2693" w:type="dxa"/>
            <w:tcBorders>
              <w:top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质量指标</w:t>
            </w:r>
          </w:p>
        </w:tc>
        <w:tc>
          <w:tcPr>
            <w:tcW w:w="484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省财政扶持的政府性融资担保业务年化保费费率（%）</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≤1.5</w:t>
            </w:r>
          </w:p>
        </w:tc>
      </w:tr>
      <w:tr>
        <w:tblPrEx>
          <w:tblLayout w:type="fixed"/>
          <w:tblCellMar>
            <w:top w:w="0" w:type="dxa"/>
            <w:left w:w="108" w:type="dxa"/>
            <w:bottom w:w="0" w:type="dxa"/>
            <w:right w:w="108" w:type="dxa"/>
          </w:tblCellMar>
        </w:tblPrEx>
        <w:trPr>
          <w:trHeight w:val="908" w:hRule="atLeast"/>
        </w:trPr>
        <w:tc>
          <w:tcPr>
            <w:tcW w:w="1972" w:type="dxa"/>
            <w:vMerge w:val="continue"/>
            <w:tcBorders>
              <w:left w:val="single" w:color="000000" w:sz="4" w:space="0"/>
              <w:right w:val="single" w:color="000000" w:sz="4" w:space="0"/>
            </w:tcBorders>
            <w:vAlign w:val="center"/>
          </w:tcPr>
          <w:p>
            <w:pPr>
              <w:rPr>
                <w:rFonts w:ascii="Calibri" w:hAnsi="Calibri" w:eastAsia="宋体" w:cs="Times New Roman"/>
              </w:rPr>
            </w:pPr>
          </w:p>
        </w:tc>
        <w:tc>
          <w:tcPr>
            <w:tcW w:w="1935"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效益</w:t>
            </w:r>
          </w:p>
        </w:tc>
        <w:tc>
          <w:tcPr>
            <w:tcW w:w="2693" w:type="dxa"/>
            <w:vMerge w:val="restart"/>
            <w:tcBorders>
              <w:top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经济指标</w:t>
            </w:r>
          </w:p>
        </w:tc>
        <w:tc>
          <w:tcPr>
            <w:tcW w:w="484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省财政支持的地市政府性融资担保机构帮助企业实现融资担保规模（万元）</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7486</w:t>
            </w:r>
          </w:p>
        </w:tc>
      </w:tr>
      <w:tr>
        <w:tblPrEx>
          <w:tblLayout w:type="fixed"/>
          <w:tblCellMar>
            <w:top w:w="0" w:type="dxa"/>
            <w:left w:w="108" w:type="dxa"/>
            <w:bottom w:w="0" w:type="dxa"/>
            <w:right w:w="108" w:type="dxa"/>
          </w:tblCellMar>
        </w:tblPrEx>
        <w:trPr>
          <w:trHeight w:val="733" w:hRule="atLeast"/>
        </w:trPr>
        <w:tc>
          <w:tcPr>
            <w:tcW w:w="1972" w:type="dxa"/>
            <w:vMerge w:val="continue"/>
            <w:tcBorders>
              <w:left w:val="single" w:color="000000" w:sz="4" w:space="0"/>
              <w:right w:val="single" w:color="000000" w:sz="4" w:space="0"/>
            </w:tcBorders>
            <w:vAlign w:val="center"/>
          </w:tcPr>
          <w:p>
            <w:pPr>
              <w:rPr>
                <w:rFonts w:ascii="Calibri" w:hAnsi="Calibri" w:eastAsia="宋体" w:cs="Times New Roman"/>
              </w:rPr>
            </w:pPr>
          </w:p>
        </w:tc>
        <w:tc>
          <w:tcPr>
            <w:tcW w:w="1935" w:type="dxa"/>
            <w:gridSpan w:val="2"/>
            <w:vMerge w:val="continue"/>
            <w:tcBorders>
              <w:left w:val="single" w:color="000000" w:sz="4" w:space="0"/>
              <w:right w:val="single" w:color="000000" w:sz="4" w:space="0"/>
            </w:tcBorders>
            <w:vAlign w:val="center"/>
          </w:tcPr>
          <w:p>
            <w:pPr>
              <w:rPr>
                <w:rFonts w:ascii="Calibri" w:hAnsi="Calibri" w:eastAsia="宋体" w:cs="Times New Roman"/>
              </w:rPr>
            </w:pPr>
          </w:p>
        </w:tc>
        <w:tc>
          <w:tcPr>
            <w:tcW w:w="2693" w:type="dxa"/>
            <w:vMerge w:val="continue"/>
            <w:tcBorders>
              <w:right w:val="single" w:color="000000" w:sz="4" w:space="0"/>
            </w:tcBorders>
            <w:vAlign w:val="center"/>
          </w:tcPr>
          <w:p>
            <w:pPr>
              <w:rPr>
                <w:rFonts w:ascii="Calibri" w:hAnsi="Calibri" w:eastAsia="宋体" w:cs="Times New Roman"/>
              </w:rPr>
            </w:pPr>
          </w:p>
        </w:tc>
        <w:tc>
          <w:tcPr>
            <w:tcW w:w="484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省财政扶持的中小微企业融资额（万元）</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4577</w:t>
            </w:r>
          </w:p>
        </w:tc>
      </w:tr>
      <w:tr>
        <w:tblPrEx>
          <w:tblLayout w:type="fixed"/>
          <w:tblCellMar>
            <w:top w:w="0" w:type="dxa"/>
            <w:left w:w="108" w:type="dxa"/>
            <w:bottom w:w="0" w:type="dxa"/>
            <w:right w:w="108" w:type="dxa"/>
          </w:tblCellMar>
        </w:tblPrEx>
        <w:trPr>
          <w:trHeight w:val="666" w:hRule="atLeast"/>
        </w:trPr>
        <w:tc>
          <w:tcPr>
            <w:tcW w:w="1972" w:type="dxa"/>
            <w:vMerge w:val="continue"/>
            <w:tcBorders>
              <w:left w:val="single" w:color="000000" w:sz="4" w:space="0"/>
              <w:bottom w:val="single" w:color="000000" w:sz="4" w:space="0"/>
              <w:right w:val="single" w:color="000000" w:sz="4" w:space="0"/>
            </w:tcBorders>
            <w:vAlign w:val="center"/>
          </w:tcPr>
          <w:p>
            <w:pPr>
              <w:rPr>
                <w:rFonts w:ascii="Calibri" w:hAnsi="Calibri" w:eastAsia="宋体" w:cs="Times New Roman"/>
              </w:rPr>
            </w:pPr>
          </w:p>
        </w:tc>
        <w:tc>
          <w:tcPr>
            <w:tcW w:w="1935" w:type="dxa"/>
            <w:gridSpan w:val="2"/>
            <w:vMerge w:val="continue"/>
            <w:tcBorders>
              <w:left w:val="single" w:color="000000" w:sz="4" w:space="0"/>
              <w:bottom w:val="single" w:color="000000" w:sz="4" w:space="0"/>
              <w:right w:val="single" w:color="000000" w:sz="4" w:space="0"/>
            </w:tcBorders>
            <w:vAlign w:val="center"/>
          </w:tcPr>
          <w:p>
            <w:pPr>
              <w:rPr>
                <w:rFonts w:ascii="Calibri" w:hAnsi="Calibri" w:eastAsia="宋体" w:cs="Times New Roman"/>
              </w:rPr>
            </w:pPr>
          </w:p>
        </w:tc>
        <w:tc>
          <w:tcPr>
            <w:tcW w:w="2693"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服务对象满意度指标</w:t>
            </w:r>
          </w:p>
        </w:tc>
        <w:tc>
          <w:tcPr>
            <w:tcW w:w="484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ascii="宋体" w:hAnsi="宋体" w:eastAsia="宋体" w:cs="Times New Roman"/>
                <w:color w:val="000000"/>
                <w:sz w:val="24"/>
              </w:rPr>
              <w:t>受融资帮助的中小微企业满意度（%）</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≥85</w:t>
            </w:r>
          </w:p>
        </w:tc>
      </w:tr>
    </w:tbl>
    <w:p>
      <w:pPr>
        <w:spacing w:line="240" w:lineRule="auto"/>
      </w:pPr>
      <w:bookmarkStart w:id="0" w:name="_GoBack"/>
      <w:bookmarkEnd w:id="0"/>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49345"/>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957"/>
    <w:rsid w:val="0002229A"/>
    <w:rsid w:val="00090023"/>
    <w:rsid w:val="000D038C"/>
    <w:rsid w:val="00151FE7"/>
    <w:rsid w:val="0017116F"/>
    <w:rsid w:val="00171B56"/>
    <w:rsid w:val="00183B48"/>
    <w:rsid w:val="001906A5"/>
    <w:rsid w:val="001B33E8"/>
    <w:rsid w:val="001C376A"/>
    <w:rsid w:val="002F0E83"/>
    <w:rsid w:val="0031762F"/>
    <w:rsid w:val="0033047C"/>
    <w:rsid w:val="003A7071"/>
    <w:rsid w:val="003D4B69"/>
    <w:rsid w:val="003F3660"/>
    <w:rsid w:val="00404837"/>
    <w:rsid w:val="004165E5"/>
    <w:rsid w:val="00445FC8"/>
    <w:rsid w:val="00476280"/>
    <w:rsid w:val="00483A1C"/>
    <w:rsid w:val="004874AB"/>
    <w:rsid w:val="005671F3"/>
    <w:rsid w:val="005A25FA"/>
    <w:rsid w:val="005E11D1"/>
    <w:rsid w:val="005F5284"/>
    <w:rsid w:val="0064029E"/>
    <w:rsid w:val="00657AC1"/>
    <w:rsid w:val="00694ED2"/>
    <w:rsid w:val="006B1189"/>
    <w:rsid w:val="006B3E0F"/>
    <w:rsid w:val="007201D3"/>
    <w:rsid w:val="00752419"/>
    <w:rsid w:val="0077562D"/>
    <w:rsid w:val="00785EE1"/>
    <w:rsid w:val="007924BE"/>
    <w:rsid w:val="009A5CD6"/>
    <w:rsid w:val="009D4194"/>
    <w:rsid w:val="009E0221"/>
    <w:rsid w:val="00A25C77"/>
    <w:rsid w:val="00A766D2"/>
    <w:rsid w:val="00AC1663"/>
    <w:rsid w:val="00AC75BF"/>
    <w:rsid w:val="00B64BC6"/>
    <w:rsid w:val="00C06957"/>
    <w:rsid w:val="00C30766"/>
    <w:rsid w:val="00CD6E80"/>
    <w:rsid w:val="00CD7F1B"/>
    <w:rsid w:val="00CE0E86"/>
    <w:rsid w:val="00D01A40"/>
    <w:rsid w:val="00E219D6"/>
    <w:rsid w:val="00E9228D"/>
    <w:rsid w:val="00EC142C"/>
    <w:rsid w:val="00EE76ED"/>
    <w:rsid w:val="00F06833"/>
    <w:rsid w:val="00F21DA3"/>
    <w:rsid w:val="00F9048D"/>
    <w:rsid w:val="00FF21B5"/>
    <w:rsid w:val="00FF3FA3"/>
    <w:rsid w:val="51FA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Char"/>
    <w:basedOn w:val="1"/>
    <w:uiPriority w:val="0"/>
    <w:pPr>
      <w:snapToGrid w:val="0"/>
      <w:spacing w:line="360" w:lineRule="auto"/>
      <w:ind w:firstLine="200" w:firstLineChars="200"/>
    </w:pPr>
    <w:rPr>
      <w:rFonts w:ascii="Times New Roman" w:hAnsi="Times New Roman" w:eastAsia="宋体" w:cs="Times New Roman"/>
      <w:szCs w:val="20"/>
    </w:rPr>
  </w:style>
  <w:style w:type="character" w:customStyle="1" w:styleId="10">
    <w:name w:val="日期 Char"/>
    <w:basedOn w:val="5"/>
    <w:link w:val="2"/>
    <w:semiHidden/>
    <w:uiPriority w:val="99"/>
    <w:rPr>
      <w:szCs w:val="24"/>
    </w:rPr>
  </w:style>
  <w:style w:type="character" w:customStyle="1" w:styleId="11">
    <w:name w:val="font21"/>
    <w:basedOn w:val="5"/>
    <w:uiPriority w:val="0"/>
    <w:rPr>
      <w:rFonts w:hint="default" w:ascii="Times New Roman" w:hAnsi="Times New Roman" w:cs="Times New Roman"/>
      <w:color w:val="000000"/>
      <w:sz w:val="28"/>
      <w:szCs w:val="28"/>
      <w:u w:val="none"/>
    </w:rPr>
  </w:style>
  <w:style w:type="character" w:customStyle="1" w:styleId="12">
    <w:name w:val="font91"/>
    <w:basedOn w:val="5"/>
    <w:uiPriority w:val="0"/>
    <w:rPr>
      <w:rFonts w:ascii="仿宋_GB2312" w:eastAsia="仿宋_GB2312" w:cs="仿宋_GB2312"/>
      <w:color w:val="000000"/>
      <w:sz w:val="28"/>
      <w:szCs w:val="28"/>
      <w:u w:val="none"/>
    </w:rPr>
  </w:style>
  <w:style w:type="character" w:customStyle="1" w:styleId="13">
    <w:name w:val="font01"/>
    <w:basedOn w:val="5"/>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17828-1E75-4137-9360-78508AA2CB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457</Words>
  <Characters>2610</Characters>
  <Lines>21</Lines>
  <Paragraphs>6</Paragraphs>
  <TotalTime>1048</TotalTime>
  <ScaleCrop>false</ScaleCrop>
  <LinksUpToDate>false</LinksUpToDate>
  <CharactersWithSpaces>3061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2022-05-05T09:08:00Z</dcterms:created>
  <dc:creator>User</dc:creator>
  <cp:lastModifiedBy>纪帆</cp:lastModifiedBy>
  <cp:lastPrinted>2022-05-06T02:50:00Z</cp:lastPrinted>
  <dcterms:modified xsi:type="dcterms:W3CDTF">2022-05-11T02:37:38Z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