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rPr>
          <w:rFonts w:hint="eastAsia" w:ascii="黑体" w:hAnsi="黑体" w:eastAsia="黑体" w:cs="黑体"/>
          <w:b w:val="0"/>
          <w:bCs w:val="0"/>
          <w:sz w:val="32"/>
          <w:szCs w:val="32"/>
        </w:rPr>
      </w:pPr>
      <w:bookmarkStart w:id="1" w:name="_GoBack"/>
      <w:bookmarkEnd w:id="1"/>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橡胶和塑料制品业VOCs治理</w:t>
      </w:r>
      <w:r>
        <w:rPr>
          <w:rFonts w:hint="eastAsia" w:ascii="黑体" w:hAnsi="黑体" w:eastAsia="黑体" w:cs="黑体"/>
          <w:b w:val="0"/>
          <w:bCs w:val="0"/>
          <w:sz w:val="32"/>
          <w:szCs w:val="32"/>
          <w:lang w:val="en-US" w:eastAsia="zh-CN"/>
        </w:rPr>
        <w:t>指引</w:t>
      </w:r>
    </w:p>
    <w:p>
      <w:pPr>
        <w:spacing w:before="0" w:beforeLines="0" w:after="0" w:afterLines="0" w:line="240" w:lineRule="auto"/>
        <w:ind w:firstLine="640" w:firstLineChars="200"/>
        <w:rPr>
          <w:rFonts w:hint="eastAsia" w:eastAsia="仿宋_GB2312"/>
          <w:b w:val="0"/>
          <w:bCs w:val="0"/>
          <w:sz w:val="32"/>
          <w:szCs w:val="32"/>
          <w:lang w:eastAsia="zh-CN"/>
        </w:rPr>
      </w:pPr>
      <w:r>
        <w:rPr>
          <w:rFonts w:hint="eastAsia" w:eastAsia="仿宋_GB2312"/>
        </w:rPr>
        <w:t>适用范围：</w:t>
      </w:r>
      <w:bookmarkStart w:id="0" w:name="_Hlk62551976"/>
      <w:r>
        <w:rPr>
          <w:rFonts w:hint="eastAsia" w:eastAsia="仿宋_GB2312"/>
          <w:lang w:val="en-US" w:eastAsia="zh-CN"/>
        </w:rPr>
        <w:t>适用于</w:t>
      </w:r>
      <w:r>
        <w:rPr>
          <w:rFonts w:hint="eastAsia" w:eastAsia="仿宋_GB2312"/>
        </w:rPr>
        <w:t>轮胎制造（C2911）、橡胶板、管、带制造（C2912）、橡胶零件制造（C2913）、再生橡胶制造（C2914）、日用及医用橡胶制品制造（C2915）、运动场地用塑胶制造（C2916）、其他橡胶制品制造（C2919）、塑料薄膜制造（C29</w:t>
      </w:r>
      <w:bookmarkEnd w:id="0"/>
      <w:r>
        <w:rPr>
          <w:rFonts w:hint="eastAsia" w:eastAsia="仿宋_GB2312"/>
        </w:rPr>
        <w:t>21）、塑料板、管、型材制造（C2922）、塑料丝、绳及编织品制造（C2923）、泡沫塑料制造（C2924）、塑料人造革、合成革制造（C2925）、塑料包装箱及容器制造（C2926）、日用塑料制品制造（C2927）、人造草坪制造（C2928）、塑料零件及其他塑料制品制造（C2929）</w:t>
      </w:r>
      <w:r>
        <w:rPr>
          <w:rFonts w:hint="eastAsia" w:ascii="Times New Roman" w:hAnsi="Times New Roman" w:eastAsia="仿宋_GB2312" w:cs="Times New Roman"/>
          <w:sz w:val="32"/>
          <w:szCs w:val="32"/>
        </w:rPr>
        <w:t>工业企业或生产设施</w:t>
      </w:r>
      <w:r>
        <w:rPr>
          <w:rFonts w:hint="eastAsia" w:ascii="Times New Roman" w:hAnsi="Times New Roman" w:cs="Times New Roman"/>
          <w:sz w:val="32"/>
          <w:szCs w:val="32"/>
          <w:lang w:eastAsia="zh-CN"/>
        </w:rPr>
        <w:t>。</w:t>
      </w:r>
    </w:p>
    <w:tbl>
      <w:tblPr>
        <w:tblStyle w:val="8"/>
        <w:tblW w:w="157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818"/>
        <w:gridCol w:w="1487"/>
        <w:gridCol w:w="9004"/>
        <w:gridCol w:w="234"/>
        <w:gridCol w:w="1290"/>
        <w:gridCol w:w="2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1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序号</w:t>
            </w:r>
          </w:p>
        </w:tc>
        <w:tc>
          <w:tcPr>
            <w:tcW w:w="2305"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环节</w:t>
            </w:r>
          </w:p>
        </w:tc>
        <w:tc>
          <w:tcPr>
            <w:tcW w:w="9238"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控制要求</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实施要求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35" w:type="dxa"/>
            <w:gridSpan w:val="7"/>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b/>
                <w:bCs/>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w:t>
            </w:r>
          </w:p>
        </w:tc>
        <w:tc>
          <w:tcPr>
            <w:tcW w:w="81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涂装</w:t>
            </w:r>
          </w:p>
        </w:tc>
        <w:tc>
          <w:tcPr>
            <w:tcW w:w="1487"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水性涂料</w:t>
            </w: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包装涂料：底漆VOCs含量</w:t>
            </w:r>
            <w:r>
              <w:rPr>
                <w:rFonts w:hint="default" w:eastAsia="楷体_GB2312"/>
                <w:sz w:val="24"/>
                <w:szCs w:val="24"/>
              </w:rPr>
              <w:t>≤420g/L</w:t>
            </w:r>
            <w:r>
              <w:rPr>
                <w:rFonts w:hint="default" w:eastAsia="楷体_GB2312"/>
                <w:sz w:val="24"/>
                <w:szCs w:val="24"/>
                <w:lang w:eastAsia="zh-CN"/>
              </w:rPr>
              <w:t>，</w:t>
            </w:r>
            <w:r>
              <w:rPr>
                <w:rFonts w:hint="default" w:eastAsia="楷体_GB2312"/>
                <w:sz w:val="24"/>
                <w:szCs w:val="24"/>
                <w:lang w:val="en-US" w:eastAsia="zh-CN"/>
              </w:rPr>
              <w:t>中漆VOCs含量</w:t>
            </w:r>
            <w:r>
              <w:rPr>
                <w:rFonts w:hint="default" w:eastAsia="楷体_GB2312"/>
                <w:sz w:val="24"/>
                <w:szCs w:val="24"/>
              </w:rPr>
              <w:t>≤</w:t>
            </w:r>
            <w:r>
              <w:rPr>
                <w:rFonts w:hint="default" w:eastAsia="楷体_GB2312"/>
                <w:sz w:val="24"/>
                <w:szCs w:val="24"/>
                <w:lang w:val="en-US" w:eastAsia="zh-CN"/>
              </w:rPr>
              <w:t>30</w:t>
            </w:r>
            <w:r>
              <w:rPr>
                <w:rFonts w:hint="default" w:eastAsia="楷体_GB2312"/>
                <w:sz w:val="24"/>
                <w:szCs w:val="24"/>
              </w:rPr>
              <w:t>0g/L</w:t>
            </w:r>
            <w:r>
              <w:rPr>
                <w:rFonts w:hint="default" w:eastAsia="楷体_GB2312"/>
                <w:sz w:val="24"/>
                <w:szCs w:val="24"/>
                <w:lang w:eastAsia="zh-CN"/>
              </w:rPr>
              <w:t>，</w:t>
            </w:r>
            <w:r>
              <w:rPr>
                <w:rFonts w:hint="default" w:eastAsia="楷体_GB2312"/>
                <w:sz w:val="24"/>
                <w:szCs w:val="24"/>
                <w:lang w:val="en-US" w:eastAsia="zh-CN"/>
              </w:rPr>
              <w:t>面漆VOCs含量</w:t>
            </w:r>
            <w:r>
              <w:rPr>
                <w:rFonts w:hint="default" w:eastAsia="楷体_GB2312"/>
                <w:sz w:val="24"/>
                <w:szCs w:val="24"/>
              </w:rPr>
              <w:t>≤</w:t>
            </w:r>
            <w:r>
              <w:rPr>
                <w:rFonts w:hint="default" w:eastAsia="楷体_GB2312"/>
                <w:sz w:val="24"/>
                <w:szCs w:val="24"/>
                <w:lang w:val="en-US" w:eastAsia="zh-CN"/>
              </w:rPr>
              <w:t>270</w:t>
            </w:r>
            <w:r>
              <w:rPr>
                <w:rFonts w:hint="default" w:eastAsia="楷体_GB2312"/>
                <w:sz w:val="24"/>
                <w:szCs w:val="24"/>
              </w:rPr>
              <w:t>g/L</w:t>
            </w:r>
            <w:r>
              <w:rPr>
                <w:rFonts w:hint="default" w:eastAsia="楷体_GB2312"/>
                <w:sz w:val="24"/>
                <w:szCs w:val="24"/>
                <w:lang w:eastAsia="zh-CN"/>
              </w:rPr>
              <w:t>。</w:t>
            </w:r>
          </w:p>
        </w:tc>
        <w:tc>
          <w:tcPr>
            <w:tcW w:w="1290"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推荐</w:t>
            </w:r>
          </w:p>
        </w:tc>
        <w:tc>
          <w:tcPr>
            <w:tcW w:w="2186"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1</w:t>
            </w:r>
            <w:r>
              <w:rPr>
                <w:rFonts w:hint="default" w:eastAsia="楷体_GB2312"/>
                <w:sz w:val="24"/>
                <w:szCs w:val="24"/>
                <w:lang w:val="en-US" w:eastAsia="zh-CN"/>
              </w:rPr>
              <w:t>1</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w:t>
            </w:r>
          </w:p>
        </w:tc>
        <w:tc>
          <w:tcPr>
            <w:tcW w:w="8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玩具涂料VOCs含量≤420g/L。</w:t>
            </w:r>
          </w:p>
        </w:tc>
        <w:tc>
          <w:tcPr>
            <w:tcW w:w="1290"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w:t>
            </w:r>
          </w:p>
        </w:tc>
        <w:tc>
          <w:tcPr>
            <w:tcW w:w="8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防水涂料VOCs含量≤50g/L。</w:t>
            </w:r>
          </w:p>
        </w:tc>
        <w:tc>
          <w:tcPr>
            <w:tcW w:w="1290"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4</w:t>
            </w:r>
          </w:p>
        </w:tc>
        <w:tc>
          <w:tcPr>
            <w:tcW w:w="8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防火涂料VOCs含量≤80g/L。</w:t>
            </w:r>
          </w:p>
        </w:tc>
        <w:tc>
          <w:tcPr>
            <w:tcW w:w="1290"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5</w:t>
            </w:r>
          </w:p>
        </w:tc>
        <w:tc>
          <w:tcPr>
            <w:tcW w:w="8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bidi="ar"/>
              </w:rPr>
              <w:t>溶剂型涂料</w:t>
            </w: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eastAsia="zh-CN"/>
              </w:rPr>
            </w:pPr>
            <w:r>
              <w:rPr>
                <w:rFonts w:hint="default" w:eastAsia="楷体_GB2312"/>
                <w:sz w:val="24"/>
                <w:szCs w:val="24"/>
              </w:rPr>
              <w:t>防水涂料</w:t>
            </w:r>
            <w:r>
              <w:rPr>
                <w:rFonts w:hint="default" w:eastAsia="楷体_GB2312"/>
                <w:sz w:val="24"/>
                <w:szCs w:val="24"/>
                <w:lang w:eastAsia="zh-CN"/>
              </w:rPr>
              <w:t>：</w:t>
            </w:r>
            <w:r>
              <w:rPr>
                <w:rFonts w:hint="default" w:eastAsia="楷体_GB2312"/>
                <w:sz w:val="24"/>
                <w:szCs w:val="24"/>
              </w:rPr>
              <w:t>单组分VOCs含量≤100g/L</w:t>
            </w:r>
            <w:r>
              <w:rPr>
                <w:rFonts w:hint="default" w:eastAsia="楷体_GB2312"/>
                <w:sz w:val="24"/>
                <w:szCs w:val="24"/>
                <w:lang w:eastAsia="zh-CN"/>
              </w:rPr>
              <w:t>，</w:t>
            </w:r>
            <w:r>
              <w:rPr>
                <w:rFonts w:hint="default" w:eastAsia="楷体_GB2312"/>
                <w:sz w:val="24"/>
                <w:szCs w:val="24"/>
              </w:rPr>
              <w:t>多组分VOCs含量≤50g/L</w:t>
            </w:r>
          </w:p>
        </w:tc>
        <w:tc>
          <w:tcPr>
            <w:tcW w:w="1290"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推荐</w:t>
            </w:r>
          </w:p>
        </w:tc>
        <w:tc>
          <w:tcPr>
            <w:tcW w:w="2186"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1</w:t>
            </w:r>
            <w:r>
              <w:rPr>
                <w:rFonts w:hint="default" w:eastAsia="楷体_GB2312"/>
                <w:sz w:val="24"/>
                <w:szCs w:val="24"/>
                <w:lang w:val="en-US" w:eastAsia="zh-CN"/>
              </w:rPr>
              <w:t>1</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6</w:t>
            </w:r>
          </w:p>
        </w:tc>
        <w:tc>
          <w:tcPr>
            <w:tcW w:w="8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防火涂料VOCs含量≤420g/L。</w:t>
            </w:r>
          </w:p>
        </w:tc>
        <w:tc>
          <w:tcPr>
            <w:tcW w:w="1290"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7</w:t>
            </w:r>
          </w:p>
        </w:tc>
        <w:tc>
          <w:tcPr>
            <w:tcW w:w="8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val="en-US" w:eastAsia="zh-CN" w:bidi="ar"/>
              </w:rPr>
            </w:pPr>
          </w:p>
        </w:tc>
        <w:tc>
          <w:tcPr>
            <w:tcW w:w="14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val="en-US" w:eastAsia="zh-CN" w:bidi="ar"/>
              </w:rPr>
            </w:pPr>
            <w:r>
              <w:rPr>
                <w:rFonts w:hint="default" w:eastAsia="楷体_GB2312"/>
                <w:color w:val="000000"/>
                <w:kern w:val="0"/>
                <w:sz w:val="24"/>
                <w:szCs w:val="24"/>
                <w:lang w:val="en-US" w:eastAsia="zh-CN" w:bidi="ar"/>
              </w:rPr>
              <w:t>无溶剂涂料</w:t>
            </w: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rPr>
              <w:t>VOCs含量≤</w:t>
            </w:r>
            <w:r>
              <w:rPr>
                <w:rFonts w:hint="default" w:eastAsia="楷体_GB2312"/>
                <w:sz w:val="24"/>
                <w:szCs w:val="24"/>
                <w:lang w:val="en-US" w:eastAsia="zh-CN"/>
              </w:rPr>
              <w:t>60</w:t>
            </w:r>
            <w:r>
              <w:rPr>
                <w:rFonts w:hint="default" w:eastAsia="楷体_GB2312"/>
                <w:sz w:val="24"/>
                <w:szCs w:val="24"/>
              </w:rPr>
              <w:t>g/L</w:t>
            </w:r>
            <w:r>
              <w:rPr>
                <w:rFonts w:hint="default" w:eastAsia="楷体_GB2312"/>
                <w:sz w:val="24"/>
                <w:szCs w:val="24"/>
                <w:lang w:eastAsia="zh-CN"/>
              </w:rPr>
              <w:t>。</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推荐</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1</w:t>
            </w:r>
            <w:r>
              <w:rPr>
                <w:rFonts w:hint="default" w:eastAsia="楷体_GB2312"/>
                <w:sz w:val="24"/>
                <w:szCs w:val="24"/>
                <w:lang w:val="en-US" w:eastAsia="zh-CN"/>
              </w:rPr>
              <w:t>1</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8</w:t>
            </w:r>
          </w:p>
        </w:tc>
        <w:tc>
          <w:tcPr>
            <w:tcW w:w="81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val="en-US" w:eastAsia="zh-CN" w:bidi="ar"/>
              </w:rPr>
              <w:t>辐射固化</w:t>
            </w:r>
          </w:p>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val="en-US" w:eastAsia="zh-CN" w:bidi="ar"/>
              </w:rPr>
            </w:pPr>
            <w:r>
              <w:rPr>
                <w:rFonts w:hint="default" w:eastAsia="楷体_GB2312"/>
                <w:color w:val="000000"/>
                <w:kern w:val="0"/>
                <w:sz w:val="24"/>
                <w:szCs w:val="24"/>
                <w:lang w:val="en-US" w:eastAsia="zh-CN" w:bidi="ar"/>
              </w:rPr>
              <w:t>涂料</w:t>
            </w:r>
          </w:p>
        </w:tc>
        <w:tc>
          <w:tcPr>
            <w:tcW w:w="9238"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eastAsia="zh-CN"/>
              </w:rPr>
            </w:pPr>
            <w:r>
              <w:rPr>
                <w:rFonts w:hint="default" w:eastAsia="楷体_GB2312"/>
                <w:sz w:val="24"/>
                <w:szCs w:val="24"/>
              </w:rPr>
              <w:t>喷涂VOCs含量≤350g/L</w:t>
            </w:r>
            <w:r>
              <w:rPr>
                <w:rFonts w:hint="default" w:eastAsia="楷体_GB2312"/>
                <w:sz w:val="24"/>
                <w:szCs w:val="24"/>
                <w:lang w:eastAsia="zh-CN"/>
              </w:rPr>
              <w:t>，</w:t>
            </w:r>
            <w:r>
              <w:rPr>
                <w:rFonts w:hint="default" w:eastAsia="楷体_GB2312"/>
                <w:sz w:val="24"/>
                <w:szCs w:val="24"/>
              </w:rPr>
              <w:t>其他VOCs含量≤100g/L</w:t>
            </w:r>
            <w:r>
              <w:rPr>
                <w:rFonts w:hint="default" w:eastAsia="楷体_GB2312"/>
                <w:sz w:val="24"/>
                <w:szCs w:val="24"/>
                <w:lang w:eastAsia="zh-CN"/>
              </w:rPr>
              <w:t>。</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推荐</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1</w:t>
            </w:r>
            <w:r>
              <w:rPr>
                <w:rFonts w:hint="default" w:eastAsia="楷体_GB2312"/>
                <w:sz w:val="24"/>
                <w:szCs w:val="24"/>
                <w:lang w:val="en-US" w:eastAsia="zh-CN"/>
              </w:rPr>
              <w:t>1</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9</w:t>
            </w:r>
          </w:p>
        </w:tc>
        <w:tc>
          <w:tcPr>
            <w:tcW w:w="818"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胶粘</w:t>
            </w:r>
          </w:p>
        </w:tc>
        <w:tc>
          <w:tcPr>
            <w:tcW w:w="1487"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eastAsia="楷体_GB2312"/>
                <w:color w:val="000000"/>
                <w:kern w:val="0"/>
                <w:sz w:val="24"/>
                <w:szCs w:val="24"/>
                <w:lang w:bidi="ar"/>
              </w:rPr>
              <w:t>溶剂型</w:t>
            </w:r>
          </w:p>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胶粘剂</w:t>
            </w: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氯丁橡胶类胶粘剂VOCs含量≤600g/L。</w:t>
            </w:r>
          </w:p>
        </w:tc>
        <w:tc>
          <w:tcPr>
            <w:tcW w:w="1290"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10</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苯乙烯-丁二稀-苯乙烯嵌段共聚物橡胶类胶粘剂VOCs含量≤500g/L。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11</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聚氨酯类胶粘剂VOCs含量≤250g/L。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12</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丙烯酸酯类胶粘剂VOCs含量≤510g/L。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13</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其他胶粘剂VOCs含量≤250g/L。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14</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eastAsia="楷体_GB2312"/>
                <w:color w:val="000000"/>
                <w:kern w:val="0"/>
                <w:sz w:val="24"/>
                <w:szCs w:val="24"/>
                <w:lang w:bidi="ar"/>
              </w:rPr>
              <w:t>水基型</w:t>
            </w:r>
          </w:p>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胶粘剂</w:t>
            </w: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聚乙酸乙烯酯类胶粘剂VOCs含量≤50g/L。</w:t>
            </w:r>
          </w:p>
        </w:tc>
        <w:tc>
          <w:tcPr>
            <w:tcW w:w="1290"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15</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聚乙烯醇类胶粘剂VOCs含量≤50g/L。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16</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橡胶类胶粘剂VOCs含量≤50g/L。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17</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聚氨酯类胶粘剂VOCs含量≤50g/L。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18</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醋酸乙烯-乙烯共聚乳液类胶粘剂VOCs含量≤50g/L。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19</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丙烯酸酯类胶粘剂VOCs含量≤50g/L。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20</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其他胶粘剂VOCs含量≤50g/L。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21</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eastAsia="楷体_GB2312"/>
                <w:color w:val="000000"/>
                <w:kern w:val="0"/>
                <w:sz w:val="24"/>
                <w:szCs w:val="24"/>
                <w:lang w:bidi="ar"/>
              </w:rPr>
              <w:t>本体型</w:t>
            </w:r>
          </w:p>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胶粘剂</w:t>
            </w: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有机硅类胶粘剂VOCs含量≤100g/L。</w:t>
            </w:r>
          </w:p>
        </w:tc>
        <w:tc>
          <w:tcPr>
            <w:tcW w:w="1290"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22</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MS类胶粘剂VOCs含量≤50g/L。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23</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聚氨酯类胶粘剂VOCs含量≤50g/L。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24</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聚硫类胶粘剂VOCs含量≤50g/L。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25</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丙烯酸酯类胶粘剂VOCs含量≤200g/L。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26</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环氧树脂类胶粘剂VOCs含量≤50g/L。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27</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α-氰基丙烯酸类胶粘剂VOCs含量≤20g/L。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28</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热塑类类胶粘剂VOCs含量≤50g/L。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29</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其他胶粘剂VOCs含量≤50g/L。</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30</w:t>
            </w:r>
          </w:p>
        </w:tc>
        <w:tc>
          <w:tcPr>
            <w:tcW w:w="818"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清洗</w:t>
            </w:r>
          </w:p>
        </w:tc>
        <w:tc>
          <w:tcPr>
            <w:tcW w:w="1487"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清洗剂</w:t>
            </w: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半水基型清洗剂：VOCs含量≤300g/L，二氯甲烷、三氯甲烷、三氯乙烯、四氯乙烯总和≤2%，甲醛≤0.5g/kg，苯、甲苯、乙苯和二甲苯总和≤1%。</w:t>
            </w:r>
          </w:p>
        </w:tc>
        <w:tc>
          <w:tcPr>
            <w:tcW w:w="1290"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9</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31</w:t>
            </w:r>
          </w:p>
        </w:tc>
        <w:tc>
          <w:tcPr>
            <w:tcW w:w="818" w:type="dxa"/>
            <w:vMerge w:val="continue"/>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有机溶剂清洗剂：VOCs含量≤900g/L，二氯甲烷、三氯甲烷、三氯乙烯、四氯乙烯总和≤20%，苯、甲苯、乙苯和二甲苯总和≤2%。</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32</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eastAsia="楷体_GB2312"/>
                <w:color w:val="000000"/>
                <w:kern w:val="0"/>
                <w:sz w:val="24"/>
                <w:szCs w:val="24"/>
                <w:lang w:bidi="ar"/>
              </w:rPr>
              <w:t>低VOCs</w:t>
            </w:r>
          </w:p>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bidi="ar"/>
              </w:rPr>
              <w:t>含量清洗剂</w:t>
            </w: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水基型清洗剂：VOCs含量≤50g/L，二氯甲烷、三氯甲烷、三氯乙烯、四氯乙烯总和≤0.5%，甲醛≤0.5g/kg，苯、甲苯、乙苯和二甲苯总和≤0.5%。</w:t>
            </w:r>
          </w:p>
        </w:tc>
        <w:tc>
          <w:tcPr>
            <w:tcW w:w="1290"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9</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33</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半水基型清洗剂：VOCs含量≤100g/L，二氯甲烷、三氯甲烷、三氯乙烯、四氯乙烯总和≤0.5%，甲醛≤0.5g/kg，苯、甲苯、乙苯和二甲苯总和≤0.5%。</w:t>
            </w:r>
          </w:p>
        </w:tc>
        <w:tc>
          <w:tcPr>
            <w:tcW w:w="1290"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34</w:t>
            </w:r>
          </w:p>
        </w:tc>
        <w:tc>
          <w:tcPr>
            <w:tcW w:w="818"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印刷</w:t>
            </w:r>
          </w:p>
        </w:tc>
        <w:tc>
          <w:tcPr>
            <w:tcW w:w="1487"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溶剂油墨</w:t>
            </w: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凹印油墨：VOCs含量≤75%。</w:t>
            </w:r>
          </w:p>
        </w:tc>
        <w:tc>
          <w:tcPr>
            <w:tcW w:w="1290"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10</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35</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柔印油墨：VOCs含量≤75%。</w:t>
            </w:r>
          </w:p>
        </w:tc>
        <w:tc>
          <w:tcPr>
            <w:tcW w:w="1290" w:type="dxa"/>
            <w:vMerge w:val="continue"/>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36</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restart"/>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水性油墨</w:t>
            </w: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凹印油墨：吸收性承印物，VOCs含量≤15%；非吸收性承印物，VOCs含量≤30%。</w:t>
            </w:r>
          </w:p>
        </w:tc>
        <w:tc>
          <w:tcPr>
            <w:tcW w:w="1290"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Merge w:val="restart"/>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10</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center"/>
              <w:rPr>
                <w:rFonts w:hint="default" w:eastAsia="宋体"/>
                <w:sz w:val="24"/>
                <w:szCs w:val="24"/>
              </w:rPr>
            </w:pPr>
            <w:r>
              <w:rPr>
                <w:rFonts w:hint="default" w:ascii="Times New Roman" w:hAnsi="Times New Roman" w:eastAsia="宋体" w:cs="Times New Roman"/>
                <w:i w:val="0"/>
                <w:color w:val="000000"/>
                <w:kern w:val="0"/>
                <w:sz w:val="24"/>
                <w:szCs w:val="24"/>
                <w:u w:val="none"/>
                <w:lang w:val="en-US" w:eastAsia="zh-CN" w:bidi="ar"/>
              </w:rPr>
              <w:t>37</w:t>
            </w:r>
          </w:p>
        </w:tc>
        <w:tc>
          <w:tcPr>
            <w:tcW w:w="818"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1487" w:type="dxa"/>
            <w:vMerge w:val="continue"/>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238" w:type="dxa"/>
            <w:gridSpan w:val="2"/>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柔印油墨：吸收性承印物，VOCs含量≤5%；非吸收性承印物，VOCs含量≤25%。</w:t>
            </w:r>
          </w:p>
        </w:tc>
        <w:tc>
          <w:tcPr>
            <w:tcW w:w="1290" w:type="dxa"/>
            <w:vMerge w:val="continue"/>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c>
          <w:tcPr>
            <w:tcW w:w="2186" w:type="dxa"/>
            <w:vMerge w:val="continue"/>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35" w:type="dxa"/>
            <w:gridSpan w:val="7"/>
            <w:tcBorders>
              <w:top w:val="nil"/>
            </w:tcBorders>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b/>
                <w:bCs/>
                <w:sz w:val="24"/>
                <w:szCs w:val="24"/>
              </w:rPr>
            </w:pPr>
            <w:r>
              <w:rPr>
                <w:rFonts w:hint="default" w:eastAsia="楷体_GB2312"/>
                <w:b/>
                <w:bCs/>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auto"/>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38</w:t>
            </w:r>
          </w:p>
        </w:tc>
        <w:tc>
          <w:tcPr>
            <w:tcW w:w="2305"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VOCs物料储存</w:t>
            </w:r>
          </w:p>
        </w:tc>
        <w:tc>
          <w:tcPr>
            <w:tcW w:w="90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VOCs物料应储存于密闭的容器、包装袋、储罐、储库、料仓中。</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lang w:val="en-US" w:eastAsia="zh-CN"/>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90" w:lineRule="exact"/>
              <w:ind w:left="0" w:firstLine="0" w:firstLineChars="0"/>
              <w:jc w:val="center"/>
              <w:textAlignment w:val="auto"/>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39</w:t>
            </w:r>
          </w:p>
        </w:tc>
        <w:tc>
          <w:tcPr>
            <w:tcW w:w="2305" w:type="dxa"/>
            <w:gridSpan w:val="2"/>
            <w:vMerge w:val="continue"/>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color w:val="000000"/>
                <w:kern w:val="0"/>
                <w:sz w:val="24"/>
                <w:szCs w:val="24"/>
                <w:lang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盛装VOCs物料的容器是否存放于室内，或存放于设置有雨棚、遮阳和防渗设施的专用场地。盛装VOCs物料的容器在非取用状态时应加盖、封口，保持密闭。</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40</w:t>
            </w:r>
          </w:p>
        </w:tc>
        <w:tc>
          <w:tcPr>
            <w:tcW w:w="2305" w:type="dxa"/>
            <w:gridSpan w:val="2"/>
            <w:vMerge w:val="continue"/>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储存真实蒸气压≥76.6 kPa且储罐容积≥75 m</w:t>
            </w:r>
            <w:r>
              <w:rPr>
                <w:rFonts w:hint="default" w:eastAsia="楷体_GB2312"/>
                <w:sz w:val="24"/>
                <w:szCs w:val="24"/>
                <w:vertAlign w:val="superscript"/>
              </w:rPr>
              <w:t>3</w:t>
            </w:r>
            <w:r>
              <w:rPr>
                <w:rFonts w:hint="default" w:eastAsia="楷体_GB2312"/>
                <w:sz w:val="24"/>
                <w:szCs w:val="24"/>
              </w:rPr>
              <w:t>的挥发性有机液体储罐，应采用低压罐、压力罐或其他等效措施。</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41</w:t>
            </w:r>
          </w:p>
        </w:tc>
        <w:tc>
          <w:tcPr>
            <w:tcW w:w="2305" w:type="dxa"/>
            <w:gridSpan w:val="2"/>
            <w:vMerge w:val="continue"/>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储存真实蒸气压≥27.6 kPa 但＜76.6 kPa 且储罐容积≥75 m</w:t>
            </w:r>
            <w:r>
              <w:rPr>
                <w:rFonts w:hint="default" w:eastAsia="楷体_GB2312"/>
                <w:sz w:val="24"/>
                <w:szCs w:val="24"/>
                <w:vertAlign w:val="superscript"/>
              </w:rPr>
              <w:t>3</w:t>
            </w:r>
            <w:r>
              <w:rPr>
                <w:rFonts w:hint="default" w:eastAsia="楷体_GB2312"/>
                <w:sz w:val="24"/>
                <w:szCs w:val="24"/>
              </w:rPr>
              <w:t xml:space="preserve"> 的挥发性有机液体储罐，应符合下列规定之一：</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a）采用浮顶罐。对于内浮顶罐，浮顶与罐壁之间应采用浸液式密封、机械式鞋形密封等高效密封方式；对于外浮顶罐，浮顶与罐壁之间应采用双重密封，且一次密封应采用浸液式密封、机械式鞋形密封等高效密封方式。</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b）采用固定顶罐，排放的废气应收集处理达标排放，或者处理效率不低于80%。</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c）采用气相平衡系统。</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d）采用其他等效措施。</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42</w:t>
            </w:r>
          </w:p>
        </w:tc>
        <w:tc>
          <w:tcPr>
            <w:tcW w:w="230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sz w:val="24"/>
                <w:szCs w:val="24"/>
              </w:rPr>
            </w:pPr>
            <w:r>
              <w:rPr>
                <w:rFonts w:hint="default" w:eastAsia="楷体_GB2312"/>
                <w:color w:val="000000"/>
                <w:kern w:val="0"/>
                <w:sz w:val="24"/>
                <w:szCs w:val="24"/>
                <w:lang w:bidi="ar"/>
              </w:rPr>
              <w:t>VOCs物料</w:t>
            </w:r>
            <w:r>
              <w:rPr>
                <w:rFonts w:hint="default" w:eastAsia="楷体_GB2312"/>
                <w:sz w:val="24"/>
                <w:szCs w:val="24"/>
              </w:rPr>
              <w:t>转移</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sz w:val="24"/>
                <w:szCs w:val="24"/>
              </w:rPr>
              <w:t>和输送</w:t>
            </w: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液体VOCs物料应采用管道密闭输送。采用非管道输送方式转移液态VOCs物料时，应采用密闭容器或罐车。</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43</w:t>
            </w:r>
          </w:p>
        </w:tc>
        <w:tc>
          <w:tcPr>
            <w:tcW w:w="230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粉状、粒状VOCs物料采用气力输送设备、管状带式输送机、螺旋输送机等密闭输送方式，或者采用密闭的包装袋、容器或罐车进行物料转移。</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vMerge w:val="restart"/>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44</w:t>
            </w:r>
          </w:p>
        </w:tc>
        <w:tc>
          <w:tcPr>
            <w:tcW w:w="230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r>
              <w:rPr>
                <w:rFonts w:hint="default" w:eastAsia="楷体_GB2312"/>
                <w:color w:val="000000"/>
                <w:kern w:val="0"/>
                <w:sz w:val="24"/>
                <w:szCs w:val="24"/>
                <w:lang w:val="en-US" w:eastAsia="zh-CN" w:bidi="ar"/>
              </w:rPr>
              <w:t>工艺过程</w:t>
            </w:r>
          </w:p>
        </w:tc>
        <w:tc>
          <w:tcPr>
            <w:tcW w:w="9004" w:type="dxa"/>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lang w:eastAsia="zh-CN"/>
              </w:rPr>
            </w:pPr>
            <w:r>
              <w:rPr>
                <w:rFonts w:hint="default" w:eastAsia="楷体_GB2312"/>
                <w:sz w:val="24"/>
                <w:szCs w:val="24"/>
              </w:rPr>
              <w:t>液态VOCs物料采用密闭管道输送方式或采用高位槽（罐）、桶泵等给料方式密闭投加；无法密闭投加的，在密闭空间内操作，或进行局部气体收集，废气排至VOCs废气收集处理系统</w:t>
            </w:r>
            <w:r>
              <w:rPr>
                <w:rFonts w:hint="default" w:eastAsia="楷体_GB2312"/>
                <w:sz w:val="24"/>
                <w:szCs w:val="24"/>
                <w:lang w:eastAsia="zh-CN"/>
              </w:rPr>
              <w:t>。</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vMerge w:val="continue"/>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p>
        </w:tc>
        <w:tc>
          <w:tcPr>
            <w:tcW w:w="2305" w:type="dxa"/>
            <w:gridSpan w:val="2"/>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p>
        </w:tc>
        <w:tc>
          <w:tcPr>
            <w:tcW w:w="9004" w:type="dxa"/>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粉状、粒状VOCs物料采用气力输送方式或采用密闭固体投料器等给料方式密闭投加；无法密闭投加的，在密闭空间内操作，或进行局部气体收集，废气排至除尘设施、 VOCs废气收集处理系统</w:t>
            </w:r>
            <w:r>
              <w:rPr>
                <w:rFonts w:hint="default" w:eastAsia="楷体_GB2312"/>
                <w:sz w:val="24"/>
                <w:szCs w:val="24"/>
                <w:lang w:eastAsia="zh-CN"/>
              </w:rPr>
              <w:t>。</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45</w:t>
            </w:r>
          </w:p>
        </w:tc>
        <w:tc>
          <w:tcPr>
            <w:tcW w:w="230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lang w:eastAsia="zh-CN"/>
              </w:rPr>
            </w:pPr>
            <w:r>
              <w:rPr>
                <w:rFonts w:hint="default" w:eastAsia="楷体_GB2312"/>
                <w:sz w:val="24"/>
                <w:szCs w:val="24"/>
              </w:rPr>
              <w:t>在混合/混炼、塑炼/塑化/熔化、加工成型（挤出、注射、压制、压延、发泡、纺丝等）</w:t>
            </w:r>
            <w:r>
              <w:rPr>
                <w:rFonts w:hint="default" w:eastAsia="楷体_GB2312"/>
                <w:sz w:val="24"/>
                <w:szCs w:val="24"/>
                <w:lang w:eastAsia="zh-CN"/>
              </w:rPr>
              <w:t>、</w:t>
            </w:r>
            <w:r>
              <w:rPr>
                <w:rFonts w:hint="default" w:eastAsia="楷体_GB2312"/>
                <w:sz w:val="24"/>
                <w:szCs w:val="24"/>
                <w:lang w:val="en-US" w:eastAsia="zh-CN"/>
              </w:rPr>
              <w:t>硫化</w:t>
            </w:r>
            <w:r>
              <w:rPr>
                <w:rFonts w:hint="default" w:eastAsia="楷体_GB2312"/>
                <w:sz w:val="24"/>
                <w:szCs w:val="24"/>
              </w:rPr>
              <w:t>等作业中应采用密闭设备或在密闭空间中操作，废气应排至VOCs废气收集处理系统；无法密闭的，应采取局部气体收集措施，废气应排至VOCs废气收集处理系统</w:t>
            </w:r>
            <w:r>
              <w:rPr>
                <w:rFonts w:hint="default" w:eastAsia="楷体_GB2312"/>
                <w:sz w:val="24"/>
                <w:szCs w:val="24"/>
                <w:lang w:eastAsia="zh-CN"/>
              </w:rPr>
              <w:t>。</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46</w:t>
            </w:r>
          </w:p>
        </w:tc>
        <w:tc>
          <w:tcPr>
            <w:tcW w:w="230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val="en-US" w:eastAsia="zh-CN"/>
              </w:rPr>
              <w:t>浸胶、胶浆喷涂、涂胶、喷漆、印刷、清洗等工序使用</w:t>
            </w:r>
            <w:r>
              <w:rPr>
                <w:rFonts w:hint="default" w:eastAsia="楷体_GB2312"/>
                <w:sz w:val="24"/>
                <w:szCs w:val="24"/>
              </w:rPr>
              <w:t>VOCs质量占比大于等于10%的</w:t>
            </w:r>
            <w:r>
              <w:rPr>
                <w:rFonts w:hint="default" w:eastAsia="楷体_GB2312"/>
                <w:sz w:val="24"/>
                <w:szCs w:val="24"/>
                <w:lang w:val="en-US" w:eastAsia="zh-CN"/>
              </w:rPr>
              <w:t>原辅材料时</w:t>
            </w:r>
            <w:r>
              <w:rPr>
                <w:rFonts w:hint="default" w:eastAsia="楷体_GB2312"/>
                <w:sz w:val="24"/>
                <w:szCs w:val="24"/>
              </w:rPr>
              <w:t>，其使用过程应采用密闭设备或在密闭空间内操作，废气应排至VOCs废气收集处理系统；无法密闭的，应采取局部气体收集措施，废气应排至VOCs废气收集处理系统。</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47</w:t>
            </w:r>
          </w:p>
        </w:tc>
        <w:tc>
          <w:tcPr>
            <w:tcW w:w="2305" w:type="dxa"/>
            <w:gridSpan w:val="2"/>
            <w:vMerge w:val="continue"/>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lang w:eastAsia="zh-CN"/>
              </w:rPr>
            </w:pPr>
            <w:r>
              <w:rPr>
                <w:rFonts w:hint="default" w:eastAsia="楷体_GB2312"/>
                <w:color w:val="000000"/>
                <w:kern w:val="0"/>
                <w:sz w:val="24"/>
                <w:szCs w:val="24"/>
                <w:lang w:val="en-US" w:eastAsia="zh-CN" w:bidi="ar"/>
              </w:rPr>
              <w:t>橡胶制品行业的</w:t>
            </w:r>
            <w:r>
              <w:rPr>
                <w:rFonts w:hint="default" w:eastAsia="楷体_GB2312"/>
                <w:color w:val="000000"/>
                <w:kern w:val="0"/>
                <w:sz w:val="24"/>
                <w:szCs w:val="24"/>
                <w:lang w:bidi="ar"/>
              </w:rPr>
              <w:t>脱硫工艺推荐</w:t>
            </w:r>
            <w:r>
              <w:rPr>
                <w:rFonts w:hint="default" w:eastAsia="楷体_GB2312"/>
                <w:sz w:val="24"/>
                <w:szCs w:val="24"/>
              </w:rPr>
              <w:t>采用串联法混炼、常压边续脱硫工艺</w:t>
            </w:r>
            <w:r>
              <w:rPr>
                <w:rFonts w:hint="default" w:eastAsia="楷体_GB2312"/>
                <w:sz w:val="24"/>
                <w:szCs w:val="24"/>
                <w:lang w:eastAsia="zh-CN"/>
              </w:rPr>
              <w:t>。</w:t>
            </w:r>
          </w:p>
        </w:tc>
        <w:tc>
          <w:tcPr>
            <w:tcW w:w="1524" w:type="dxa"/>
            <w:gridSpan w:val="2"/>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推荐</w:t>
            </w:r>
          </w:p>
        </w:tc>
        <w:tc>
          <w:tcPr>
            <w:tcW w:w="218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48</w:t>
            </w:r>
          </w:p>
        </w:tc>
        <w:tc>
          <w:tcPr>
            <w:tcW w:w="230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非正常排放</w:t>
            </w: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载有VOCs物料的设备及其管道在开停工（车）、检维修和清洗时，应在退料阶段将残存物料退净，并用密闭容器盛装，退料过程废气应排至VOCs废气收集处理系统；清洗及吹扫过程排气应排至VOCs废气收集处理系统。</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35" w:type="dxa"/>
            <w:gridSpan w:val="7"/>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b/>
                <w:bCs/>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49</w:t>
            </w:r>
          </w:p>
        </w:tc>
        <w:tc>
          <w:tcPr>
            <w:tcW w:w="2305"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废气收集</w:t>
            </w: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color w:val="000000"/>
                <w:kern w:val="0"/>
                <w:sz w:val="24"/>
                <w:szCs w:val="24"/>
              </w:rPr>
              <w:t>采用外部集气罩的，距集气罩开口面最远处的VOCs无组织排放位置，控制风速不低于0.3m/s。</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（1）、（1</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50</w:t>
            </w:r>
          </w:p>
        </w:tc>
        <w:tc>
          <w:tcPr>
            <w:tcW w:w="23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rPr>
            </w:pPr>
            <w:r>
              <w:rPr>
                <w:rFonts w:hint="default" w:eastAsia="楷体_GB2312"/>
                <w:color w:val="000000"/>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51</w:t>
            </w:r>
          </w:p>
        </w:tc>
        <w:tc>
          <w:tcPr>
            <w:tcW w:w="2305"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r>
              <w:rPr>
                <w:rFonts w:hint="default" w:eastAsia="楷体_GB2312"/>
                <w:color w:val="000000"/>
                <w:kern w:val="0"/>
                <w:sz w:val="24"/>
                <w:szCs w:val="24"/>
                <w:lang w:val="en-US" w:eastAsia="zh-CN" w:bidi="ar"/>
              </w:rPr>
              <w:t>排放水平</w:t>
            </w: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lang w:val="en-US" w:eastAsia="zh-CN"/>
              </w:rPr>
              <w:t>橡胶制品行业：a）有机废气排气筒排放浓度和厂界浓度不高于《橡胶制品工业污染物排放标准》（GB27632-2011）第II时段排放限值；车间或生产设施排气中NMHC初始排放速率≥3 kg/h时，建设末端治污设施且处理效率≥80%；b）厂区内无组织排放监控点 NMHC的小时平均浓度值不超过6 mg/m</w:t>
            </w:r>
            <w:r>
              <w:rPr>
                <w:rFonts w:hint="default" w:eastAsia="楷体_GB2312"/>
                <w:sz w:val="24"/>
                <w:szCs w:val="24"/>
                <w:vertAlign w:val="superscript"/>
                <w:lang w:val="en-US" w:eastAsia="zh-CN"/>
              </w:rPr>
              <w:t>3</w:t>
            </w:r>
            <w:r>
              <w:rPr>
                <w:rFonts w:hint="default" w:eastAsia="楷体_GB2312"/>
                <w:sz w:val="24"/>
                <w:szCs w:val="24"/>
                <w:lang w:val="en-US" w:eastAsia="zh-CN"/>
              </w:rPr>
              <w:t>，任意一次浓度值不超过20 mg/m</w:t>
            </w:r>
            <w:r>
              <w:rPr>
                <w:rFonts w:hint="default" w:eastAsia="楷体_GB2312"/>
                <w:sz w:val="24"/>
                <w:szCs w:val="24"/>
                <w:vertAlign w:val="superscript"/>
                <w:lang w:val="en-US" w:eastAsia="zh-CN"/>
              </w:rPr>
              <w:t>3</w:t>
            </w:r>
            <w:r>
              <w:rPr>
                <w:rFonts w:hint="default" w:eastAsia="楷体_GB2312"/>
                <w:sz w:val="24"/>
                <w:szCs w:val="24"/>
                <w:lang w:val="en-US" w:eastAsia="zh-CN"/>
              </w:rPr>
              <w:t>。</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2</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tcBorders>
              <w:bottom w:val="nil"/>
            </w:tcBorders>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52</w:t>
            </w:r>
          </w:p>
        </w:tc>
        <w:tc>
          <w:tcPr>
            <w:tcW w:w="2305" w:type="dxa"/>
            <w:gridSpan w:val="2"/>
            <w:vMerge w:val="continue"/>
            <w:tcBorders>
              <w:bottom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tcBorders>
              <w:bottom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lang w:val="en-US" w:eastAsia="zh-CN"/>
              </w:rPr>
              <w:t>塑料制品行业：a）</w:t>
            </w:r>
            <w:r>
              <w:rPr>
                <w:rFonts w:hint="default" w:eastAsia="楷体_GB2312"/>
                <w:sz w:val="24"/>
                <w:szCs w:val="24"/>
              </w:rPr>
              <w:t>有机废气排气筒排放浓度不高于广东省《大气污染物排放限值》（DB4427-2001）第Ⅱ时段排放限值，合成革和人造革制造企业排放浓度不高于《合成革与人造革工业污染物排放标准》</w:t>
            </w:r>
            <w:r>
              <w:rPr>
                <w:rFonts w:hint="default" w:eastAsia="楷体_GB2312"/>
                <w:sz w:val="24"/>
                <w:szCs w:val="24"/>
                <w:lang w:eastAsia="zh-CN"/>
              </w:rPr>
              <w:t>（</w:t>
            </w:r>
            <w:r>
              <w:rPr>
                <w:rFonts w:hint="default" w:eastAsia="楷体_GB2312"/>
                <w:sz w:val="24"/>
                <w:szCs w:val="24"/>
              </w:rPr>
              <w:t>GB21902-2008</w:t>
            </w:r>
            <w:r>
              <w:rPr>
                <w:rFonts w:hint="default" w:eastAsia="楷体_GB2312"/>
                <w:sz w:val="24"/>
                <w:szCs w:val="24"/>
                <w:lang w:eastAsia="zh-CN"/>
              </w:rPr>
              <w:t>）</w:t>
            </w:r>
            <w:r>
              <w:rPr>
                <w:rFonts w:hint="default" w:eastAsia="楷体_GB2312"/>
                <w:sz w:val="24"/>
                <w:szCs w:val="24"/>
              </w:rPr>
              <w:t>排放限值，若国家和我省出台并实施适用于塑料制品制造业的大气污染物排放标准，则有机废气排气筒排放浓度不高于相应</w:t>
            </w:r>
            <w:r>
              <w:rPr>
                <w:rFonts w:hint="default" w:eastAsia="楷体_GB2312"/>
                <w:sz w:val="24"/>
                <w:szCs w:val="24"/>
                <w:lang w:val="en-US" w:eastAsia="zh-CN"/>
              </w:rPr>
              <w:t>的排放</w:t>
            </w:r>
            <w:r>
              <w:rPr>
                <w:rFonts w:hint="default" w:eastAsia="楷体_GB2312"/>
                <w:sz w:val="24"/>
                <w:szCs w:val="24"/>
              </w:rPr>
              <w:t>限值；车间或生产设施排气中NMHC初始排放速率≥3 kg/h时，建设VOCs处理设施且处理效率≥80%；</w:t>
            </w:r>
            <w:r>
              <w:rPr>
                <w:rFonts w:hint="default" w:eastAsia="楷体_GB2312"/>
                <w:sz w:val="24"/>
                <w:szCs w:val="24"/>
                <w:lang w:val="en-US" w:eastAsia="zh-CN"/>
              </w:rPr>
              <w:t>b）</w:t>
            </w:r>
            <w:r>
              <w:rPr>
                <w:rFonts w:hint="default" w:eastAsia="楷体_GB2312"/>
                <w:sz w:val="24"/>
                <w:szCs w:val="24"/>
              </w:rPr>
              <w:t>厂区内无组织排放监控点NMHC的小时平均浓度值不超过6 mg/m</w:t>
            </w:r>
            <w:r>
              <w:rPr>
                <w:rFonts w:hint="default" w:eastAsia="楷体_GB2312"/>
                <w:sz w:val="24"/>
                <w:szCs w:val="24"/>
                <w:vertAlign w:val="superscript"/>
              </w:rPr>
              <w:t>3</w:t>
            </w:r>
            <w:r>
              <w:rPr>
                <w:rFonts w:hint="default" w:eastAsia="楷体_GB2312"/>
                <w:sz w:val="24"/>
                <w:szCs w:val="24"/>
                <w:lang w:eastAsia="zh-CN"/>
              </w:rPr>
              <w:t>，</w:t>
            </w:r>
            <w:r>
              <w:rPr>
                <w:rFonts w:hint="default" w:eastAsia="楷体_GB2312"/>
                <w:sz w:val="24"/>
                <w:szCs w:val="24"/>
              </w:rPr>
              <w:t>任意一次浓度值不超过20 mg/m</w:t>
            </w:r>
            <w:r>
              <w:rPr>
                <w:rFonts w:hint="default" w:eastAsia="楷体_GB2312"/>
                <w:sz w:val="24"/>
                <w:szCs w:val="24"/>
                <w:vertAlign w:val="superscript"/>
              </w:rPr>
              <w:t>3</w:t>
            </w:r>
            <w:r>
              <w:rPr>
                <w:rFonts w:hint="default" w:eastAsia="楷体_GB2312"/>
                <w:color w:val="000000"/>
                <w:kern w:val="0"/>
                <w:sz w:val="24"/>
                <w:szCs w:val="24"/>
              </w:rPr>
              <w:t>。</w:t>
            </w:r>
          </w:p>
        </w:tc>
        <w:tc>
          <w:tcPr>
            <w:tcW w:w="1524" w:type="dxa"/>
            <w:gridSpan w:val="2"/>
            <w:tcBorders>
              <w:bottom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tcBorders>
              <w:bottom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lang w:eastAsia="zh-CN"/>
              </w:rPr>
            </w:pPr>
            <w:r>
              <w:rPr>
                <w:rFonts w:hint="default" w:eastAsia="楷体_GB2312"/>
                <w:sz w:val="24"/>
                <w:szCs w:val="24"/>
              </w:rPr>
              <w:t>（</w:t>
            </w:r>
            <w:r>
              <w:rPr>
                <w:rFonts w:hint="default" w:eastAsia="楷体_GB2312"/>
                <w:sz w:val="24"/>
                <w:szCs w:val="24"/>
                <w:lang w:val="en-US" w:eastAsia="zh-CN"/>
              </w:rPr>
              <w:t>1</w:t>
            </w:r>
            <w:r>
              <w:rPr>
                <w:rFonts w:hint="default" w:eastAsia="楷体_GB2312"/>
                <w:sz w:val="24"/>
                <w:szCs w:val="24"/>
              </w:rPr>
              <w:t>）</w:t>
            </w:r>
            <w:r>
              <w:rPr>
                <w:rFonts w:hint="default" w:eastAsia="楷体_GB2312"/>
                <w:sz w:val="24"/>
                <w:szCs w:val="24"/>
                <w:lang w:eastAsia="zh-CN"/>
              </w:rPr>
              <w:t>、（</w:t>
            </w:r>
            <w:r>
              <w:rPr>
                <w:rFonts w:hint="default" w:eastAsia="楷体_GB2312"/>
                <w:sz w:val="24"/>
                <w:szCs w:val="24"/>
                <w:lang w:val="en-US" w:eastAsia="zh-CN"/>
              </w:rPr>
              <w:t>3</w:t>
            </w: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3</w:t>
            </w:r>
          </w:p>
        </w:tc>
        <w:tc>
          <w:tcPr>
            <w:tcW w:w="2305"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治理设施</w:t>
            </w:r>
            <w:r>
              <w:rPr>
                <w:rFonts w:hint="default" w:eastAsia="楷体_GB2312"/>
                <w:color w:val="000000"/>
                <w:kern w:val="0"/>
                <w:sz w:val="24"/>
                <w:szCs w:val="24"/>
                <w:lang w:val="en-US" w:eastAsia="zh-CN" w:bidi="ar"/>
              </w:rPr>
              <w:t>设计与</w:t>
            </w:r>
            <w:r>
              <w:rPr>
                <w:rFonts w:hint="default" w:eastAsia="楷体_GB2312"/>
                <w:color w:val="000000"/>
                <w:kern w:val="0"/>
                <w:sz w:val="24"/>
                <w:szCs w:val="24"/>
                <w:lang w:bidi="ar"/>
              </w:rPr>
              <w:t>运行管理</w:t>
            </w: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吸附床（含活性炭吸附法）：</w:t>
            </w:r>
            <w:r>
              <w:rPr>
                <w:rFonts w:hint="default" w:eastAsia="楷体_GB2312"/>
                <w:sz w:val="24"/>
                <w:szCs w:val="24"/>
                <w:lang w:val="en-US" w:eastAsia="zh-CN"/>
              </w:rPr>
              <w:t>a）</w:t>
            </w:r>
            <w:r>
              <w:rPr>
                <w:rFonts w:hint="default" w:eastAsia="楷体_GB2312"/>
                <w:sz w:val="24"/>
                <w:szCs w:val="24"/>
              </w:rPr>
              <w:t>预处理设备应根据废气的成分、性质和影响吸附过程的物质性质及含量进行选择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吸附床层的吸附剂用量应根据废气处理量、污染物浓度和吸附剂的动态吸附量确定</w:t>
            </w:r>
            <w:r>
              <w:rPr>
                <w:rFonts w:hint="default" w:eastAsia="楷体_GB2312"/>
                <w:sz w:val="24"/>
                <w:szCs w:val="24"/>
                <w:lang w:eastAsia="zh-CN"/>
              </w:rPr>
              <w:t>；</w:t>
            </w:r>
            <w:r>
              <w:rPr>
                <w:rFonts w:hint="default" w:eastAsia="楷体_GB2312"/>
                <w:sz w:val="24"/>
                <w:szCs w:val="24"/>
                <w:lang w:val="en-US" w:eastAsia="zh-CN"/>
              </w:rPr>
              <w:t>c）</w:t>
            </w:r>
            <w:r>
              <w:rPr>
                <w:rFonts w:hint="default" w:eastAsia="楷体_GB2312"/>
                <w:sz w:val="24"/>
                <w:szCs w:val="24"/>
              </w:rPr>
              <w:t>吸附剂应及时更换或有效再生。</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2</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4</w:t>
            </w:r>
          </w:p>
        </w:tc>
        <w:tc>
          <w:tcPr>
            <w:tcW w:w="23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催化燃烧：</w:t>
            </w:r>
            <w:r>
              <w:rPr>
                <w:rFonts w:hint="default" w:eastAsia="楷体_GB2312"/>
                <w:sz w:val="24"/>
                <w:szCs w:val="24"/>
              </w:rPr>
              <w:t>a）预处理设备应根据废气的成分、性质和污染物的含量进行选择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进入燃烧室的气体温度应达到气体组分在催化剂上的起燃温度。</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3</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5</w:t>
            </w:r>
          </w:p>
        </w:tc>
        <w:tc>
          <w:tcPr>
            <w:tcW w:w="23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蓄热燃烧：</w:t>
            </w:r>
            <w:r>
              <w:rPr>
                <w:rFonts w:hint="default" w:eastAsia="楷体_GB2312"/>
                <w:sz w:val="24"/>
                <w:szCs w:val="24"/>
              </w:rPr>
              <w:t>a）预处理</w:t>
            </w:r>
            <w:r>
              <w:rPr>
                <w:rFonts w:hint="default" w:eastAsia="楷体_GB2312"/>
                <w:sz w:val="24"/>
                <w:szCs w:val="24"/>
                <w:lang w:val="en-US" w:eastAsia="zh-CN"/>
              </w:rPr>
              <w:t>设备</w:t>
            </w:r>
            <w:r>
              <w:rPr>
                <w:rFonts w:hint="default" w:eastAsia="楷体_GB2312"/>
                <w:sz w:val="24"/>
                <w:szCs w:val="24"/>
              </w:rPr>
              <w:t>应根据废气的成分、</w:t>
            </w:r>
            <w:r>
              <w:rPr>
                <w:rFonts w:hint="default" w:eastAsia="楷体_GB2312"/>
                <w:sz w:val="24"/>
                <w:szCs w:val="24"/>
                <w:lang w:val="en-US" w:eastAsia="zh-CN"/>
              </w:rPr>
              <w:t>性质</w:t>
            </w:r>
            <w:r>
              <w:rPr>
                <w:rFonts w:hint="default" w:eastAsia="楷体_GB2312"/>
                <w:sz w:val="24"/>
                <w:szCs w:val="24"/>
              </w:rPr>
              <w:t>和污染物的含量等因素进行选择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废气在燃烧室的停留时间一般不宜低于0.75</w:t>
            </w:r>
            <w:r>
              <w:rPr>
                <w:rFonts w:hint="default" w:eastAsia="楷体_GB2312"/>
                <w:sz w:val="24"/>
                <w:szCs w:val="24"/>
                <w:lang w:val="en-US" w:eastAsia="zh-CN"/>
              </w:rPr>
              <w:t xml:space="preserve"> </w:t>
            </w:r>
            <w:r>
              <w:rPr>
                <w:rFonts w:hint="default" w:eastAsia="楷体_GB2312"/>
                <w:sz w:val="24"/>
                <w:szCs w:val="24"/>
              </w:rPr>
              <w:t>s，燃烧室燃烧温度一般应高于760</w:t>
            </w:r>
            <w:r>
              <w:rPr>
                <w:rFonts w:hint="default" w:eastAsia="楷体_GB2312"/>
                <w:sz w:val="24"/>
                <w:szCs w:val="24"/>
                <w:lang w:val="en-US" w:eastAsia="zh-CN"/>
              </w:rPr>
              <w:t xml:space="preserve"> </w:t>
            </w:r>
            <w:r>
              <w:rPr>
                <w:rFonts w:hint="default" w:eastAsia="楷体_GB2312"/>
                <w:sz w:val="24"/>
                <w:szCs w:val="24"/>
              </w:rPr>
              <w:t>℃。</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4</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6</w:t>
            </w:r>
          </w:p>
        </w:tc>
        <w:tc>
          <w:tcPr>
            <w:tcW w:w="23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6</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35" w:type="dxa"/>
            <w:gridSpan w:val="7"/>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b/>
                <w:bCs/>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7</w:t>
            </w:r>
          </w:p>
        </w:tc>
        <w:tc>
          <w:tcPr>
            <w:tcW w:w="2305"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管理台账</w:t>
            </w: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建立含VOCs原辅材料台账，记录含VOCs原辅材料的名称及其VOCs含量、采购量、使用量、库存量、含VOCs原辅材料回收方式及回收量。</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5</w:t>
            </w: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r>
              <w:rPr>
                <w:rFonts w:hint="default" w:eastAsia="楷体_GB2312"/>
                <w:sz w:val="24"/>
                <w:szCs w:val="24"/>
                <w:lang w:eastAsia="zh-CN"/>
              </w:rPr>
              <w:t>、</w:t>
            </w:r>
            <w:r>
              <w:rPr>
                <w:rFonts w:hint="default" w:eastAsia="楷体_GB2312"/>
                <w:sz w:val="24"/>
                <w:szCs w:val="24"/>
              </w:rPr>
              <w:t>（1</w:t>
            </w:r>
            <w:r>
              <w:rPr>
                <w:rFonts w:hint="default" w:eastAsia="楷体_GB2312"/>
                <w:sz w:val="24"/>
                <w:szCs w:val="24"/>
                <w:lang w:val="en-US" w:eastAsia="zh-CN"/>
              </w:rPr>
              <w:t>5</w:t>
            </w:r>
            <w:r>
              <w:rPr>
                <w:rFonts w:hint="default" w:eastAsia="楷体_GB2312"/>
                <w:sz w:val="24"/>
                <w:szCs w:val="24"/>
              </w:rPr>
              <w:t>）、（1</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8</w:t>
            </w:r>
          </w:p>
        </w:tc>
        <w:tc>
          <w:tcPr>
            <w:tcW w:w="23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5</w:t>
            </w: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r>
              <w:rPr>
                <w:rFonts w:hint="default" w:eastAsia="楷体_GB2312"/>
                <w:sz w:val="24"/>
                <w:szCs w:val="24"/>
                <w:lang w:eastAsia="zh-CN"/>
              </w:rPr>
              <w:t>、</w:t>
            </w:r>
            <w:r>
              <w:rPr>
                <w:rFonts w:hint="default" w:eastAsia="楷体_GB2312"/>
                <w:sz w:val="24"/>
                <w:szCs w:val="24"/>
              </w:rPr>
              <w:t>（1</w:t>
            </w:r>
            <w:r>
              <w:rPr>
                <w:rFonts w:hint="default" w:eastAsia="楷体_GB2312"/>
                <w:sz w:val="24"/>
                <w:szCs w:val="24"/>
                <w:lang w:val="en-US" w:eastAsia="zh-CN"/>
              </w:rPr>
              <w:t>5</w:t>
            </w:r>
            <w:r>
              <w:rPr>
                <w:rFonts w:hint="default" w:eastAsia="楷体_GB2312"/>
                <w:sz w:val="24"/>
                <w:szCs w:val="24"/>
              </w:rPr>
              <w:t>）、（1</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eastAsia" w:eastAsia="宋体" w:cs="Times New Roman"/>
                <w:i w:val="0"/>
                <w:color w:val="000000"/>
                <w:kern w:val="0"/>
                <w:sz w:val="24"/>
                <w:szCs w:val="24"/>
                <w:u w:val="none"/>
                <w:lang w:val="en-US" w:eastAsia="zh-CN" w:bidi="ar"/>
              </w:rPr>
              <w:t>59</w:t>
            </w:r>
          </w:p>
        </w:tc>
        <w:tc>
          <w:tcPr>
            <w:tcW w:w="23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建立危废台账，整理危废处置合同、转移联单及危废处理方资质佐证材料。</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6</w:t>
            </w:r>
            <w:r>
              <w:rPr>
                <w:rFonts w:hint="eastAsia" w:eastAsia="宋体" w:cs="Times New Roman"/>
                <w:i w:val="0"/>
                <w:color w:val="000000"/>
                <w:kern w:val="0"/>
                <w:sz w:val="24"/>
                <w:szCs w:val="24"/>
                <w:u w:val="none"/>
                <w:lang w:val="en-US" w:eastAsia="zh-CN" w:bidi="ar"/>
              </w:rPr>
              <w:t>0</w:t>
            </w:r>
          </w:p>
        </w:tc>
        <w:tc>
          <w:tcPr>
            <w:tcW w:w="2305"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台账保存期限不少于3年。</w:t>
            </w:r>
          </w:p>
        </w:tc>
        <w:tc>
          <w:tcPr>
            <w:tcW w:w="1524" w:type="dxa"/>
            <w:gridSpan w:val="2"/>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rPr>
              <w:t>（1）、（</w:t>
            </w:r>
            <w:r>
              <w:rPr>
                <w:rFonts w:hint="default" w:eastAsia="楷体_GB2312"/>
                <w:sz w:val="24"/>
                <w:szCs w:val="24"/>
                <w:lang w:val="en-US" w:eastAsia="zh-CN"/>
              </w:rPr>
              <w:t>5</w:t>
            </w: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r>
              <w:rPr>
                <w:rFonts w:hint="default" w:eastAsia="楷体_GB2312"/>
                <w:sz w:val="24"/>
                <w:szCs w:val="24"/>
                <w:lang w:eastAsia="zh-CN"/>
              </w:rPr>
              <w:t>、</w:t>
            </w:r>
            <w:r>
              <w:rPr>
                <w:rFonts w:hint="default" w:eastAsia="楷体_GB2312"/>
                <w:sz w:val="24"/>
                <w:szCs w:val="24"/>
              </w:rPr>
              <w:t>（1</w:t>
            </w:r>
            <w:r>
              <w:rPr>
                <w:rFonts w:hint="default" w:eastAsia="楷体_GB2312"/>
                <w:sz w:val="24"/>
                <w:szCs w:val="24"/>
                <w:lang w:val="en-US" w:eastAsia="zh-CN"/>
              </w:rPr>
              <w:t>5</w:t>
            </w:r>
            <w:r>
              <w:rPr>
                <w:rFonts w:hint="default" w:eastAsia="楷体_GB2312"/>
                <w:sz w:val="24"/>
                <w:szCs w:val="24"/>
              </w:rPr>
              <w:t>）、（1</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6</w:t>
            </w:r>
            <w:r>
              <w:rPr>
                <w:rFonts w:hint="eastAsia" w:eastAsia="宋体" w:cs="Times New Roman"/>
                <w:i w:val="0"/>
                <w:color w:val="000000"/>
                <w:kern w:val="0"/>
                <w:sz w:val="24"/>
                <w:szCs w:val="24"/>
                <w:u w:val="none"/>
                <w:lang w:val="en-US" w:eastAsia="zh-CN" w:bidi="ar"/>
              </w:rPr>
              <w:t>1</w:t>
            </w:r>
          </w:p>
        </w:tc>
        <w:tc>
          <w:tcPr>
            <w:tcW w:w="230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自行监测</w:t>
            </w: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橡胶</w:t>
            </w:r>
            <w:r>
              <w:rPr>
                <w:rFonts w:hint="default" w:eastAsia="楷体_GB2312"/>
                <w:color w:val="000000"/>
                <w:kern w:val="0"/>
                <w:sz w:val="24"/>
                <w:szCs w:val="24"/>
                <w:lang w:val="en-US" w:eastAsia="zh-CN" w:bidi="ar"/>
              </w:rPr>
              <w:t>制品</w:t>
            </w:r>
            <w:r>
              <w:rPr>
                <w:rFonts w:hint="default" w:eastAsia="楷体_GB2312"/>
                <w:color w:val="000000"/>
                <w:kern w:val="0"/>
                <w:sz w:val="24"/>
                <w:szCs w:val="24"/>
                <w:lang w:bidi="ar"/>
              </w:rPr>
              <w:t>行业重点排污单位：</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a）轮胎制品制造、橡胶板、管、带制品制造、橡胶零件制品、运动场地使用塑胶制品和其他橡胶制品制造每半年1次；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b）厂界每半年1次。</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r>
              <w:rPr>
                <w:rFonts w:hint="default" w:eastAsia="楷体_GB2312"/>
                <w:sz w:val="24"/>
                <w:szCs w:val="24"/>
                <w:lang w:val="en-US" w:eastAsia="zh-CN"/>
              </w:rPr>
              <w:t>7</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6</w:t>
            </w:r>
            <w:r>
              <w:rPr>
                <w:rFonts w:hint="eastAsia" w:eastAsia="宋体" w:cs="Times New Roman"/>
                <w:i w:val="0"/>
                <w:color w:val="000000"/>
                <w:kern w:val="0"/>
                <w:sz w:val="24"/>
                <w:szCs w:val="24"/>
                <w:u w:val="none"/>
                <w:lang w:val="en-US" w:eastAsia="zh-CN" w:bidi="ar"/>
              </w:rPr>
              <w:t>2</w:t>
            </w:r>
          </w:p>
        </w:tc>
        <w:tc>
          <w:tcPr>
            <w:tcW w:w="230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橡胶</w:t>
            </w:r>
            <w:r>
              <w:rPr>
                <w:rFonts w:hint="default" w:eastAsia="楷体_GB2312"/>
                <w:color w:val="000000"/>
                <w:kern w:val="0"/>
                <w:sz w:val="24"/>
                <w:szCs w:val="24"/>
                <w:lang w:val="en-US" w:eastAsia="zh-CN" w:bidi="ar"/>
              </w:rPr>
              <w:t>制品</w:t>
            </w:r>
            <w:r>
              <w:rPr>
                <w:rFonts w:hint="default" w:eastAsia="楷体_GB2312"/>
                <w:color w:val="000000"/>
                <w:kern w:val="0"/>
                <w:sz w:val="24"/>
                <w:szCs w:val="24"/>
                <w:lang w:bidi="ar"/>
              </w:rPr>
              <w:t>行业简化管理排污单位：</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a）轮胎制品制造、橡胶板、管、带制品制造、橡胶零件制品、运动场地使用塑胶制品和其他橡胶制品制造每年1次；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sz w:val="24"/>
                <w:szCs w:val="24"/>
              </w:rPr>
              <w:t>b）厂界每年1次。</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r>
              <w:rPr>
                <w:rFonts w:hint="default" w:eastAsia="楷体_GB2312"/>
                <w:sz w:val="24"/>
                <w:szCs w:val="24"/>
                <w:lang w:val="en-US" w:eastAsia="zh-CN"/>
              </w:rPr>
              <w:t>7</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6</w:t>
            </w:r>
            <w:r>
              <w:rPr>
                <w:rFonts w:hint="eastAsia" w:eastAsia="宋体" w:cs="Times New Roman"/>
                <w:i w:val="0"/>
                <w:color w:val="000000"/>
                <w:kern w:val="0"/>
                <w:sz w:val="24"/>
                <w:szCs w:val="24"/>
                <w:u w:val="none"/>
                <w:lang w:val="en-US" w:eastAsia="zh-CN" w:bidi="ar"/>
              </w:rPr>
              <w:t>3</w:t>
            </w:r>
          </w:p>
        </w:tc>
        <w:tc>
          <w:tcPr>
            <w:tcW w:w="230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塑料制品行业重点排污单位：</w:t>
            </w:r>
          </w:p>
          <w:p>
            <w:pPr>
              <w:pStyle w:val="13"/>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sz w:val="24"/>
                <w:szCs w:val="24"/>
              </w:rPr>
              <w:t>塑料人造革与合成革制造</w:t>
            </w:r>
            <w:r>
              <w:rPr>
                <w:rFonts w:hint="default" w:eastAsia="楷体_GB2312"/>
                <w:color w:val="000000"/>
                <w:kern w:val="0"/>
                <w:sz w:val="24"/>
                <w:szCs w:val="24"/>
                <w:lang w:bidi="ar"/>
              </w:rPr>
              <w:t>每季度一次；</w:t>
            </w:r>
          </w:p>
          <w:p>
            <w:pPr>
              <w:pStyle w:val="13"/>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塑料板、管、型材制造、塑料丝、绳及编织品制造、泡沫塑料制造、塑料包装箱及容器制造（注塑成型、滚塑成型）、日用塑料制品制造、人造草坪制造、塑料零件及其他塑料制品每半年一次；</w:t>
            </w:r>
          </w:p>
          <w:p>
            <w:pPr>
              <w:pStyle w:val="13"/>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喷涂工序每季度一次；</w:t>
            </w:r>
          </w:p>
          <w:p>
            <w:pPr>
              <w:pStyle w:val="13"/>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厂界每半年一次。</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r>
              <w:rPr>
                <w:rFonts w:hint="default" w:eastAsia="楷体_GB2312"/>
                <w:sz w:val="24"/>
                <w:szCs w:val="24"/>
                <w:lang w:val="en-US" w:eastAsia="zh-CN"/>
              </w:rPr>
              <w:t>7</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6</w:t>
            </w:r>
            <w:r>
              <w:rPr>
                <w:rFonts w:hint="eastAsia" w:eastAsia="宋体" w:cs="Times New Roman"/>
                <w:i w:val="0"/>
                <w:color w:val="000000"/>
                <w:kern w:val="0"/>
                <w:sz w:val="24"/>
                <w:szCs w:val="24"/>
                <w:u w:val="none"/>
                <w:lang w:val="en-US" w:eastAsia="zh-CN" w:bidi="ar"/>
              </w:rPr>
              <w:t>4</w:t>
            </w:r>
          </w:p>
        </w:tc>
        <w:tc>
          <w:tcPr>
            <w:tcW w:w="230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kern w:val="0"/>
                <w:sz w:val="24"/>
                <w:szCs w:val="24"/>
                <w:lang w:bidi="ar"/>
              </w:rPr>
            </w:pPr>
            <w:r>
              <w:rPr>
                <w:rFonts w:hint="default" w:eastAsia="楷体_GB2312"/>
                <w:color w:val="000000"/>
                <w:kern w:val="0"/>
                <w:sz w:val="24"/>
                <w:szCs w:val="24"/>
                <w:lang w:bidi="ar"/>
              </w:rPr>
              <w:t>塑料制品行业简化管理排污单位废气排放口及</w:t>
            </w:r>
            <w:r>
              <w:rPr>
                <w:rFonts w:hint="default" w:eastAsia="楷体_GB2312"/>
                <w:kern w:val="0"/>
                <w:sz w:val="24"/>
                <w:szCs w:val="24"/>
                <w:lang w:bidi="ar"/>
              </w:rPr>
              <w:t>无组织排放</w:t>
            </w:r>
            <w:r>
              <w:rPr>
                <w:rFonts w:hint="default" w:eastAsia="楷体_GB2312"/>
                <w:color w:val="000000"/>
                <w:kern w:val="0"/>
                <w:sz w:val="24"/>
                <w:szCs w:val="24"/>
                <w:lang w:bidi="ar"/>
              </w:rPr>
              <w:t>每年一次</w:t>
            </w:r>
            <w:r>
              <w:rPr>
                <w:rFonts w:hint="default" w:eastAsia="楷体_GB2312"/>
                <w:kern w:val="0"/>
                <w:sz w:val="24"/>
                <w:szCs w:val="24"/>
                <w:lang w:bidi="ar"/>
              </w:rPr>
              <w:t>。</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r>
              <w:rPr>
                <w:rFonts w:hint="default" w:eastAsia="楷体_GB2312"/>
                <w:sz w:val="24"/>
                <w:szCs w:val="24"/>
                <w:lang w:val="en-US" w:eastAsia="zh-CN"/>
              </w:rPr>
              <w:t>7</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6</w:t>
            </w:r>
            <w:r>
              <w:rPr>
                <w:rFonts w:hint="eastAsia" w:eastAsia="宋体" w:cs="Times New Roman"/>
                <w:i w:val="0"/>
                <w:color w:val="000000"/>
                <w:kern w:val="0"/>
                <w:sz w:val="24"/>
                <w:szCs w:val="24"/>
                <w:u w:val="none"/>
                <w:lang w:val="en-US" w:eastAsia="zh-CN" w:bidi="ar"/>
              </w:rPr>
              <w:t>5</w:t>
            </w:r>
          </w:p>
        </w:tc>
        <w:tc>
          <w:tcPr>
            <w:tcW w:w="2305"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危废管理</w:t>
            </w: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工艺过程产生的含VOCs废料（渣、液）应按照相关要求进行储存、转移和输送。盛装过VOCs物料的废包装容器应加盖密闭。</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35" w:type="dxa"/>
            <w:gridSpan w:val="7"/>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宋体"/>
                <w:color w:val="000000"/>
                <w:kern w:val="0"/>
                <w:sz w:val="24"/>
                <w:szCs w:val="24"/>
                <w:u w:val="none"/>
                <w:lang w:bidi="ar"/>
              </w:rPr>
            </w:pPr>
            <w:r>
              <w:rPr>
                <w:rFonts w:hint="eastAsia" w:eastAsia="宋体" w:cs="Times New Roman"/>
                <w:color w:val="000000"/>
                <w:kern w:val="0"/>
                <w:sz w:val="24"/>
                <w:szCs w:val="24"/>
                <w:u w:val="none"/>
                <w:lang w:val="en-US" w:eastAsia="zh-CN" w:bidi="ar"/>
              </w:rPr>
              <w:t>66</w:t>
            </w:r>
          </w:p>
        </w:tc>
        <w:tc>
          <w:tcPr>
            <w:tcW w:w="2305"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建设项目VOCs总量管理</w:t>
            </w: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新、改、扩建项目应执行总量替代制度，明确VOCs总量指标来源。</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6</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6"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宋体"/>
                <w:color w:val="000000"/>
                <w:kern w:val="0"/>
                <w:sz w:val="24"/>
                <w:szCs w:val="24"/>
                <w:u w:val="none"/>
                <w:lang w:bidi="ar"/>
              </w:rPr>
            </w:pPr>
            <w:r>
              <w:rPr>
                <w:rFonts w:hint="eastAsia" w:eastAsia="宋体" w:cs="Times New Roman"/>
                <w:color w:val="000000"/>
                <w:kern w:val="0"/>
                <w:sz w:val="24"/>
                <w:szCs w:val="24"/>
                <w:u w:val="none"/>
                <w:lang w:val="en-US" w:eastAsia="zh-CN" w:bidi="ar"/>
              </w:rPr>
              <w:t>67</w:t>
            </w:r>
          </w:p>
        </w:tc>
        <w:tc>
          <w:tcPr>
            <w:tcW w:w="2305"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00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新、改、扩建</w:t>
            </w:r>
            <w:r>
              <w:rPr>
                <w:rFonts w:hint="default" w:eastAsia="楷体_GB2312"/>
                <w:sz w:val="24"/>
                <w:szCs w:val="24"/>
                <w:lang w:val="en-US" w:eastAsia="zh-CN"/>
              </w:rPr>
              <w:t>项目</w:t>
            </w:r>
            <w:r>
              <w:rPr>
                <w:rFonts w:hint="default" w:eastAsia="楷体_GB2312"/>
                <w:sz w:val="24"/>
                <w:szCs w:val="24"/>
              </w:rPr>
              <w:t>和</w:t>
            </w:r>
            <w:r>
              <w:rPr>
                <w:rFonts w:hint="default" w:eastAsia="楷体_GB2312"/>
                <w:sz w:val="24"/>
                <w:szCs w:val="24"/>
                <w:lang w:val="en-US" w:eastAsia="zh-CN"/>
              </w:rPr>
              <w:t>现有企业</w:t>
            </w:r>
            <w:r>
              <w:rPr>
                <w:rFonts w:hint="default" w:eastAsia="楷体_GB2312"/>
                <w:sz w:val="24"/>
                <w:szCs w:val="24"/>
              </w:rPr>
              <w:t>VOCs</w:t>
            </w:r>
            <w:r>
              <w:rPr>
                <w:rFonts w:hint="default" w:eastAsia="楷体_GB2312"/>
                <w:sz w:val="24"/>
                <w:szCs w:val="24"/>
                <w:lang w:val="en-US" w:eastAsia="zh-CN"/>
              </w:rPr>
              <w:t>基准</w:t>
            </w:r>
            <w:r>
              <w:rPr>
                <w:rFonts w:hint="default" w:eastAsia="楷体_GB2312"/>
                <w:sz w:val="24"/>
                <w:szCs w:val="24"/>
              </w:rPr>
              <w:t>排放量</w:t>
            </w:r>
            <w:r>
              <w:rPr>
                <w:rFonts w:hint="default" w:eastAsia="楷体_GB2312"/>
                <w:sz w:val="24"/>
                <w:szCs w:val="24"/>
                <w:lang w:val="en-US" w:eastAsia="zh-CN"/>
              </w:rPr>
              <w:t>计算参考《</w:t>
            </w:r>
            <w:r>
              <w:rPr>
                <w:rFonts w:hint="default" w:eastAsia="楷体_GB2312"/>
                <w:sz w:val="24"/>
                <w:szCs w:val="24"/>
              </w:rPr>
              <w:t>广东省重点行业挥发性有机物排放量计算方法核算</w:t>
            </w:r>
            <w:r>
              <w:rPr>
                <w:rFonts w:hint="default" w:eastAsia="楷体_GB2312"/>
                <w:sz w:val="24"/>
                <w:szCs w:val="24"/>
                <w:lang w:val="en-US" w:eastAsia="zh-CN"/>
              </w:rPr>
              <w:t>》进行核算</w:t>
            </w:r>
            <w:r>
              <w:rPr>
                <w:rFonts w:hint="default" w:eastAsia="楷体_GB2312"/>
                <w:sz w:val="24"/>
                <w:szCs w:val="24"/>
                <w:lang w:eastAsia="zh-CN"/>
              </w:rPr>
              <w:t>，</w:t>
            </w:r>
            <w:r>
              <w:rPr>
                <w:rFonts w:hint="default" w:eastAsia="楷体_GB2312"/>
                <w:sz w:val="24"/>
                <w:szCs w:val="24"/>
              </w:rPr>
              <w:t>若国家和我省出台适用于</w:t>
            </w:r>
            <w:r>
              <w:rPr>
                <w:rFonts w:hint="default" w:eastAsia="楷体_GB2312"/>
                <w:sz w:val="24"/>
                <w:szCs w:val="24"/>
                <w:lang w:val="en-US" w:eastAsia="zh-CN"/>
              </w:rPr>
              <w:t>该行</w:t>
            </w:r>
            <w:r>
              <w:rPr>
                <w:rFonts w:hint="default" w:eastAsia="楷体_GB2312"/>
                <w:sz w:val="24"/>
                <w:szCs w:val="24"/>
              </w:rPr>
              <w:t>业的</w:t>
            </w:r>
            <w:r>
              <w:rPr>
                <w:rFonts w:hint="default" w:eastAsia="楷体_GB2312"/>
                <w:sz w:val="24"/>
                <w:szCs w:val="24"/>
                <w:lang w:val="en-US" w:eastAsia="zh-CN"/>
              </w:rPr>
              <w:t>VOCs排放量计算方法，则参照其相关规定执行。</w:t>
            </w:r>
          </w:p>
        </w:tc>
        <w:tc>
          <w:tcPr>
            <w:tcW w:w="1524"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218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6</w:t>
            </w:r>
            <w:r>
              <w:rPr>
                <w:rFonts w:hint="default" w:eastAsia="楷体_GB2312"/>
                <w:sz w:val="24"/>
                <w:szCs w:val="24"/>
              </w:rPr>
              <w:t>）、（1</w:t>
            </w:r>
            <w:r>
              <w:rPr>
                <w:rFonts w:hint="default" w:eastAsia="楷体_GB2312"/>
                <w:sz w:val="24"/>
                <w:szCs w:val="24"/>
                <w:lang w:val="en-US" w:eastAsia="zh-CN"/>
              </w:rPr>
              <w:t>7</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35" w:type="dxa"/>
            <w:gridSpan w:val="7"/>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文件依据：</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挥发性有机物无组织排放控制标准</w:t>
            </w:r>
            <w:r>
              <w:rPr>
                <w:rFonts w:hint="default" w:eastAsia="楷体_GB2312"/>
                <w:sz w:val="24"/>
                <w:szCs w:val="24"/>
                <w:lang w:eastAsia="zh-CN"/>
              </w:rPr>
              <w:t>（</w:t>
            </w:r>
            <w:r>
              <w:rPr>
                <w:rFonts w:hint="default" w:eastAsia="楷体_GB2312"/>
                <w:sz w:val="24"/>
                <w:szCs w:val="24"/>
              </w:rPr>
              <w:t>GB 38722-2019</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橡胶制品工业污染物排放标准</w:t>
            </w:r>
            <w:r>
              <w:rPr>
                <w:rFonts w:hint="default" w:eastAsia="楷体_GB2312"/>
                <w:sz w:val="24"/>
                <w:szCs w:val="24"/>
                <w:lang w:eastAsia="zh-CN"/>
              </w:rPr>
              <w:t>（</w:t>
            </w:r>
            <w:r>
              <w:rPr>
                <w:rFonts w:hint="default" w:eastAsia="楷体_GB2312"/>
                <w:sz w:val="24"/>
                <w:szCs w:val="24"/>
              </w:rPr>
              <w:t>GB 27632-2011</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合成革与人造革工业污染物排放标准</w:t>
            </w:r>
            <w:r>
              <w:rPr>
                <w:rFonts w:hint="default" w:eastAsia="楷体_GB2312"/>
                <w:sz w:val="24"/>
                <w:szCs w:val="24"/>
                <w:lang w:eastAsia="zh-CN"/>
              </w:rPr>
              <w:t>（</w:t>
            </w:r>
            <w:r>
              <w:rPr>
                <w:rFonts w:hint="default" w:eastAsia="楷体_GB2312"/>
                <w:sz w:val="24"/>
                <w:szCs w:val="24"/>
              </w:rPr>
              <w:t>GB21902-2008</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大气污染物排放限值</w:t>
            </w:r>
            <w:r>
              <w:rPr>
                <w:rFonts w:hint="default" w:eastAsia="楷体_GB2312"/>
                <w:sz w:val="24"/>
                <w:szCs w:val="24"/>
                <w:lang w:eastAsia="zh-CN"/>
              </w:rPr>
              <w:t>（</w:t>
            </w:r>
            <w:r>
              <w:rPr>
                <w:rFonts w:hint="default" w:eastAsia="楷体_GB2312"/>
                <w:sz w:val="24"/>
                <w:szCs w:val="24"/>
              </w:rPr>
              <w:t>DB</w:t>
            </w:r>
            <w:r>
              <w:rPr>
                <w:rFonts w:hint="default" w:eastAsia="楷体_GB2312"/>
                <w:sz w:val="24"/>
                <w:szCs w:val="24"/>
                <w:lang w:val="en-US" w:eastAsia="zh-CN"/>
              </w:rPr>
              <w:t xml:space="preserve"> </w:t>
            </w:r>
            <w:r>
              <w:rPr>
                <w:rFonts w:hint="default" w:eastAsia="楷体_GB2312"/>
                <w:sz w:val="24"/>
                <w:szCs w:val="24"/>
              </w:rPr>
              <w:t>4427-2001</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排污单位环境管理台账及排污许可证执行报告技术规范 总则（试行）</w:t>
            </w:r>
            <w:r>
              <w:rPr>
                <w:rFonts w:hint="default" w:eastAsia="楷体_GB2312"/>
                <w:sz w:val="24"/>
                <w:szCs w:val="24"/>
                <w:lang w:eastAsia="zh-CN"/>
              </w:rPr>
              <w:t>（</w:t>
            </w:r>
            <w:r>
              <w:rPr>
                <w:rFonts w:hint="default" w:eastAsia="楷体_GB2312"/>
                <w:sz w:val="24"/>
                <w:szCs w:val="24"/>
              </w:rPr>
              <w:t>HJ</w:t>
            </w:r>
            <w:r>
              <w:rPr>
                <w:rFonts w:hint="default" w:eastAsia="楷体_GB2312"/>
                <w:sz w:val="24"/>
                <w:szCs w:val="24"/>
                <w:lang w:val="en-US" w:eastAsia="zh-CN"/>
              </w:rPr>
              <w:t xml:space="preserve"> </w:t>
            </w:r>
            <w:r>
              <w:rPr>
                <w:rFonts w:hint="default" w:eastAsia="楷体_GB2312"/>
                <w:sz w:val="24"/>
                <w:szCs w:val="24"/>
              </w:rPr>
              <w:t>944-2018</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排污许可证申请与核发技术规范 橡胶和塑料制品工业</w:t>
            </w:r>
            <w:r>
              <w:rPr>
                <w:rFonts w:hint="default" w:eastAsia="楷体_GB2312"/>
                <w:sz w:val="24"/>
                <w:szCs w:val="24"/>
                <w:lang w:eastAsia="zh-CN"/>
              </w:rPr>
              <w:t>（</w:t>
            </w:r>
            <w:r>
              <w:rPr>
                <w:rFonts w:hint="default" w:eastAsia="楷体_GB2312"/>
                <w:sz w:val="24"/>
                <w:szCs w:val="24"/>
              </w:rPr>
              <w:t>HJ</w:t>
            </w:r>
            <w:r>
              <w:rPr>
                <w:rFonts w:hint="default" w:eastAsia="楷体_GB2312"/>
                <w:sz w:val="24"/>
                <w:szCs w:val="24"/>
                <w:lang w:val="en-US" w:eastAsia="zh-CN"/>
              </w:rPr>
              <w:t xml:space="preserve"> </w:t>
            </w:r>
            <w:r>
              <w:rPr>
                <w:rFonts w:hint="default" w:eastAsia="楷体_GB2312"/>
                <w:sz w:val="24"/>
                <w:szCs w:val="24"/>
              </w:rPr>
              <w:t>1122-2020</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排污单位自行监测技术指南 总则</w:t>
            </w:r>
            <w:r>
              <w:rPr>
                <w:rFonts w:hint="default" w:eastAsia="楷体_GB2312"/>
                <w:sz w:val="24"/>
                <w:szCs w:val="24"/>
                <w:lang w:eastAsia="zh-CN"/>
              </w:rPr>
              <w:t>（</w:t>
            </w:r>
            <w:r>
              <w:rPr>
                <w:rFonts w:hint="default" w:eastAsia="楷体_GB2312"/>
                <w:sz w:val="24"/>
                <w:szCs w:val="24"/>
              </w:rPr>
              <w:t>HJ</w:t>
            </w:r>
            <w:r>
              <w:rPr>
                <w:rFonts w:hint="default" w:eastAsia="楷体_GB2312"/>
                <w:sz w:val="24"/>
                <w:szCs w:val="24"/>
                <w:lang w:val="en-US" w:eastAsia="zh-CN"/>
              </w:rPr>
              <w:t xml:space="preserve"> </w:t>
            </w:r>
            <w:r>
              <w:rPr>
                <w:rFonts w:hint="default" w:eastAsia="楷体_GB2312"/>
                <w:sz w:val="24"/>
                <w:szCs w:val="24"/>
              </w:rPr>
              <w:t>819-2017</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胶粘剂挥发性有机化合物限量</w:t>
            </w:r>
            <w:r>
              <w:rPr>
                <w:rFonts w:hint="default" w:eastAsia="楷体_GB2312"/>
                <w:sz w:val="24"/>
                <w:szCs w:val="24"/>
                <w:lang w:eastAsia="zh-CN"/>
              </w:rPr>
              <w:t>（</w:t>
            </w:r>
            <w:r>
              <w:rPr>
                <w:rFonts w:hint="default" w:eastAsia="楷体_GB2312"/>
                <w:sz w:val="24"/>
                <w:szCs w:val="24"/>
              </w:rPr>
              <w:t>GB 33372-2020</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清洗剂挥发性有机化合物含量限值</w:t>
            </w:r>
            <w:r>
              <w:rPr>
                <w:rFonts w:hint="default" w:eastAsia="楷体_GB2312"/>
                <w:sz w:val="24"/>
                <w:szCs w:val="24"/>
                <w:lang w:eastAsia="zh-CN"/>
              </w:rPr>
              <w:t>（</w:t>
            </w:r>
            <w:r>
              <w:rPr>
                <w:rFonts w:hint="default" w:eastAsia="楷体_GB2312"/>
                <w:sz w:val="24"/>
                <w:szCs w:val="24"/>
              </w:rPr>
              <w:t>GB 38508-2020</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油墨中可挥发性有机化合物（VOCs）含量的限值</w:t>
            </w:r>
            <w:r>
              <w:rPr>
                <w:rFonts w:hint="default" w:eastAsia="楷体_GB2312"/>
                <w:sz w:val="24"/>
                <w:szCs w:val="24"/>
                <w:lang w:eastAsia="zh-CN"/>
              </w:rPr>
              <w:t>（</w:t>
            </w:r>
            <w:r>
              <w:rPr>
                <w:rFonts w:hint="default" w:eastAsia="楷体_GB2312"/>
                <w:sz w:val="24"/>
                <w:szCs w:val="24"/>
              </w:rPr>
              <w:t>GB 38507-2020</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低挥发性有机化合物涂料产品技术要求</w:t>
            </w:r>
            <w:r>
              <w:rPr>
                <w:rFonts w:hint="default" w:eastAsia="楷体_GB2312"/>
                <w:sz w:val="24"/>
                <w:szCs w:val="24"/>
                <w:lang w:eastAsia="zh-CN"/>
              </w:rPr>
              <w:t>（</w:t>
            </w:r>
            <w:r>
              <w:rPr>
                <w:rFonts w:hint="default" w:eastAsia="楷体_GB2312"/>
                <w:sz w:val="24"/>
                <w:szCs w:val="24"/>
              </w:rPr>
              <w:t>GB/T 38597-2020</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吸附法工业有机废气治理工程技术规范</w:t>
            </w:r>
            <w:r>
              <w:rPr>
                <w:rFonts w:hint="default" w:eastAsia="楷体_GB2312"/>
                <w:sz w:val="24"/>
                <w:szCs w:val="24"/>
                <w:lang w:eastAsia="zh-CN"/>
              </w:rPr>
              <w:t>（</w:t>
            </w:r>
            <w:r>
              <w:rPr>
                <w:rFonts w:hint="default" w:eastAsia="楷体_GB2312"/>
                <w:sz w:val="24"/>
                <w:szCs w:val="24"/>
              </w:rPr>
              <w:t>HJ 2026-2013</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催化燃烧法工业有机废气治理工程技术</w:t>
            </w:r>
            <w:r>
              <w:rPr>
                <w:rFonts w:hint="default" w:eastAsia="楷体_GB2312"/>
                <w:sz w:val="24"/>
                <w:szCs w:val="24"/>
                <w:lang w:eastAsia="zh-CN"/>
              </w:rPr>
              <w:t>（</w:t>
            </w:r>
            <w:r>
              <w:rPr>
                <w:rFonts w:hint="default" w:eastAsia="楷体_GB2312"/>
                <w:sz w:val="24"/>
                <w:szCs w:val="24"/>
              </w:rPr>
              <w:t>HJ</w:t>
            </w:r>
            <w:r>
              <w:rPr>
                <w:rFonts w:hint="default" w:eastAsia="楷体_GB2312"/>
                <w:sz w:val="24"/>
                <w:szCs w:val="24"/>
                <w:lang w:val="en-US" w:eastAsia="zh-CN"/>
              </w:rPr>
              <w:t xml:space="preserve"> </w:t>
            </w:r>
            <w:r>
              <w:rPr>
                <w:rFonts w:hint="default" w:eastAsia="楷体_GB2312"/>
                <w:sz w:val="24"/>
                <w:szCs w:val="24"/>
              </w:rPr>
              <w:t>2027-2013</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蓄热燃烧法工业有机废气治理工程技术规范</w:t>
            </w:r>
            <w:r>
              <w:rPr>
                <w:rFonts w:hint="default" w:eastAsia="楷体_GB2312"/>
                <w:sz w:val="24"/>
                <w:szCs w:val="24"/>
                <w:lang w:eastAsia="zh-CN"/>
              </w:rPr>
              <w:t>（</w:t>
            </w:r>
            <w:r>
              <w:rPr>
                <w:rFonts w:hint="default" w:eastAsia="楷体_GB2312"/>
                <w:sz w:val="24"/>
                <w:szCs w:val="24"/>
              </w:rPr>
              <w:t>HJ 1093-2020</w:t>
            </w:r>
            <w:r>
              <w:rPr>
                <w:rFonts w:hint="default" w:eastAsia="楷体_GB2312"/>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重点行业挥发性有机物综合治理方案（环大气﹝2019﹞53号）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广东省生态环境厅关于做好重点行业建设项目挥发性有机物总量指标管理工作的通知（粤环发〔2019〕2号）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广东省生态环境厅关于印发重点行业挥发性有机物排放量计算方法的通知（粤环函〔2019〕243号）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广东省生态环境厅办公室关于印发挥发性有机物重点监管企业VOCs管控台账清单的通知（粤环办函〔2020〕19号）</w:t>
            </w:r>
          </w:p>
        </w:tc>
      </w:tr>
    </w:tbl>
    <w:p>
      <w:pPr>
        <w:ind w:firstLine="0" w:firstLineChars="0"/>
      </w:pPr>
    </w:p>
    <w:sectPr>
      <w:footerReference r:id="rId3" w:type="default"/>
      <w:pgSz w:w="16838" w:h="11906" w:orient="landscape"/>
      <w:pgMar w:top="1417" w:right="1134" w:bottom="1417" w:left="1134" w:header="851" w:footer="1020" w:gutter="0"/>
      <w:pgBorders>
        <w:top w:val="none" w:sz="0" w:space="0"/>
        <w:left w:val="none" w:sz="0" w:space="0"/>
        <w:bottom w:val="none" w:sz="0" w:space="0"/>
        <w:right w:val="none" w:sz="0" w:space="0"/>
      </w:pgBorders>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0" w:firstLineChars="0"/>
                            <w:rPr>
                              <w:rFonts w:hint="default" w:eastAsia="仿宋_GB2312"/>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ind w:firstLine="0" w:firstLineChars="0"/>
                      <w:rPr>
                        <w:rFonts w:hint="default" w:eastAsia="仿宋_GB2312"/>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CD8CF"/>
    <w:multiLevelType w:val="singleLevel"/>
    <w:tmpl w:val="8FECD8CF"/>
    <w:lvl w:ilvl="0" w:tentative="0">
      <w:start w:val="1"/>
      <w:numFmt w:val="decimal"/>
      <w:suff w:val="nothing"/>
      <w:lvlText w:val="（%1）"/>
      <w:lvlJc w:val="left"/>
    </w:lvl>
  </w:abstractNum>
  <w:abstractNum w:abstractNumId="1">
    <w:nsid w:val="21CF3351"/>
    <w:multiLevelType w:val="multilevel"/>
    <w:tmpl w:val="21CF3351"/>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3BD"/>
    <w:rsid w:val="000325E2"/>
    <w:rsid w:val="00032A5D"/>
    <w:rsid w:val="00046BD6"/>
    <w:rsid w:val="00055E61"/>
    <w:rsid w:val="0005714C"/>
    <w:rsid w:val="0008332E"/>
    <w:rsid w:val="000A4623"/>
    <w:rsid w:val="000B1B0A"/>
    <w:rsid w:val="000C069B"/>
    <w:rsid w:val="000D039B"/>
    <w:rsid w:val="00101046"/>
    <w:rsid w:val="00103D62"/>
    <w:rsid w:val="00113699"/>
    <w:rsid w:val="00140F79"/>
    <w:rsid w:val="001979B5"/>
    <w:rsid w:val="001A5BF7"/>
    <w:rsid w:val="001B1584"/>
    <w:rsid w:val="001B575C"/>
    <w:rsid w:val="0020153D"/>
    <w:rsid w:val="00216C68"/>
    <w:rsid w:val="00230C61"/>
    <w:rsid w:val="00237C01"/>
    <w:rsid w:val="00272189"/>
    <w:rsid w:val="00314689"/>
    <w:rsid w:val="00322048"/>
    <w:rsid w:val="00341767"/>
    <w:rsid w:val="00342169"/>
    <w:rsid w:val="0037277E"/>
    <w:rsid w:val="003900D0"/>
    <w:rsid w:val="003B230A"/>
    <w:rsid w:val="00477D26"/>
    <w:rsid w:val="004A2304"/>
    <w:rsid w:val="004B5620"/>
    <w:rsid w:val="004D5222"/>
    <w:rsid w:val="004F758C"/>
    <w:rsid w:val="0053450C"/>
    <w:rsid w:val="005363BD"/>
    <w:rsid w:val="00554C5C"/>
    <w:rsid w:val="00571727"/>
    <w:rsid w:val="005A3B6D"/>
    <w:rsid w:val="005B4033"/>
    <w:rsid w:val="005B4E50"/>
    <w:rsid w:val="00601C01"/>
    <w:rsid w:val="006021AB"/>
    <w:rsid w:val="0060620C"/>
    <w:rsid w:val="00621B9A"/>
    <w:rsid w:val="0064676E"/>
    <w:rsid w:val="00652A36"/>
    <w:rsid w:val="00672A87"/>
    <w:rsid w:val="00675665"/>
    <w:rsid w:val="00680A52"/>
    <w:rsid w:val="00695EF2"/>
    <w:rsid w:val="007052A2"/>
    <w:rsid w:val="0072479B"/>
    <w:rsid w:val="0078081F"/>
    <w:rsid w:val="00786109"/>
    <w:rsid w:val="007B484D"/>
    <w:rsid w:val="007F7DA2"/>
    <w:rsid w:val="00811190"/>
    <w:rsid w:val="00837794"/>
    <w:rsid w:val="008875EC"/>
    <w:rsid w:val="008B1F92"/>
    <w:rsid w:val="008B23EE"/>
    <w:rsid w:val="008E5BD2"/>
    <w:rsid w:val="008F724E"/>
    <w:rsid w:val="008F7C58"/>
    <w:rsid w:val="009442F1"/>
    <w:rsid w:val="009538E4"/>
    <w:rsid w:val="00955351"/>
    <w:rsid w:val="009C3FFA"/>
    <w:rsid w:val="00A2126C"/>
    <w:rsid w:val="00A3048F"/>
    <w:rsid w:val="00AA574A"/>
    <w:rsid w:val="00AD4EFE"/>
    <w:rsid w:val="00B1422F"/>
    <w:rsid w:val="00B33D0F"/>
    <w:rsid w:val="00B848DD"/>
    <w:rsid w:val="00B96B6A"/>
    <w:rsid w:val="00C15BD3"/>
    <w:rsid w:val="00C239B3"/>
    <w:rsid w:val="00C2488B"/>
    <w:rsid w:val="00C671AB"/>
    <w:rsid w:val="00C968E1"/>
    <w:rsid w:val="00CE42D6"/>
    <w:rsid w:val="00CE55B4"/>
    <w:rsid w:val="00D0329A"/>
    <w:rsid w:val="00D142D8"/>
    <w:rsid w:val="00D14B12"/>
    <w:rsid w:val="00D52346"/>
    <w:rsid w:val="00D5246A"/>
    <w:rsid w:val="00D6622A"/>
    <w:rsid w:val="00DB59A9"/>
    <w:rsid w:val="00DB65C4"/>
    <w:rsid w:val="00DC72C6"/>
    <w:rsid w:val="00E05798"/>
    <w:rsid w:val="00EE6525"/>
    <w:rsid w:val="00F07833"/>
    <w:rsid w:val="00F26B5E"/>
    <w:rsid w:val="00F313D6"/>
    <w:rsid w:val="00F8445A"/>
    <w:rsid w:val="00F975CE"/>
    <w:rsid w:val="00FA2221"/>
    <w:rsid w:val="00FC4493"/>
    <w:rsid w:val="00FD4B07"/>
    <w:rsid w:val="01E64DFD"/>
    <w:rsid w:val="023C28B8"/>
    <w:rsid w:val="03934CF2"/>
    <w:rsid w:val="06220789"/>
    <w:rsid w:val="0A5A4446"/>
    <w:rsid w:val="0AF44A42"/>
    <w:rsid w:val="10607518"/>
    <w:rsid w:val="10EB5A00"/>
    <w:rsid w:val="10EE63B6"/>
    <w:rsid w:val="10FF7938"/>
    <w:rsid w:val="11941676"/>
    <w:rsid w:val="11BC0E89"/>
    <w:rsid w:val="17753719"/>
    <w:rsid w:val="178B4CD1"/>
    <w:rsid w:val="1962368E"/>
    <w:rsid w:val="1C7C6A45"/>
    <w:rsid w:val="1F013F80"/>
    <w:rsid w:val="20070E57"/>
    <w:rsid w:val="209A69CA"/>
    <w:rsid w:val="22290695"/>
    <w:rsid w:val="22AF5138"/>
    <w:rsid w:val="22C550B5"/>
    <w:rsid w:val="23440BDB"/>
    <w:rsid w:val="240E4219"/>
    <w:rsid w:val="24F758FE"/>
    <w:rsid w:val="24FC213B"/>
    <w:rsid w:val="25E2703E"/>
    <w:rsid w:val="26C14070"/>
    <w:rsid w:val="274A7780"/>
    <w:rsid w:val="27D20313"/>
    <w:rsid w:val="27E0098A"/>
    <w:rsid w:val="29167964"/>
    <w:rsid w:val="294235AD"/>
    <w:rsid w:val="2B2D42E0"/>
    <w:rsid w:val="2B2E2964"/>
    <w:rsid w:val="2B5448BE"/>
    <w:rsid w:val="2B6A59E8"/>
    <w:rsid w:val="2C5F4C5F"/>
    <w:rsid w:val="2D4F3729"/>
    <w:rsid w:val="2DE17085"/>
    <w:rsid w:val="2FD76C0E"/>
    <w:rsid w:val="2FE511D0"/>
    <w:rsid w:val="30A823D0"/>
    <w:rsid w:val="31957967"/>
    <w:rsid w:val="324F6553"/>
    <w:rsid w:val="32AF4AAD"/>
    <w:rsid w:val="33CF551B"/>
    <w:rsid w:val="34DB1348"/>
    <w:rsid w:val="374F6D7C"/>
    <w:rsid w:val="38597F15"/>
    <w:rsid w:val="38BA430C"/>
    <w:rsid w:val="39681F3C"/>
    <w:rsid w:val="3A7167EE"/>
    <w:rsid w:val="3A763CA1"/>
    <w:rsid w:val="3BB1783E"/>
    <w:rsid w:val="3E315EDB"/>
    <w:rsid w:val="3E534B9A"/>
    <w:rsid w:val="3E8C69C6"/>
    <w:rsid w:val="3E9B54FE"/>
    <w:rsid w:val="3EEB1D3A"/>
    <w:rsid w:val="3F17654A"/>
    <w:rsid w:val="3F4315E5"/>
    <w:rsid w:val="40057D98"/>
    <w:rsid w:val="40AC722A"/>
    <w:rsid w:val="4345758E"/>
    <w:rsid w:val="438115CC"/>
    <w:rsid w:val="44456EB4"/>
    <w:rsid w:val="46C85118"/>
    <w:rsid w:val="47A85835"/>
    <w:rsid w:val="48A054F5"/>
    <w:rsid w:val="48F72B64"/>
    <w:rsid w:val="4BB47963"/>
    <w:rsid w:val="4D642792"/>
    <w:rsid w:val="4E205263"/>
    <w:rsid w:val="4EAF016A"/>
    <w:rsid w:val="4F531C13"/>
    <w:rsid w:val="53A44696"/>
    <w:rsid w:val="53D61021"/>
    <w:rsid w:val="5A705F5C"/>
    <w:rsid w:val="5B8F4C55"/>
    <w:rsid w:val="5CB54C7C"/>
    <w:rsid w:val="5CBA137D"/>
    <w:rsid w:val="5CD01CE9"/>
    <w:rsid w:val="5F38492A"/>
    <w:rsid w:val="5FE51351"/>
    <w:rsid w:val="64843E15"/>
    <w:rsid w:val="690D7B98"/>
    <w:rsid w:val="692F07A4"/>
    <w:rsid w:val="6B5D52CC"/>
    <w:rsid w:val="6D934F09"/>
    <w:rsid w:val="6E067081"/>
    <w:rsid w:val="6F686ADE"/>
    <w:rsid w:val="70AB51F6"/>
    <w:rsid w:val="72700EAF"/>
    <w:rsid w:val="72D34048"/>
    <w:rsid w:val="759A139F"/>
    <w:rsid w:val="763F3A40"/>
    <w:rsid w:val="77D663E1"/>
    <w:rsid w:val="7A030FD1"/>
    <w:rsid w:val="7B30318C"/>
    <w:rsid w:val="7DB62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link w:val="9"/>
    <w:semiHidden/>
    <w:unhideWhenUsed/>
    <w:qFormat/>
    <w:uiPriority w:val="0"/>
    <w:pPr>
      <w:spacing w:line="240" w:lineRule="auto"/>
      <w:ind w:firstLine="0" w:firstLineChars="0"/>
    </w:pPr>
    <w:rPr>
      <w:szCs w:val="20"/>
    </w:rPr>
  </w:style>
  <w:style w:type="paragraph" w:styleId="3">
    <w:name w:val="annotation text"/>
    <w:basedOn w:val="1"/>
    <w:qFormat/>
    <w:uiPriority w:val="0"/>
    <w:pPr>
      <w:jc w:val="left"/>
    </w:pPr>
  </w:style>
  <w:style w:type="paragraph" w:styleId="4">
    <w:name w:val="footer"/>
    <w:basedOn w:val="1"/>
    <w:link w:val="11"/>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题注 字符"/>
    <w:link w:val="2"/>
    <w:qFormat/>
    <w:locked/>
    <w:uiPriority w:val="0"/>
    <w:rPr>
      <w:rFonts w:ascii="Times New Roman" w:hAnsi="Times New Roman" w:eastAsia="宋体"/>
      <w:kern w:val="2"/>
      <w:sz w:val="24"/>
    </w:rPr>
  </w:style>
  <w:style w:type="character" w:customStyle="1" w:styleId="10">
    <w:name w:val="页眉 字符"/>
    <w:basedOn w:val="6"/>
    <w:link w:val="5"/>
    <w:qFormat/>
    <w:uiPriority w:val="0"/>
    <w:rPr>
      <w:kern w:val="2"/>
      <w:sz w:val="18"/>
      <w:szCs w:val="18"/>
    </w:rPr>
  </w:style>
  <w:style w:type="character" w:customStyle="1" w:styleId="11">
    <w:name w:val="页脚 字符"/>
    <w:basedOn w:val="6"/>
    <w:link w:val="4"/>
    <w:qFormat/>
    <w:uiPriority w:val="0"/>
    <w:rPr>
      <w:kern w:val="2"/>
      <w:sz w:val="18"/>
      <w:szCs w:val="18"/>
    </w:rPr>
  </w:style>
  <w:style w:type="character" w:customStyle="1" w:styleId="12">
    <w:name w:val="fontstyle01"/>
    <w:basedOn w:val="6"/>
    <w:qFormat/>
    <w:uiPriority w:val="0"/>
    <w:rPr>
      <w:rFonts w:hint="eastAsia" w:ascii="仿宋" w:hAnsi="仿宋" w:eastAsia="仿宋"/>
      <w:color w:val="000000"/>
      <w:sz w:val="22"/>
      <w:szCs w:val="22"/>
    </w:rPr>
  </w:style>
  <w:style w:type="paragraph" w:styleId="13">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4339</Words>
  <Characters>5163</Characters>
  <Lines>47</Lines>
  <Paragraphs>13</Paragraphs>
  <TotalTime>5</TotalTime>
  <ScaleCrop>false</ScaleCrop>
  <LinksUpToDate>false</LinksUpToDate>
  <CharactersWithSpaces>5194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2021-01-25T08:06:00Z</dcterms:created>
  <dc:creator>Administrator</dc:creator>
  <cp:lastModifiedBy>刘佳</cp:lastModifiedBy>
  <cp:lastPrinted>2021-01-18T07:15:00Z</cp:lastPrinted>
  <dcterms:modified xsi:type="dcterms:W3CDTF">2021-07-01T08:54:26Z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5F93739794B6411192DDB4465AB748D5</vt:lpwstr>
  </property>
</Properties>
</file>