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before="0" w:beforeLines="-2147483648" w:after="0" w:afterLines="-2147483648" w:line="240" w:lineRule="auto"/>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rPr>
        <w:t>、合成纤维</w:t>
      </w:r>
      <w:r>
        <w:rPr>
          <w:rFonts w:hint="eastAsia" w:ascii="黑体" w:hAnsi="黑体" w:eastAsia="黑体" w:cs="黑体"/>
          <w:b w:val="0"/>
          <w:bCs w:val="0"/>
          <w:sz w:val="32"/>
          <w:szCs w:val="32"/>
          <w:lang w:val="en-US" w:eastAsia="zh-CN"/>
        </w:rPr>
        <w:t>制造</w:t>
      </w:r>
      <w:r>
        <w:rPr>
          <w:rFonts w:hint="eastAsia" w:ascii="黑体" w:hAnsi="黑体" w:eastAsia="黑体" w:cs="黑体"/>
          <w:b w:val="0"/>
          <w:bCs w:val="0"/>
          <w:sz w:val="32"/>
          <w:szCs w:val="32"/>
        </w:rPr>
        <w:t>业VOCs治理</w:t>
      </w:r>
      <w:r>
        <w:rPr>
          <w:rFonts w:hint="eastAsia" w:ascii="黑体" w:hAnsi="黑体" w:eastAsia="黑体" w:cs="黑体"/>
          <w:b w:val="0"/>
          <w:bCs w:val="0"/>
          <w:sz w:val="32"/>
          <w:szCs w:val="32"/>
          <w:lang w:val="en-US" w:eastAsia="zh-CN"/>
        </w:rPr>
        <w:t>指引</w:t>
      </w:r>
    </w:p>
    <w:p>
      <w:pPr>
        <w:spacing w:before="0" w:beforeLines="0" w:after="0" w:afterLines="0" w:line="240" w:lineRule="auto"/>
        <w:ind w:firstLine="640" w:firstLineChars="200"/>
        <w:rPr>
          <w:rFonts w:hint="eastAsia" w:eastAsia="仿宋_GB2312"/>
          <w:b w:val="0"/>
          <w:bCs w:val="0"/>
          <w:sz w:val="32"/>
          <w:szCs w:val="32"/>
        </w:rPr>
      </w:pPr>
      <w:r>
        <w:rPr>
          <w:rFonts w:hint="eastAsia" w:eastAsia="仿宋_GB2312"/>
        </w:rPr>
        <w:t>适用范围：</w:t>
      </w:r>
      <w:r>
        <w:rPr>
          <w:rFonts w:hint="eastAsia" w:eastAsia="仿宋_GB2312"/>
          <w:lang w:val="en-US" w:eastAsia="zh-CN"/>
        </w:rPr>
        <w:t>适用于</w:t>
      </w:r>
      <w:r>
        <w:rPr>
          <w:rFonts w:hint="eastAsia" w:eastAsia="仿宋_GB2312"/>
        </w:rPr>
        <w:t>锦纶纤维制造</w:t>
      </w:r>
      <w:r>
        <w:rPr>
          <w:rFonts w:hint="eastAsia" w:eastAsia="仿宋_GB2312"/>
          <w:lang w:eastAsia="zh-CN"/>
        </w:rPr>
        <w:t>（</w:t>
      </w:r>
      <w:r>
        <w:rPr>
          <w:rFonts w:hint="eastAsia" w:eastAsia="仿宋_GB2312"/>
          <w:lang w:val="en-US" w:eastAsia="zh-CN"/>
        </w:rPr>
        <w:t>C2821</w:t>
      </w:r>
      <w:r>
        <w:rPr>
          <w:rFonts w:hint="eastAsia" w:eastAsia="仿宋_GB2312"/>
          <w:lang w:eastAsia="zh-CN"/>
        </w:rPr>
        <w:t>）、涤纶纤维制造（</w:t>
      </w:r>
      <w:r>
        <w:rPr>
          <w:rFonts w:hint="eastAsia" w:eastAsia="仿宋_GB2312"/>
          <w:lang w:val="en-US" w:eastAsia="zh-CN"/>
        </w:rPr>
        <w:t>C2822</w:t>
      </w:r>
      <w:r>
        <w:rPr>
          <w:rFonts w:hint="eastAsia" w:eastAsia="仿宋_GB2312"/>
          <w:lang w:eastAsia="zh-CN"/>
        </w:rPr>
        <w:t>）、腈纶纤维制造（</w:t>
      </w:r>
      <w:r>
        <w:rPr>
          <w:rFonts w:hint="eastAsia" w:eastAsia="仿宋_GB2312"/>
          <w:lang w:val="en-US" w:eastAsia="zh-CN"/>
        </w:rPr>
        <w:t>C2823</w:t>
      </w:r>
      <w:r>
        <w:rPr>
          <w:rFonts w:hint="eastAsia" w:eastAsia="仿宋_GB2312"/>
          <w:lang w:eastAsia="zh-CN"/>
        </w:rPr>
        <w:t>）、维纶纤维制造（</w:t>
      </w:r>
      <w:r>
        <w:rPr>
          <w:rFonts w:hint="eastAsia" w:eastAsia="仿宋_GB2312"/>
          <w:lang w:val="en-US" w:eastAsia="zh-CN"/>
        </w:rPr>
        <w:t>C2824</w:t>
      </w:r>
      <w:r>
        <w:rPr>
          <w:rFonts w:hint="eastAsia" w:eastAsia="仿宋_GB2312"/>
          <w:lang w:eastAsia="zh-CN"/>
        </w:rPr>
        <w:t>）、丙纶纤</w:t>
      </w:r>
      <w:bookmarkStart w:id="0" w:name="_GoBack"/>
      <w:bookmarkEnd w:id="0"/>
      <w:r>
        <w:rPr>
          <w:rFonts w:hint="eastAsia" w:eastAsia="仿宋_GB2312"/>
          <w:lang w:eastAsia="zh-CN"/>
        </w:rPr>
        <w:t>维制造（</w:t>
      </w:r>
      <w:r>
        <w:rPr>
          <w:rFonts w:hint="eastAsia" w:eastAsia="仿宋_GB2312"/>
          <w:lang w:val="en-US" w:eastAsia="zh-CN"/>
        </w:rPr>
        <w:t>C2825</w:t>
      </w:r>
      <w:r>
        <w:rPr>
          <w:rFonts w:hint="eastAsia" w:eastAsia="仿宋_GB2312"/>
          <w:lang w:eastAsia="zh-CN"/>
        </w:rPr>
        <w:t>）、氨纶纤维制造（</w:t>
      </w:r>
      <w:r>
        <w:rPr>
          <w:rFonts w:hint="eastAsia" w:eastAsia="仿宋_GB2312"/>
          <w:lang w:val="en-US" w:eastAsia="zh-CN"/>
        </w:rPr>
        <w:t>C2826</w:t>
      </w:r>
      <w:r>
        <w:rPr>
          <w:rFonts w:hint="eastAsia" w:eastAsia="仿宋_GB2312"/>
          <w:lang w:eastAsia="zh-CN"/>
        </w:rPr>
        <w:t>）</w:t>
      </w:r>
      <w:r>
        <w:rPr>
          <w:rFonts w:hint="eastAsia" w:eastAsia="仿宋_GB2312"/>
          <w:lang w:val="en-US" w:eastAsia="zh-CN"/>
        </w:rPr>
        <w:t>及其他合成纤维制造（C2829）</w:t>
      </w:r>
      <w:r>
        <w:rPr>
          <w:rFonts w:hint="eastAsia" w:eastAsia="仿宋_GB2312"/>
        </w:rPr>
        <w:t>工业企业或生产设施。</w:t>
      </w:r>
    </w:p>
    <w:tbl>
      <w:tblPr>
        <w:tblStyle w:val="11"/>
        <w:tblW w:w="155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221"/>
        <w:gridCol w:w="9690"/>
        <w:gridCol w:w="1290"/>
        <w:gridCol w:w="1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72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序号</w:t>
            </w:r>
          </w:p>
        </w:tc>
        <w:tc>
          <w:tcPr>
            <w:tcW w:w="222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环节</w:t>
            </w:r>
          </w:p>
        </w:tc>
        <w:tc>
          <w:tcPr>
            <w:tcW w:w="96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控制要求</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实施要求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85"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b/>
                <w:bCs/>
                <w:sz w:val="24"/>
                <w:szCs w:val="24"/>
              </w:rPr>
              <w:t>源头削减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20" w:type="dxa"/>
            <w:shd w:val="clear" w:color="auto" w:fill="auto"/>
            <w:vAlign w:val="center"/>
          </w:tcPr>
          <w:p>
            <w:pPr>
              <w:keepNext w:val="0"/>
              <w:keepLines w:val="0"/>
              <w:pageBreakBefore w:val="0"/>
              <w:widowControl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eastAsia" w:eastAsia="楷体_GB2312"/>
                <w:sz w:val="24"/>
                <w:szCs w:val="24"/>
              </w:rPr>
            </w:pPr>
            <w:r>
              <w:rPr>
                <w:rFonts w:hint="eastAsia" w:ascii="Times New Roman" w:hAnsi="Times New Roman" w:eastAsia="楷体_GB2312" w:cs="Times New Roman"/>
                <w:sz w:val="24"/>
                <w:szCs w:val="24"/>
                <w:lang w:val="en-US" w:eastAsia="zh-CN"/>
              </w:rPr>
              <w:t>1</w:t>
            </w:r>
          </w:p>
        </w:tc>
        <w:tc>
          <w:tcPr>
            <w:tcW w:w="22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生产工艺</w:t>
            </w: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使用先进生产工艺。采用全密闭、连续化、自动化等生产技术，以及高效工艺与设备。</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推荐</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9</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20" w:type="dxa"/>
            <w:shd w:val="clear" w:color="auto" w:fill="auto"/>
            <w:vAlign w:val="center"/>
          </w:tcPr>
          <w:p>
            <w:pPr>
              <w:keepNext w:val="0"/>
              <w:keepLines w:val="0"/>
              <w:pageBreakBefore w:val="0"/>
              <w:widowControl w:val="0"/>
              <w:numPr>
                <w:ilvl w:val="-1"/>
                <w:numId w:val="0"/>
              </w:numPr>
              <w:kinsoku/>
              <w:wordWrap/>
              <w:overflowPunct/>
              <w:topLinePunct w:val="0"/>
              <w:autoSpaceDE/>
              <w:autoSpaceDN/>
              <w:bidi w:val="0"/>
              <w:adjustRightInd/>
              <w:snapToGrid/>
              <w:spacing w:line="300" w:lineRule="exact"/>
              <w:ind w:left="0" w:firstLine="0" w:firstLineChars="0"/>
              <w:jc w:val="center"/>
              <w:textAlignment w:val="auto"/>
              <w:rPr>
                <w:rFonts w:hint="eastAsia" w:eastAsia="楷体_GB2312"/>
                <w:sz w:val="24"/>
                <w:szCs w:val="24"/>
              </w:rPr>
            </w:pPr>
            <w:r>
              <w:rPr>
                <w:rFonts w:hint="eastAsia" w:ascii="Times New Roman" w:hAnsi="Times New Roman" w:eastAsia="楷体_GB2312" w:cs="Times New Roman"/>
                <w:sz w:val="24"/>
                <w:szCs w:val="24"/>
                <w:lang w:val="en-US" w:eastAsia="zh-CN"/>
              </w:rPr>
              <w:t>2</w:t>
            </w:r>
          </w:p>
        </w:tc>
        <w:tc>
          <w:tcPr>
            <w:tcW w:w="2221" w:type="dxa"/>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ascii="Times New Roman" w:hAnsi="Times New Roman" w:eastAsia="楷体_GB2312" w:cs="Times New Roman"/>
                <w:color w:val="000000"/>
                <w:kern w:val="0"/>
                <w:sz w:val="24"/>
                <w:szCs w:val="24"/>
                <w:lang w:bidi="ar"/>
              </w:rPr>
              <w:t>低（无）泄漏设备</w:t>
            </w:r>
          </w:p>
        </w:tc>
        <w:tc>
          <w:tcPr>
            <w:tcW w:w="9690" w:type="dxa"/>
            <w:shd w:val="clear" w:color="auto" w:fill="auto"/>
            <w:vAlign w:val="center"/>
          </w:tcPr>
          <w:p>
            <w:pPr>
              <w:spacing w:line="30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使用无泄漏、低泄漏的泵、压缩机、过滤机、离心机、干燥设备等。</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推荐</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9</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85"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w:t>
            </w:r>
          </w:p>
        </w:tc>
        <w:tc>
          <w:tcPr>
            <w:tcW w:w="222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VOCs物料储存</w:t>
            </w:r>
          </w:p>
        </w:tc>
        <w:tc>
          <w:tcPr>
            <w:tcW w:w="96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auto"/>
              <w:rPr>
                <w:rFonts w:hint="default" w:eastAsia="楷体_GB2312"/>
                <w:sz w:val="24"/>
                <w:szCs w:val="24"/>
              </w:rPr>
            </w:pPr>
            <w:r>
              <w:rPr>
                <w:rFonts w:hint="default" w:eastAsia="楷体_GB2312"/>
                <w:sz w:val="24"/>
                <w:szCs w:val="24"/>
              </w:rPr>
              <w:t>VOCs物料应储存于密闭的容器、包装袋、储罐、储库、料仓中。</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auto"/>
              <w:rPr>
                <w:rFonts w:hint="default" w:eastAsia="楷体_GB2312"/>
                <w:sz w:val="24"/>
                <w:szCs w:val="24"/>
              </w:rPr>
            </w:pPr>
            <w:r>
              <w:rPr>
                <w:rFonts w:hint="default" w:eastAsia="楷体_GB2312"/>
                <w:sz w:val="24"/>
                <w:szCs w:val="24"/>
              </w:rPr>
              <w:t>盛装VOCs物料的容器是否存放于室内，或存放于设置有雨棚、遮阳和防渗设施的专用场地。盛装VOCs物料的容器在非取用状态时应加盖、封口，保持密闭。</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5</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储存真实蒸气压≥76.6 kPa的挥发性有机液体储罐，采用低压罐、压力罐或其他等效措施。</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6</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kinsoku/>
              <w:wordWrap/>
              <w:overflowPunct/>
              <w:topLinePunct w:val="0"/>
              <w:autoSpaceDE/>
              <w:autoSpaceDN/>
              <w:bidi w:val="0"/>
              <w:adjustRightInd/>
              <w:snapToGrid/>
              <w:spacing w:line="320" w:lineRule="exact"/>
              <w:ind w:firstLine="0" w:firstLineChars="0"/>
              <w:jc w:val="left"/>
              <w:textAlignment w:val="auto"/>
              <w:rPr>
                <w:rFonts w:hint="default" w:eastAsia="楷体_GB2312"/>
                <w:sz w:val="24"/>
                <w:szCs w:val="24"/>
              </w:rPr>
            </w:pPr>
            <w:r>
              <w:rPr>
                <w:rFonts w:hint="default" w:eastAsia="楷体_GB2312"/>
                <w:sz w:val="24"/>
                <w:szCs w:val="24"/>
              </w:rPr>
              <w:t>储存真实蒸气压≥27.6 kPa但＜76.6 kPa且储罐容积≥75</w:t>
            </w:r>
            <w:r>
              <w:rPr>
                <w:rFonts w:hint="default" w:eastAsia="楷体_GB2312"/>
                <w:sz w:val="24"/>
                <w:szCs w:val="24"/>
                <w:lang w:val="en-US" w:eastAsia="zh-CN"/>
              </w:rPr>
              <w:t xml:space="preserve"> </w:t>
            </w:r>
            <w:r>
              <w:rPr>
                <w:rFonts w:hint="default" w:eastAsia="楷体_GB2312"/>
                <w:sz w:val="24"/>
                <w:szCs w:val="24"/>
              </w:rPr>
              <w:t>m</w:t>
            </w:r>
            <w:r>
              <w:rPr>
                <w:rFonts w:hint="default" w:eastAsia="楷体_GB2312"/>
                <w:sz w:val="24"/>
                <w:szCs w:val="24"/>
                <w:vertAlign w:val="superscript"/>
              </w:rPr>
              <w:t>3</w:t>
            </w:r>
            <w:r>
              <w:rPr>
                <w:rFonts w:hint="default" w:eastAsia="楷体_GB2312"/>
                <w:sz w:val="24"/>
                <w:szCs w:val="24"/>
              </w:rPr>
              <w:t>的挥发性有机液体储罐，符合下列规定之一：</w:t>
            </w:r>
          </w:p>
          <w:p>
            <w:pPr>
              <w:keepNext w:val="0"/>
              <w:keepLines w:val="0"/>
              <w:pageBreakBefore w:val="0"/>
              <w:kinsoku/>
              <w:wordWrap/>
              <w:overflowPunct/>
              <w:topLinePunct w:val="0"/>
              <w:autoSpaceDE/>
              <w:autoSpaceDN/>
              <w:bidi w:val="0"/>
              <w:adjustRightInd/>
              <w:snapToGrid/>
              <w:spacing w:line="320" w:lineRule="exact"/>
              <w:ind w:firstLine="0" w:firstLineChars="0"/>
              <w:jc w:val="left"/>
              <w:textAlignment w:val="auto"/>
              <w:rPr>
                <w:rFonts w:hint="default" w:eastAsia="楷体_GB2312"/>
                <w:sz w:val="24"/>
                <w:szCs w:val="24"/>
              </w:rPr>
            </w:pPr>
            <w:r>
              <w:rPr>
                <w:rFonts w:hint="default" w:eastAsia="楷体_GB2312"/>
                <w:sz w:val="24"/>
                <w:szCs w:val="24"/>
              </w:rPr>
              <w:t>a）采用浮顶罐。对于内浮顶罐，浮顶与罐壁之间采用浸液式密封、机械式鞋形密封等高效密封方式；对于外浮顶罐，浮顶与罐壁之间采用双重密封，且一次密封采用浸液式密封、机械式鞋形密封等高效密封方式；</w:t>
            </w:r>
          </w:p>
          <w:p>
            <w:pPr>
              <w:keepNext w:val="0"/>
              <w:keepLines w:val="0"/>
              <w:pageBreakBefore w:val="0"/>
              <w:kinsoku/>
              <w:wordWrap/>
              <w:overflowPunct/>
              <w:topLinePunct w:val="0"/>
              <w:autoSpaceDE/>
              <w:autoSpaceDN/>
              <w:bidi w:val="0"/>
              <w:adjustRightInd/>
              <w:snapToGrid/>
              <w:spacing w:line="320" w:lineRule="exact"/>
              <w:ind w:firstLine="0" w:firstLineChars="0"/>
              <w:jc w:val="left"/>
              <w:textAlignment w:val="auto"/>
              <w:rPr>
                <w:rFonts w:hint="default" w:eastAsia="楷体_GB2312"/>
                <w:sz w:val="24"/>
                <w:szCs w:val="24"/>
              </w:rPr>
            </w:pPr>
            <w:r>
              <w:rPr>
                <w:rFonts w:hint="default" w:eastAsia="楷体_GB2312"/>
                <w:sz w:val="24"/>
                <w:szCs w:val="24"/>
              </w:rPr>
              <w:t>b）采用固定顶罐，排放的废气收集处理达标排放，或者处理效率不低于</w:t>
            </w:r>
            <w:r>
              <w:rPr>
                <w:rFonts w:hint="default" w:eastAsia="楷体_GB2312"/>
                <w:sz w:val="24"/>
                <w:szCs w:val="24"/>
                <w:lang w:val="en-US" w:eastAsia="zh-CN"/>
              </w:rPr>
              <w:t>8</w:t>
            </w:r>
            <w:r>
              <w:rPr>
                <w:rFonts w:hint="default" w:eastAsia="楷体_GB2312"/>
                <w:sz w:val="24"/>
                <w:szCs w:val="24"/>
              </w:rPr>
              <w:t>0%；</w:t>
            </w:r>
          </w:p>
          <w:p>
            <w:pPr>
              <w:keepNext w:val="0"/>
              <w:keepLines w:val="0"/>
              <w:pageBreakBefore w:val="0"/>
              <w:kinsoku/>
              <w:wordWrap/>
              <w:overflowPunct/>
              <w:topLinePunct w:val="0"/>
              <w:autoSpaceDE/>
              <w:autoSpaceDN/>
              <w:bidi w:val="0"/>
              <w:adjustRightInd/>
              <w:snapToGrid/>
              <w:spacing w:line="320" w:lineRule="exact"/>
              <w:ind w:firstLine="0" w:firstLineChars="0"/>
              <w:jc w:val="left"/>
              <w:textAlignment w:val="auto"/>
              <w:rPr>
                <w:rFonts w:hint="default" w:eastAsia="楷体_GB2312"/>
                <w:sz w:val="24"/>
                <w:szCs w:val="24"/>
                <w:lang w:eastAsia="zh-CN"/>
              </w:rPr>
            </w:pPr>
            <w:r>
              <w:rPr>
                <w:rFonts w:hint="default" w:eastAsia="楷体_GB2312"/>
                <w:sz w:val="24"/>
                <w:szCs w:val="24"/>
              </w:rPr>
              <w:t>c）采用气相平衡系统</w:t>
            </w:r>
            <w:r>
              <w:rPr>
                <w:rFonts w:hint="default" w:eastAsia="楷体_GB2312"/>
                <w:sz w:val="24"/>
                <w:szCs w:val="24"/>
                <w:lang w:eastAsia="zh-CN"/>
              </w:rPr>
              <w:t>；</w:t>
            </w:r>
          </w:p>
          <w:p>
            <w:pPr>
              <w:keepNext w:val="0"/>
              <w:keepLines w:val="0"/>
              <w:pageBreakBefore w:val="0"/>
              <w:kinsoku/>
              <w:wordWrap/>
              <w:overflowPunct/>
              <w:topLinePunct w:val="0"/>
              <w:autoSpaceDE/>
              <w:autoSpaceDN/>
              <w:bidi w:val="0"/>
              <w:adjustRightInd/>
              <w:snapToGrid/>
              <w:spacing w:line="320" w:lineRule="exact"/>
              <w:ind w:firstLine="0" w:firstLineChars="0"/>
              <w:jc w:val="left"/>
              <w:textAlignment w:val="auto"/>
              <w:rPr>
                <w:rFonts w:hint="default" w:eastAsia="楷体_GB2312"/>
                <w:sz w:val="24"/>
                <w:szCs w:val="24"/>
                <w:lang w:eastAsia="zh-CN"/>
              </w:rPr>
            </w:pPr>
            <w:r>
              <w:rPr>
                <w:rFonts w:hint="default" w:eastAsia="楷体_GB2312"/>
                <w:sz w:val="24"/>
                <w:szCs w:val="24"/>
                <w:lang w:val="en-US" w:eastAsia="zh-CN"/>
              </w:rPr>
              <w:t>d）采用其他等效措施。</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7</w:t>
            </w:r>
          </w:p>
        </w:tc>
        <w:tc>
          <w:tcPr>
            <w:tcW w:w="2221"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VOCs物料</w:t>
            </w:r>
            <w:r>
              <w:rPr>
                <w:rFonts w:hint="default" w:eastAsia="楷体_GB2312"/>
                <w:sz w:val="24"/>
                <w:szCs w:val="24"/>
              </w:rPr>
              <w:t>转移和输送</w:t>
            </w:r>
          </w:p>
        </w:tc>
        <w:tc>
          <w:tcPr>
            <w:tcW w:w="9690" w:type="dxa"/>
            <w:vAlign w:val="center"/>
          </w:tcPr>
          <w:p>
            <w:pPr>
              <w:keepNext w:val="0"/>
              <w:keepLines w:val="0"/>
              <w:pageBreakBefore w:val="0"/>
              <w:kinsoku/>
              <w:wordWrap/>
              <w:overflowPunct/>
              <w:topLinePunct w:val="0"/>
              <w:autoSpaceDE/>
              <w:autoSpaceDN/>
              <w:bidi w:val="0"/>
              <w:adjustRightInd/>
              <w:snapToGrid/>
              <w:spacing w:line="320" w:lineRule="exact"/>
              <w:ind w:firstLine="0" w:firstLineChars="0"/>
              <w:jc w:val="left"/>
              <w:textAlignment w:val="auto"/>
              <w:rPr>
                <w:rFonts w:hint="default" w:eastAsia="楷体_GB2312"/>
                <w:sz w:val="24"/>
                <w:szCs w:val="24"/>
              </w:rPr>
            </w:pPr>
            <w:r>
              <w:rPr>
                <w:rFonts w:hint="default" w:eastAsia="楷体_GB2312"/>
                <w:sz w:val="24"/>
                <w:szCs w:val="24"/>
              </w:rPr>
              <w:t>液体VOCs物料应采用管道密闭输送。采用非管道输送方式转移液态VOCs物料时，应采用密闭容器或罐车。</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8</w:t>
            </w:r>
          </w:p>
        </w:tc>
        <w:tc>
          <w:tcPr>
            <w:tcW w:w="2221"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val="en-US" w:eastAsia="zh-CN" w:bidi="ar"/>
              </w:rPr>
            </w:pPr>
            <w:r>
              <w:rPr>
                <w:rFonts w:hint="default" w:eastAsia="楷体_GB2312"/>
                <w:color w:val="000000"/>
                <w:kern w:val="0"/>
                <w:sz w:val="24"/>
                <w:szCs w:val="24"/>
                <w:lang w:val="en-US" w:eastAsia="zh-CN" w:bidi="ar"/>
              </w:rPr>
              <w:t>工艺过程</w:t>
            </w:r>
          </w:p>
        </w:tc>
        <w:tc>
          <w:tcPr>
            <w:tcW w:w="9690" w:type="dxa"/>
            <w:vAlign w:val="center"/>
          </w:tcPr>
          <w:p>
            <w:pPr>
              <w:keepNext w:val="0"/>
              <w:keepLines w:val="0"/>
              <w:pageBreakBefore w:val="0"/>
              <w:kinsoku/>
              <w:wordWrap/>
              <w:overflowPunct/>
              <w:topLinePunct w:val="0"/>
              <w:autoSpaceDE/>
              <w:autoSpaceDN/>
              <w:bidi w:val="0"/>
              <w:adjustRightInd/>
              <w:snapToGrid/>
              <w:spacing w:line="320" w:lineRule="exact"/>
              <w:ind w:firstLine="0" w:firstLineChars="0"/>
              <w:jc w:val="left"/>
              <w:textAlignment w:val="auto"/>
              <w:rPr>
                <w:rFonts w:hint="default" w:eastAsia="楷体_GB2312"/>
                <w:sz w:val="24"/>
                <w:szCs w:val="24"/>
                <w:lang w:val="en-US" w:eastAsia="zh-CN"/>
              </w:rPr>
            </w:pPr>
            <w:r>
              <w:rPr>
                <w:rFonts w:hint="default" w:eastAsia="楷体_GB2312"/>
                <w:sz w:val="24"/>
                <w:szCs w:val="24"/>
                <w:lang w:val="en-US" w:eastAsia="zh-CN"/>
              </w:rPr>
              <w:t>醋片生产、聚合、缩聚、气提、酯化、纺丝、溶剂回收、溶解、水洗、过滤、抽真空、精制等涉VOCs工序</w:t>
            </w:r>
            <w:r>
              <w:rPr>
                <w:rFonts w:hint="default" w:eastAsia="楷体_GB2312"/>
                <w:sz w:val="24"/>
                <w:szCs w:val="24"/>
              </w:rPr>
              <w:t>应采用密闭设备或在密闭空间中操作，废气应排至VOCs废气收集处理系统；无法密闭的，应采取局部气体收集措施，废气应排至VOCs废气收集处理系统</w:t>
            </w:r>
            <w:r>
              <w:rPr>
                <w:rFonts w:hint="default" w:eastAsia="楷体_GB2312"/>
                <w:sz w:val="24"/>
                <w:szCs w:val="24"/>
                <w:lang w:eastAsia="zh-CN"/>
              </w:rPr>
              <w:t>。</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4</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9</w:t>
            </w:r>
          </w:p>
        </w:tc>
        <w:tc>
          <w:tcPr>
            <w:tcW w:w="2221"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敞开液面</w:t>
            </w:r>
          </w:p>
        </w:tc>
        <w:tc>
          <w:tcPr>
            <w:tcW w:w="9690" w:type="dxa"/>
            <w:vAlign w:val="top"/>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对于工艺过程排放的含VOCs废水集输系统，应符合以下规定规定之一：</w:t>
            </w:r>
          </w:p>
          <w:p>
            <w:pPr>
              <w:keepNext w:val="0"/>
              <w:keepLines w:val="0"/>
              <w:pageBreakBefore w:val="0"/>
              <w:numPr>
                <w:ilvl w:val="0"/>
                <w:numId w:val="1"/>
              </w:numPr>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采用密闭管道输送，接入口和排出口采取与环境空气隔离的措施；</w:t>
            </w:r>
          </w:p>
          <w:p>
            <w:pPr>
              <w:keepNext w:val="0"/>
              <w:keepLines w:val="0"/>
              <w:pageBreakBefore w:val="0"/>
              <w:numPr>
                <w:ilvl w:val="0"/>
                <w:numId w:val="1"/>
              </w:numPr>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采用沟渠输送，若敞开液面上方100</w:t>
            </w:r>
            <w:r>
              <w:rPr>
                <w:rFonts w:hint="default" w:eastAsia="楷体_GB2312"/>
                <w:sz w:val="24"/>
                <w:szCs w:val="24"/>
                <w:lang w:val="en-US" w:eastAsia="zh-CN"/>
              </w:rPr>
              <w:t xml:space="preserve"> </w:t>
            </w:r>
            <w:r>
              <w:rPr>
                <w:rFonts w:hint="default" w:eastAsia="楷体_GB2312"/>
                <w:sz w:val="24"/>
                <w:szCs w:val="24"/>
              </w:rPr>
              <w:t>mm处VOCs检测浓度</w:t>
            </w:r>
            <w:r>
              <w:rPr>
                <w:rFonts w:hint="default" w:eastAsia="楷体_GB2312"/>
                <w:color w:val="000000"/>
                <w:kern w:val="0"/>
                <w:sz w:val="24"/>
                <w:szCs w:val="24"/>
              </w:rPr>
              <w:t>≥200</w:t>
            </w:r>
            <w:r>
              <w:rPr>
                <w:rFonts w:hint="default" w:eastAsia="楷体_GB2312"/>
                <w:color w:val="000000"/>
                <w:kern w:val="0"/>
                <w:sz w:val="24"/>
                <w:szCs w:val="24"/>
                <w:lang w:val="en-US" w:eastAsia="zh-CN"/>
              </w:rPr>
              <w:t xml:space="preserve"> </w:t>
            </w:r>
            <w:r>
              <w:rPr>
                <w:rFonts w:hint="default" w:eastAsia="楷体_GB2312"/>
                <w:color w:val="000000"/>
                <w:kern w:val="0"/>
                <w:sz w:val="24"/>
                <w:szCs w:val="24"/>
              </w:rPr>
              <w:t>μmol/mol，应加盖密闭，接入口和</w:t>
            </w:r>
            <w:r>
              <w:rPr>
                <w:rFonts w:hint="default" w:eastAsia="楷体_GB2312"/>
                <w:sz w:val="24"/>
                <w:szCs w:val="24"/>
              </w:rPr>
              <w:t>排出口采取与环境空气隔离的措施。</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10</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含VOCs废水储存和处理设施敞开液面上方100</w:t>
            </w:r>
            <w:r>
              <w:rPr>
                <w:rFonts w:hint="default" w:eastAsia="楷体_GB2312"/>
                <w:sz w:val="24"/>
                <w:szCs w:val="24"/>
                <w:lang w:val="en-US" w:eastAsia="zh-CN"/>
              </w:rPr>
              <w:t xml:space="preserve"> </w:t>
            </w:r>
            <w:r>
              <w:rPr>
                <w:rFonts w:hint="default" w:eastAsia="楷体_GB2312"/>
                <w:sz w:val="24"/>
                <w:szCs w:val="24"/>
              </w:rPr>
              <w:t>mm处VOCs检测浓度</w:t>
            </w:r>
            <w:r>
              <w:rPr>
                <w:rFonts w:hint="default" w:eastAsia="楷体_GB2312"/>
                <w:color w:val="000000"/>
                <w:kern w:val="0"/>
                <w:sz w:val="24"/>
                <w:szCs w:val="24"/>
              </w:rPr>
              <w:t>≥200</w:t>
            </w:r>
            <w:r>
              <w:rPr>
                <w:rFonts w:hint="default" w:eastAsia="楷体_GB2312"/>
                <w:color w:val="000000"/>
                <w:kern w:val="0"/>
                <w:sz w:val="24"/>
                <w:szCs w:val="24"/>
                <w:lang w:val="en-US" w:eastAsia="zh-CN"/>
              </w:rPr>
              <w:t xml:space="preserve"> </w:t>
            </w:r>
            <w:r>
              <w:rPr>
                <w:rFonts w:hint="default" w:eastAsia="楷体_GB2312"/>
                <w:color w:val="000000"/>
                <w:kern w:val="0"/>
                <w:sz w:val="24"/>
                <w:szCs w:val="24"/>
              </w:rPr>
              <w:t>μmol/mol，</w:t>
            </w:r>
            <w:r>
              <w:rPr>
                <w:rFonts w:hint="default" w:eastAsia="楷体_GB2312"/>
                <w:sz w:val="24"/>
                <w:szCs w:val="24"/>
              </w:rPr>
              <w:t>应符合以下规定规定之一：</w:t>
            </w:r>
          </w:p>
          <w:p>
            <w:pPr>
              <w:keepNext w:val="0"/>
              <w:keepLines w:val="0"/>
              <w:pageBreakBefore w:val="0"/>
              <w:numPr>
                <w:ilvl w:val="0"/>
                <w:numId w:val="2"/>
              </w:numPr>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采用浮动顶盖；</w:t>
            </w:r>
          </w:p>
          <w:p>
            <w:pPr>
              <w:keepNext w:val="0"/>
              <w:keepLines w:val="0"/>
              <w:pageBreakBefore w:val="0"/>
              <w:numPr>
                <w:ilvl w:val="0"/>
                <w:numId w:val="2"/>
              </w:numPr>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采用固定顶盖，收集废气至VOCs废气收集处理系统；</w:t>
            </w:r>
          </w:p>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c）其他等效措施。</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11</w:t>
            </w:r>
          </w:p>
        </w:tc>
        <w:tc>
          <w:tcPr>
            <w:tcW w:w="2221"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非正常排放</w:t>
            </w:r>
          </w:p>
        </w:tc>
        <w:tc>
          <w:tcPr>
            <w:tcW w:w="9690" w:type="dxa"/>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载有VOCs物料的设备及其管道在开停工（车）、检维修和清洗时，应在退料阶段将残存物料退净，并用密闭容器盛装，退料过程废气应排至VOCs废气收集处理系统；清洗及吹扫过程排气应排至VOCs废气收集处理系统。</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12</w:t>
            </w:r>
          </w:p>
        </w:tc>
        <w:tc>
          <w:tcPr>
            <w:tcW w:w="2221" w:type="dxa"/>
            <w:vMerge w:val="restart"/>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val="en-US" w:eastAsia="zh-CN" w:bidi="ar"/>
              </w:rPr>
            </w:pPr>
            <w:r>
              <w:rPr>
                <w:rFonts w:hint="default" w:ascii="Times New Roman" w:hAnsi="Times New Roman" w:eastAsia="楷体_GB2312" w:cs="Times New Roman"/>
                <w:color w:val="000000"/>
                <w:kern w:val="0"/>
                <w:sz w:val="24"/>
                <w:szCs w:val="24"/>
                <w:lang w:bidi="ar"/>
              </w:rPr>
              <w:t>设备</w:t>
            </w:r>
            <w:r>
              <w:rPr>
                <w:rFonts w:hint="default" w:eastAsia="楷体_GB2312" w:cs="Times New Roman"/>
                <w:color w:val="000000"/>
                <w:kern w:val="0"/>
                <w:sz w:val="24"/>
                <w:szCs w:val="24"/>
                <w:lang w:val="en-US" w:eastAsia="zh-CN" w:bidi="ar"/>
              </w:rPr>
              <w:t>与管线</w:t>
            </w:r>
          </w:p>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ascii="Times New Roman" w:hAnsi="Times New Roman" w:eastAsia="楷体_GB2312" w:cs="Times New Roman"/>
                <w:color w:val="000000"/>
                <w:kern w:val="0"/>
                <w:sz w:val="24"/>
                <w:szCs w:val="24"/>
                <w:lang w:bidi="ar"/>
              </w:rPr>
              <w:t>组件</w:t>
            </w:r>
            <w:r>
              <w:rPr>
                <w:rFonts w:hint="default" w:eastAsia="楷体_GB2312" w:cs="Times New Roman"/>
                <w:color w:val="000000"/>
                <w:kern w:val="0"/>
                <w:sz w:val="24"/>
                <w:szCs w:val="24"/>
                <w:lang w:val="en-US" w:eastAsia="zh-CN" w:bidi="ar"/>
              </w:rPr>
              <w:t>泄漏</w:t>
            </w:r>
          </w:p>
        </w:tc>
        <w:tc>
          <w:tcPr>
            <w:tcW w:w="9690" w:type="dxa"/>
            <w:vAlign w:val="center"/>
          </w:tcPr>
          <w:p>
            <w:pPr>
              <w:spacing w:line="29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载有气态VOCs物料、液态VOCs物料的设备与管线组件的密封点≥2000个，开展 LDAR工作。</w:t>
            </w:r>
          </w:p>
        </w:tc>
        <w:tc>
          <w:tcPr>
            <w:tcW w:w="1290"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1664"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13</w:t>
            </w:r>
          </w:p>
        </w:tc>
        <w:tc>
          <w:tcPr>
            <w:tcW w:w="2221" w:type="dxa"/>
            <w:vMerge w:val="continue"/>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按下列频次对设备与管线组件的密封点进行VOCs泄漏检测：</w:t>
            </w:r>
          </w:p>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a）泵、压缩机、搅拌器（机）、阀门、开口阀或开口管线、泄压设备、取样连接系统至少每6个月检测一次；</w:t>
            </w:r>
          </w:p>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b）法兰及其他连接件、其它密封设备至少每12个月检测一次；</w:t>
            </w:r>
          </w:p>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c）对于直接排放的泄压设备，在非泄压状态下进行泄漏检测；直接排放的泄压设备泄压后，应在泄压之日起5个工作日之内，对泄压设备进行泄漏检测；</w:t>
            </w:r>
          </w:p>
          <w:p>
            <w:pPr>
              <w:spacing w:line="29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d）设备与管线组件初次启用或检维修后，应在90天内进行泄漏检测。</w:t>
            </w:r>
          </w:p>
        </w:tc>
        <w:tc>
          <w:tcPr>
            <w:tcW w:w="1290"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1664"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14</w:t>
            </w:r>
          </w:p>
        </w:tc>
        <w:tc>
          <w:tcPr>
            <w:tcW w:w="2221" w:type="dxa"/>
            <w:vMerge w:val="continue"/>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spacing w:line="29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每三个月用OGI检测一次（发现泄漏点后，需采用FID检测仪定量确认）；新建装置或现有装置大修后应用FID检测仪进行一次定量检测。</w:t>
            </w:r>
          </w:p>
        </w:tc>
        <w:tc>
          <w:tcPr>
            <w:tcW w:w="1290"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推荐</w:t>
            </w:r>
          </w:p>
        </w:tc>
        <w:tc>
          <w:tcPr>
            <w:tcW w:w="1664"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15</w:t>
            </w:r>
          </w:p>
        </w:tc>
        <w:tc>
          <w:tcPr>
            <w:tcW w:w="2221" w:type="dxa"/>
            <w:vMerge w:val="continue"/>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spacing w:line="29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气态VOCs物料，泄漏认定浓度2000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µmol/mol；液态VOCs物料，挥发性有机液体泄漏认定浓度2000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µmol/mol，其他泄漏认定浓度50</w:t>
            </w:r>
            <w:r>
              <w:rPr>
                <w:rFonts w:hint="default" w:eastAsia="楷体_GB2312" w:cs="Times New Roman"/>
                <w:sz w:val="24"/>
                <w:szCs w:val="24"/>
                <w:lang w:val="en-US" w:eastAsia="zh-CN"/>
              </w:rPr>
              <w:t>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w:t>
            </w:r>
          </w:p>
        </w:tc>
        <w:tc>
          <w:tcPr>
            <w:tcW w:w="1290"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1664"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16</w:t>
            </w:r>
          </w:p>
        </w:tc>
        <w:tc>
          <w:tcPr>
            <w:tcW w:w="2221" w:type="dxa"/>
            <w:vMerge w:val="continue"/>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spacing w:line="29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有机气体和挥发性有机液体流经的设备与管线组件泄漏检测值≤500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 其他挥发性有机物流经的设备与管线组件泄漏检测值≤100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w:t>
            </w:r>
          </w:p>
        </w:tc>
        <w:tc>
          <w:tcPr>
            <w:tcW w:w="1290"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推荐</w:t>
            </w:r>
          </w:p>
        </w:tc>
        <w:tc>
          <w:tcPr>
            <w:tcW w:w="1664"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17</w:t>
            </w:r>
          </w:p>
        </w:tc>
        <w:tc>
          <w:tcPr>
            <w:tcW w:w="2221" w:type="dxa"/>
            <w:vMerge w:val="continue"/>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spacing w:line="29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当检测到泄漏时，对泄漏源应予以表示并及时修复；发现泄漏之日起5天内应进行首次修复；除纳入延迟维修的泄漏源，应在发现泄漏之日起15天内完成修复。</w:t>
            </w:r>
          </w:p>
        </w:tc>
        <w:tc>
          <w:tcPr>
            <w:tcW w:w="1290"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1664"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bottom w:val="nil"/>
            </w:tcBorders>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18</w:t>
            </w:r>
          </w:p>
        </w:tc>
        <w:tc>
          <w:tcPr>
            <w:tcW w:w="2221" w:type="dxa"/>
            <w:vMerge w:val="continue"/>
            <w:tcBorders>
              <w:bottom w:val="nil"/>
            </w:tcBorders>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tcBorders>
              <w:bottom w:val="nil"/>
            </w:tcBorders>
            <w:vAlign w:val="center"/>
          </w:tcPr>
          <w:p>
            <w:pPr>
              <w:spacing w:line="30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若泄漏浓度超过10000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μmol/mol，企业宜在48小时内进行首次尝试维修。</w:t>
            </w:r>
          </w:p>
        </w:tc>
        <w:tc>
          <w:tcPr>
            <w:tcW w:w="1290" w:type="dxa"/>
            <w:tcBorders>
              <w:bottom w:val="nil"/>
            </w:tcBorders>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推荐</w:t>
            </w:r>
          </w:p>
        </w:tc>
        <w:tc>
          <w:tcPr>
            <w:tcW w:w="1664" w:type="dxa"/>
            <w:tcBorders>
              <w:bottom w:val="nil"/>
            </w:tcBorders>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85"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b/>
                <w:bCs/>
                <w:sz w:val="24"/>
                <w:szCs w:val="24"/>
              </w:rPr>
              <w:t>末端治理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19</w:t>
            </w:r>
          </w:p>
        </w:tc>
        <w:tc>
          <w:tcPr>
            <w:tcW w:w="222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废气收集</w:t>
            </w: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color w:val="000000"/>
                <w:kern w:val="0"/>
                <w:sz w:val="24"/>
                <w:szCs w:val="24"/>
              </w:rPr>
              <w:t>采用外部集气罩的，距集气罩开口面最远处的VOCs无组织排放位置，控制风速不低于0.3m/s。</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lang w:eastAsia="zh-CN"/>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9</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20</w:t>
            </w:r>
          </w:p>
        </w:tc>
        <w:tc>
          <w:tcPr>
            <w:tcW w:w="22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color w:val="000000"/>
                <w:kern w:val="0"/>
                <w:sz w:val="24"/>
                <w:szCs w:val="24"/>
              </w:rPr>
            </w:pPr>
            <w:r>
              <w:rPr>
                <w:rFonts w:hint="default" w:eastAsia="楷体_GB2312"/>
                <w:color w:val="000000"/>
                <w:kern w:val="0"/>
                <w:sz w:val="24"/>
                <w:szCs w:val="24"/>
              </w:rPr>
              <w:t>废气收集系统的输送管道应密闭。废气收集系统应在负压下运行，若处于正压状态，应对管道组件的密封点进行泄漏检测，泄漏检测值不应超过500</w:t>
            </w:r>
            <w:r>
              <w:rPr>
                <w:rFonts w:hint="default" w:eastAsia="楷体_GB2312"/>
                <w:color w:val="000000"/>
                <w:kern w:val="0"/>
                <w:sz w:val="24"/>
                <w:szCs w:val="24"/>
                <w:lang w:val="en-US" w:eastAsia="zh-CN"/>
              </w:rPr>
              <w:t xml:space="preserve"> </w:t>
            </w:r>
            <w:r>
              <w:rPr>
                <w:rFonts w:hint="default" w:eastAsia="楷体_GB2312"/>
                <w:color w:val="000000"/>
                <w:kern w:val="0"/>
                <w:sz w:val="24"/>
                <w:szCs w:val="24"/>
              </w:rPr>
              <w:t>μmol/mol，亦不应有感官可察觉泄漏。</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21</w:t>
            </w:r>
          </w:p>
        </w:tc>
        <w:tc>
          <w:tcPr>
            <w:tcW w:w="222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val="en-US" w:eastAsia="zh-CN" w:bidi="ar"/>
              </w:rPr>
            </w:pPr>
            <w:r>
              <w:rPr>
                <w:rFonts w:hint="default" w:eastAsia="楷体_GB2312"/>
                <w:color w:val="000000"/>
                <w:kern w:val="0"/>
                <w:sz w:val="24"/>
                <w:szCs w:val="24"/>
                <w:lang w:bidi="ar"/>
              </w:rPr>
              <w:t>末端</w:t>
            </w:r>
            <w:r>
              <w:rPr>
                <w:rFonts w:hint="default" w:eastAsia="楷体_GB2312"/>
                <w:color w:val="000000"/>
                <w:kern w:val="0"/>
                <w:sz w:val="24"/>
                <w:szCs w:val="24"/>
                <w:lang w:val="en-US" w:eastAsia="zh-CN" w:bidi="ar"/>
              </w:rPr>
              <w:t>治理与</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val="en-US" w:eastAsia="zh-CN" w:bidi="ar"/>
              </w:rPr>
            </w:pPr>
            <w:r>
              <w:rPr>
                <w:rFonts w:hint="default" w:eastAsia="楷体_GB2312"/>
                <w:color w:val="000000"/>
                <w:kern w:val="0"/>
                <w:sz w:val="24"/>
                <w:szCs w:val="24"/>
                <w:lang w:val="en-US" w:eastAsia="zh-CN" w:bidi="ar"/>
              </w:rPr>
              <w:t>排放水平</w:t>
            </w: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lang w:val="en-US" w:eastAsia="zh-CN"/>
              </w:rPr>
            </w:pPr>
            <w:r>
              <w:rPr>
                <w:rFonts w:hint="default" w:eastAsia="楷体_GB2312"/>
                <w:sz w:val="24"/>
                <w:szCs w:val="24"/>
                <w:lang w:val="en-US" w:eastAsia="zh-CN"/>
              </w:rPr>
              <w:t>聚酯纤维醋片生产废气可采用吸收、蓄热燃烧等治理技术；醋酸回收尾气可采用热力焚烧、催化燃烧、蓄热燃烧等治理技术；丙酮回收、纺丝尾气可采用吸附、吸收等治理技术。</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lang w:val="en-US" w:eastAsia="zh-CN"/>
              </w:rPr>
            </w:pPr>
            <w:r>
              <w:rPr>
                <w:rFonts w:hint="default" w:eastAsia="楷体_GB2312"/>
                <w:sz w:val="24"/>
                <w:szCs w:val="24"/>
                <w:lang w:val="en-US" w:eastAsia="zh-CN"/>
              </w:rPr>
              <w:t>推荐</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lang w:eastAsia="zh-CN"/>
              </w:rPr>
            </w:pPr>
            <w:r>
              <w:rPr>
                <w:rFonts w:hint="default" w:eastAsia="楷体_GB2312"/>
                <w:sz w:val="24"/>
                <w:szCs w:val="24"/>
                <w:lang w:eastAsia="zh-CN"/>
              </w:rPr>
              <w:t>（</w:t>
            </w:r>
            <w:r>
              <w:rPr>
                <w:rFonts w:hint="default" w:eastAsia="楷体_GB2312"/>
                <w:sz w:val="24"/>
                <w:szCs w:val="24"/>
                <w:lang w:val="en-US" w:eastAsia="zh-CN"/>
              </w:rPr>
              <w:t>4</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22</w:t>
            </w:r>
          </w:p>
        </w:tc>
        <w:tc>
          <w:tcPr>
            <w:tcW w:w="22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lang w:val="en-US" w:eastAsia="zh-CN"/>
              </w:rPr>
            </w:pPr>
            <w:r>
              <w:rPr>
                <w:rFonts w:hint="default" w:eastAsia="楷体_GB2312"/>
                <w:sz w:val="24"/>
                <w:szCs w:val="24"/>
                <w:lang w:val="en-US" w:eastAsia="zh-CN"/>
              </w:rPr>
              <w:t>锦纶生产聚合废气可采用吸收等治理技术。</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lang w:val="en-US" w:eastAsia="zh-CN"/>
              </w:rPr>
              <w:t>推荐</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lang w:eastAsia="zh-CN"/>
              </w:rPr>
              <w:t>（</w:t>
            </w:r>
            <w:r>
              <w:rPr>
                <w:rFonts w:hint="default" w:eastAsia="楷体_GB2312"/>
                <w:sz w:val="24"/>
                <w:szCs w:val="24"/>
                <w:lang w:val="en-US" w:eastAsia="zh-CN"/>
              </w:rPr>
              <w:t>4</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23</w:t>
            </w:r>
          </w:p>
        </w:tc>
        <w:tc>
          <w:tcPr>
            <w:tcW w:w="22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lang w:val="en-US" w:eastAsia="zh-CN"/>
              </w:rPr>
            </w:pPr>
            <w:r>
              <w:rPr>
                <w:rFonts w:hint="default" w:eastAsia="楷体_GB2312"/>
                <w:sz w:val="24"/>
                <w:szCs w:val="24"/>
                <w:lang w:val="en-US" w:eastAsia="zh-CN"/>
              </w:rPr>
              <w:t>涤纶生产聚合废气可采用热力焚烧等治理技术；缩聚、气提和酯化废气可采用吸收等治理技术。</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lang w:val="en-US" w:eastAsia="zh-CN"/>
              </w:rPr>
              <w:t>推荐</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lang w:eastAsia="zh-CN"/>
              </w:rPr>
              <w:t>（</w:t>
            </w:r>
            <w:r>
              <w:rPr>
                <w:rFonts w:hint="default" w:eastAsia="楷体_GB2312"/>
                <w:sz w:val="24"/>
                <w:szCs w:val="24"/>
                <w:lang w:val="en-US" w:eastAsia="zh-CN"/>
              </w:rPr>
              <w:t>4</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24</w:t>
            </w:r>
          </w:p>
        </w:tc>
        <w:tc>
          <w:tcPr>
            <w:tcW w:w="22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lang w:val="en-US" w:eastAsia="zh-CN"/>
              </w:rPr>
            </w:pPr>
            <w:r>
              <w:rPr>
                <w:rFonts w:hint="default" w:eastAsia="楷体_GB2312"/>
                <w:sz w:val="24"/>
                <w:szCs w:val="24"/>
                <w:lang w:val="en-US" w:eastAsia="zh-CN"/>
              </w:rPr>
              <w:t>腈纶生产聚合、脱单废气可采用焚烧和多级吸收等技术；水洗、过滤、凝固浴、溶剂回收废气可采用吸收等治理技术。</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lang w:val="en-US" w:eastAsia="zh-CN"/>
              </w:rPr>
              <w:t>推荐</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lang w:eastAsia="zh-CN"/>
              </w:rPr>
              <w:t>（</w:t>
            </w:r>
            <w:r>
              <w:rPr>
                <w:rFonts w:hint="default" w:eastAsia="楷体_GB2312"/>
                <w:sz w:val="24"/>
                <w:szCs w:val="24"/>
                <w:lang w:val="en-US" w:eastAsia="zh-CN"/>
              </w:rPr>
              <w:t>4</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25</w:t>
            </w:r>
          </w:p>
        </w:tc>
        <w:tc>
          <w:tcPr>
            <w:tcW w:w="22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lang w:val="en-US" w:eastAsia="zh-CN"/>
              </w:rPr>
            </w:pPr>
            <w:r>
              <w:rPr>
                <w:rFonts w:hint="default" w:eastAsia="楷体_GB2312"/>
                <w:sz w:val="24"/>
                <w:szCs w:val="24"/>
                <w:lang w:val="en-US" w:eastAsia="zh-CN"/>
              </w:rPr>
              <w:t>维纶生产醇解、溶解、脱泡废气可采用吸收等治理技术。</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lang w:val="en-US" w:eastAsia="zh-CN"/>
              </w:rPr>
              <w:t>推荐</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lang w:eastAsia="zh-CN"/>
              </w:rPr>
              <w:t>（</w:t>
            </w:r>
            <w:r>
              <w:rPr>
                <w:rFonts w:hint="default" w:eastAsia="楷体_GB2312"/>
                <w:sz w:val="24"/>
                <w:szCs w:val="24"/>
                <w:lang w:val="en-US" w:eastAsia="zh-CN"/>
              </w:rPr>
              <w:t>4</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26</w:t>
            </w:r>
          </w:p>
        </w:tc>
        <w:tc>
          <w:tcPr>
            <w:tcW w:w="22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lang w:val="en-US" w:eastAsia="zh-CN"/>
              </w:rPr>
            </w:pPr>
            <w:r>
              <w:rPr>
                <w:rFonts w:hint="default" w:eastAsia="楷体_GB2312"/>
                <w:sz w:val="24"/>
                <w:szCs w:val="24"/>
                <w:lang w:val="en-US" w:eastAsia="zh-CN"/>
              </w:rPr>
              <w:t>氨纶生产精制尾气可采用吸收等治理技术。</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lang w:val="en-US" w:eastAsia="zh-CN"/>
              </w:rPr>
              <w:t>推荐</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lang w:eastAsia="zh-CN"/>
              </w:rPr>
              <w:t>（</w:t>
            </w:r>
            <w:r>
              <w:rPr>
                <w:rFonts w:hint="default" w:eastAsia="楷体_GB2312"/>
                <w:sz w:val="24"/>
                <w:szCs w:val="24"/>
                <w:lang w:val="en-US" w:eastAsia="zh-CN"/>
              </w:rPr>
              <w:t>4</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bottom w:val="nil"/>
            </w:tcBorders>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27</w:t>
            </w:r>
          </w:p>
        </w:tc>
        <w:tc>
          <w:tcPr>
            <w:tcW w:w="2221" w:type="dxa"/>
            <w:vMerge w:val="continue"/>
            <w:tcBorders>
              <w:bottom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val="en-US" w:eastAsia="zh-CN" w:bidi="ar"/>
              </w:rPr>
            </w:pPr>
          </w:p>
        </w:tc>
        <w:tc>
          <w:tcPr>
            <w:tcW w:w="9690" w:type="dxa"/>
            <w:tcBorders>
              <w:bottom w:val="nil"/>
            </w:tcBorders>
            <w:shd w:val="clear" w:color="auto" w:fill="auto"/>
            <w:vAlign w:val="center"/>
          </w:tcPr>
          <w:p>
            <w:pPr>
              <w:keepNext w:val="0"/>
              <w:keepLines w:val="0"/>
              <w:pageBreakBefore w:val="0"/>
              <w:numPr>
                <w:ilvl w:val="0"/>
                <w:numId w:val="3"/>
              </w:numPr>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lang w:eastAsia="zh-CN"/>
              </w:rPr>
            </w:pPr>
            <w:r>
              <w:rPr>
                <w:rFonts w:hint="default" w:eastAsia="楷体_GB2312"/>
                <w:sz w:val="24"/>
                <w:szCs w:val="24"/>
              </w:rPr>
              <w:t>有机废气排气筒排放浓度不高于广东省《大气污染物排放限值》（DB4427-2001）第Ⅱ时段排放限值，若国家和我省出台并实施适用于塑料制品制造业的大气污染物排放标准，则有机废气排气筒排放浓度不高于相应</w:t>
            </w:r>
            <w:r>
              <w:rPr>
                <w:rFonts w:hint="default" w:eastAsia="楷体_GB2312"/>
                <w:sz w:val="24"/>
                <w:szCs w:val="24"/>
                <w:lang w:val="en-US" w:eastAsia="zh-CN"/>
              </w:rPr>
              <w:t>的排放</w:t>
            </w:r>
            <w:r>
              <w:rPr>
                <w:rFonts w:hint="default" w:eastAsia="楷体_GB2312"/>
                <w:sz w:val="24"/>
                <w:szCs w:val="24"/>
              </w:rPr>
              <w:t>限值；车间或生产设施排气中NMHC初始排放速率≥3 kg/h时，建设VOCs处理设施且处理效率≥80%</w:t>
            </w:r>
            <w:r>
              <w:rPr>
                <w:rFonts w:hint="default" w:eastAsia="楷体_GB2312"/>
                <w:sz w:val="24"/>
                <w:szCs w:val="24"/>
                <w:lang w:eastAsia="zh-CN"/>
              </w:rPr>
              <w:t>。</w:t>
            </w:r>
          </w:p>
          <w:p>
            <w:pPr>
              <w:keepNext w:val="0"/>
              <w:keepLines w:val="0"/>
              <w:pageBreakBefore w:val="0"/>
              <w:numPr>
                <w:ilvl w:val="0"/>
                <w:numId w:val="3"/>
              </w:numPr>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厂区内无组织排放监控点NMHC的小时平均浓度值不超过6 mg/m</w:t>
            </w:r>
            <w:r>
              <w:rPr>
                <w:rFonts w:hint="default" w:eastAsia="楷体_GB2312"/>
                <w:sz w:val="24"/>
                <w:szCs w:val="24"/>
                <w:vertAlign w:val="superscript"/>
              </w:rPr>
              <w:t>3</w:t>
            </w:r>
            <w:r>
              <w:rPr>
                <w:rFonts w:hint="default" w:eastAsia="楷体_GB2312"/>
                <w:sz w:val="24"/>
                <w:szCs w:val="24"/>
                <w:lang w:eastAsia="zh-CN"/>
              </w:rPr>
              <w:t>，</w:t>
            </w:r>
            <w:r>
              <w:rPr>
                <w:rFonts w:hint="default" w:eastAsia="楷体_GB2312"/>
                <w:sz w:val="24"/>
                <w:szCs w:val="24"/>
              </w:rPr>
              <w:t>任意一次浓度值不超过20 mg/m</w:t>
            </w:r>
            <w:r>
              <w:rPr>
                <w:rFonts w:hint="default" w:eastAsia="楷体_GB2312"/>
                <w:sz w:val="24"/>
                <w:szCs w:val="24"/>
                <w:vertAlign w:val="superscript"/>
              </w:rPr>
              <w:t>3</w:t>
            </w:r>
            <w:r>
              <w:rPr>
                <w:rFonts w:hint="default" w:eastAsia="楷体_GB2312"/>
                <w:sz w:val="24"/>
                <w:szCs w:val="24"/>
                <w:vertAlign w:val="baseline"/>
                <w:lang w:eastAsia="zh-CN"/>
              </w:rPr>
              <w:t>。</w:t>
            </w:r>
          </w:p>
        </w:tc>
        <w:tc>
          <w:tcPr>
            <w:tcW w:w="1290" w:type="dxa"/>
            <w:tcBorders>
              <w:bottom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tcBorders>
              <w:bottom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9</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2</w:t>
            </w:r>
            <w:r>
              <w:rPr>
                <w:rFonts w:hint="eastAsia" w:ascii="Times New Roman" w:hAnsi="Times New Roman" w:eastAsia="宋体" w:cs="Times New Roman"/>
                <w:i w:val="0"/>
                <w:color w:val="000000"/>
                <w:kern w:val="0"/>
                <w:sz w:val="24"/>
                <w:szCs w:val="24"/>
                <w:u w:val="none"/>
                <w:lang w:val="en-US" w:eastAsia="zh-CN" w:bidi="ar"/>
              </w:rPr>
              <w:t>8</w:t>
            </w:r>
          </w:p>
        </w:tc>
        <w:tc>
          <w:tcPr>
            <w:tcW w:w="222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val="en-US" w:eastAsia="zh-CN" w:bidi="ar"/>
              </w:rPr>
              <w:t>治理设施</w:t>
            </w:r>
            <w:r>
              <w:rPr>
                <w:rFonts w:hint="default" w:eastAsia="楷体_GB2312"/>
                <w:color w:val="000000"/>
                <w:kern w:val="0"/>
                <w:sz w:val="24"/>
                <w:szCs w:val="24"/>
                <w:lang w:bidi="ar"/>
              </w:rPr>
              <w:t>运行管理</w:t>
            </w: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吸附床（含活性炭吸附法）：</w:t>
            </w:r>
            <w:r>
              <w:rPr>
                <w:rFonts w:hint="default" w:eastAsia="楷体_GB2312"/>
                <w:sz w:val="24"/>
                <w:szCs w:val="24"/>
                <w:lang w:val="en-US" w:eastAsia="zh-CN"/>
              </w:rPr>
              <w:t>a）</w:t>
            </w:r>
            <w:r>
              <w:rPr>
                <w:rFonts w:hint="default" w:eastAsia="楷体_GB2312"/>
                <w:sz w:val="24"/>
                <w:szCs w:val="24"/>
              </w:rPr>
              <w:t>预处理设备应根据废气的成分、性质和影响吸附过程的物质性质及含量进行选择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吸附床层的吸附剂用量应根据废气处理量、污染物浓度和吸附剂的动态吸附量确定</w:t>
            </w:r>
            <w:r>
              <w:rPr>
                <w:rFonts w:hint="default" w:eastAsia="楷体_GB2312"/>
                <w:sz w:val="24"/>
                <w:szCs w:val="24"/>
                <w:lang w:eastAsia="zh-CN"/>
              </w:rPr>
              <w:t>；</w:t>
            </w:r>
            <w:r>
              <w:rPr>
                <w:rFonts w:hint="default" w:eastAsia="楷体_GB2312"/>
                <w:sz w:val="24"/>
                <w:szCs w:val="24"/>
                <w:lang w:val="en-US" w:eastAsia="zh-CN"/>
              </w:rPr>
              <w:t>c）</w:t>
            </w:r>
            <w:r>
              <w:rPr>
                <w:rFonts w:hint="default" w:eastAsia="楷体_GB2312"/>
                <w:sz w:val="24"/>
                <w:szCs w:val="24"/>
              </w:rPr>
              <w:t>吸附剂应及时更换或有效再生</w:t>
            </w:r>
            <w:r>
              <w:rPr>
                <w:rFonts w:hint="default" w:eastAsia="楷体_GB2312"/>
                <w:sz w:val="24"/>
                <w:szCs w:val="24"/>
              </w:rPr>
              <w:t>。</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lang w:eastAsia="zh-CN"/>
              </w:rPr>
            </w:pPr>
            <w:r>
              <w:rPr>
                <w:rFonts w:hint="default" w:eastAsia="楷体_GB2312"/>
                <w:sz w:val="24"/>
                <w:szCs w:val="24"/>
                <w:lang w:val="en-US" w:eastAsia="zh-CN"/>
              </w:rPr>
              <w:t>推荐</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6</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eastAsia" w:ascii="Times New Roman" w:hAnsi="Times New Roman" w:eastAsia="宋体" w:cs="Times New Roman"/>
                <w:i w:val="0"/>
                <w:color w:val="000000"/>
                <w:kern w:val="0"/>
                <w:sz w:val="24"/>
                <w:szCs w:val="24"/>
                <w:u w:val="none"/>
                <w:lang w:val="en-US" w:eastAsia="zh-CN" w:bidi="ar"/>
              </w:rPr>
              <w:t>29</w:t>
            </w:r>
          </w:p>
        </w:tc>
        <w:tc>
          <w:tcPr>
            <w:tcW w:w="22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催化燃烧：</w:t>
            </w:r>
            <w:r>
              <w:rPr>
                <w:rFonts w:hint="default" w:eastAsia="楷体_GB2312"/>
                <w:sz w:val="24"/>
                <w:szCs w:val="24"/>
              </w:rPr>
              <w:t>a）预处理设备应根据废气的成分、性质和污染物的含量进行选择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进入燃烧室的气体温度应达到气体组分在催化剂上的起燃温度</w:t>
            </w:r>
            <w:r>
              <w:rPr>
                <w:rFonts w:hint="default" w:eastAsia="楷体_GB2312"/>
                <w:sz w:val="24"/>
                <w:szCs w:val="24"/>
              </w:rPr>
              <w:t>。</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lang w:val="en-US" w:eastAsia="zh-CN"/>
              </w:rPr>
              <w:t>推荐</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7</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w:t>
            </w:r>
            <w:r>
              <w:rPr>
                <w:rFonts w:hint="eastAsia" w:ascii="Times New Roman" w:hAnsi="Times New Roman" w:eastAsia="宋体" w:cs="Times New Roman"/>
                <w:i w:val="0"/>
                <w:color w:val="000000"/>
                <w:kern w:val="0"/>
                <w:sz w:val="24"/>
                <w:szCs w:val="24"/>
                <w:u w:val="none"/>
                <w:lang w:val="en-US" w:eastAsia="zh-CN" w:bidi="ar"/>
              </w:rPr>
              <w:t>0</w:t>
            </w:r>
          </w:p>
        </w:tc>
        <w:tc>
          <w:tcPr>
            <w:tcW w:w="22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eastAsia="楷体_GB2312"/>
                <w:sz w:val="24"/>
                <w:szCs w:val="24"/>
              </w:rPr>
            </w:pPr>
            <w:r>
              <w:rPr>
                <w:rFonts w:hint="default" w:eastAsia="楷体_GB2312"/>
                <w:sz w:val="24"/>
                <w:szCs w:val="24"/>
              </w:rPr>
              <w:t>蓄热燃烧：</w:t>
            </w:r>
            <w:r>
              <w:rPr>
                <w:rFonts w:hint="default" w:eastAsia="楷体_GB2312"/>
                <w:sz w:val="24"/>
                <w:szCs w:val="24"/>
              </w:rPr>
              <w:t>a）预处理</w:t>
            </w:r>
            <w:r>
              <w:rPr>
                <w:rFonts w:hint="default" w:eastAsia="楷体_GB2312"/>
                <w:sz w:val="24"/>
                <w:szCs w:val="24"/>
                <w:lang w:val="en-US" w:eastAsia="zh-CN"/>
              </w:rPr>
              <w:t>设备</w:t>
            </w:r>
            <w:r>
              <w:rPr>
                <w:rFonts w:hint="default" w:eastAsia="楷体_GB2312"/>
                <w:sz w:val="24"/>
                <w:szCs w:val="24"/>
              </w:rPr>
              <w:t>应根据废气的成分、</w:t>
            </w:r>
            <w:r>
              <w:rPr>
                <w:rFonts w:hint="default" w:eastAsia="楷体_GB2312"/>
                <w:sz w:val="24"/>
                <w:szCs w:val="24"/>
                <w:lang w:val="en-US" w:eastAsia="zh-CN"/>
              </w:rPr>
              <w:t>性质</w:t>
            </w:r>
            <w:r>
              <w:rPr>
                <w:rFonts w:hint="default" w:eastAsia="楷体_GB2312"/>
                <w:sz w:val="24"/>
                <w:szCs w:val="24"/>
              </w:rPr>
              <w:t>和污染物的含量等因素进行选择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废气在燃烧室的停留时间一般不宜低于0.75s，燃烧室燃烧温度一般应高于760℃。</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lang w:val="en-US" w:eastAsia="zh-CN"/>
              </w:rPr>
              <w:t>推荐</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8</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w:t>
            </w:r>
            <w:r>
              <w:rPr>
                <w:rFonts w:hint="eastAsia" w:ascii="Times New Roman" w:hAnsi="Times New Roman" w:eastAsia="宋体" w:cs="Times New Roman"/>
                <w:i w:val="0"/>
                <w:color w:val="000000"/>
                <w:kern w:val="0"/>
                <w:sz w:val="24"/>
                <w:szCs w:val="24"/>
                <w:u w:val="none"/>
                <w:lang w:val="en-US" w:eastAsia="zh-CN" w:bidi="ar"/>
              </w:rPr>
              <w:t>1</w:t>
            </w:r>
          </w:p>
        </w:tc>
        <w:tc>
          <w:tcPr>
            <w:tcW w:w="22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VOCs治理设施应与生产工艺设备同步运行，VOCs治理设施发生故障或检修时，对应的生产工艺设备应停止运行，待检修完毕后同步投入使用；生产工艺设备不能停止运行或不能及时停止运行的，应设置废气应急处理设施或采取其他替代措施。</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85"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b/>
                <w:bCs/>
                <w:sz w:val="24"/>
                <w:szCs w:val="24"/>
              </w:rPr>
              <w:t>环境管理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1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32</w:t>
            </w:r>
          </w:p>
        </w:tc>
        <w:tc>
          <w:tcPr>
            <w:tcW w:w="222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管理台账</w:t>
            </w: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建立含VOCs原辅材料台账，记录含VOCs原辅材料的名称及其VOCs含量、采购量、使用量、库存量、含VOCs原辅材料回收方式及回收量。</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3</w:t>
            </w:r>
            <w:r>
              <w:rPr>
                <w:rFonts w:hint="default" w:eastAsia="楷体_GB2312"/>
                <w:sz w:val="24"/>
                <w:szCs w:val="24"/>
              </w:rPr>
              <w:t>）、（</w:t>
            </w:r>
            <w:r>
              <w:rPr>
                <w:rFonts w:hint="default" w:eastAsia="楷体_GB2312"/>
                <w:sz w:val="24"/>
                <w:szCs w:val="24"/>
                <w:lang w:val="en-US" w:eastAsia="zh-CN"/>
              </w:rPr>
              <w:t>4</w:t>
            </w:r>
            <w:r>
              <w:rPr>
                <w:rFonts w:hint="default" w:eastAsia="楷体_GB2312"/>
                <w:sz w:val="24"/>
                <w:szCs w:val="24"/>
              </w:rPr>
              <w:t>）、（</w:t>
            </w:r>
            <w:r>
              <w:rPr>
                <w:rFonts w:hint="default" w:eastAsia="楷体_GB2312"/>
                <w:sz w:val="24"/>
                <w:szCs w:val="24"/>
                <w:lang w:val="en-US" w:eastAsia="zh-CN"/>
              </w:rPr>
              <w:t>10</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1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33</w:t>
            </w:r>
          </w:p>
        </w:tc>
        <w:tc>
          <w:tcPr>
            <w:tcW w:w="22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建立废气收集处理设施台账，记录废气处理设施进出口的监测数据（废气量、浓度、温度、含氧量等）、废气收集与处理设施关键参数、废气处理设施相关耗材（吸收剂、吸附剂、催化剂等）购买和处理记录。</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3</w:t>
            </w:r>
            <w:r>
              <w:rPr>
                <w:rFonts w:hint="default" w:eastAsia="楷体_GB2312"/>
                <w:sz w:val="24"/>
                <w:szCs w:val="24"/>
              </w:rPr>
              <w:t>）、（</w:t>
            </w:r>
            <w:r>
              <w:rPr>
                <w:rFonts w:hint="default" w:eastAsia="楷体_GB2312"/>
                <w:sz w:val="24"/>
                <w:szCs w:val="24"/>
                <w:lang w:val="en-US" w:eastAsia="zh-CN"/>
              </w:rPr>
              <w:t>4</w:t>
            </w:r>
            <w:r>
              <w:rPr>
                <w:rFonts w:hint="default" w:eastAsia="楷体_GB2312"/>
                <w:sz w:val="24"/>
                <w:szCs w:val="24"/>
              </w:rPr>
              <w:t>）、（</w:t>
            </w:r>
            <w:r>
              <w:rPr>
                <w:rFonts w:hint="default" w:eastAsia="楷体_GB2312"/>
                <w:sz w:val="24"/>
                <w:szCs w:val="24"/>
                <w:lang w:val="en-US" w:eastAsia="zh-CN"/>
              </w:rPr>
              <w:t>10</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1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34</w:t>
            </w:r>
          </w:p>
        </w:tc>
        <w:tc>
          <w:tcPr>
            <w:tcW w:w="22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建立危废台账，整理危废处置合同、转移联单及危废处理方资质佐证材料。</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shd w:val="clear" w:color="auto" w:fill="auto"/>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10</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31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35</w:t>
            </w:r>
          </w:p>
        </w:tc>
        <w:tc>
          <w:tcPr>
            <w:tcW w:w="222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p>
        </w:tc>
        <w:tc>
          <w:tcPr>
            <w:tcW w:w="9690"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台账保存期限不少于3年。</w:t>
            </w:r>
          </w:p>
        </w:tc>
        <w:tc>
          <w:tcPr>
            <w:tcW w:w="1290" w:type="dxa"/>
            <w:shd w:val="clear" w:color="auto" w:fill="auto"/>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shd w:val="clear" w:color="auto" w:fill="auto"/>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3</w:t>
            </w:r>
            <w:r>
              <w:rPr>
                <w:rFonts w:hint="default" w:eastAsia="楷体_GB2312"/>
                <w:sz w:val="24"/>
                <w:szCs w:val="24"/>
              </w:rPr>
              <w:t>）、（</w:t>
            </w:r>
            <w:r>
              <w:rPr>
                <w:rFonts w:hint="default" w:eastAsia="楷体_GB2312"/>
                <w:sz w:val="24"/>
                <w:szCs w:val="24"/>
                <w:lang w:val="en-US" w:eastAsia="zh-CN"/>
              </w:rPr>
              <w:t>4</w:t>
            </w:r>
            <w:r>
              <w:rPr>
                <w:rFonts w:hint="default" w:eastAsia="楷体_GB2312"/>
                <w:sz w:val="24"/>
                <w:szCs w:val="24"/>
              </w:rPr>
              <w:t>）、（</w:t>
            </w:r>
            <w:r>
              <w:rPr>
                <w:rFonts w:hint="default" w:eastAsia="楷体_GB2312"/>
                <w:sz w:val="24"/>
                <w:szCs w:val="24"/>
                <w:lang w:val="en-US" w:eastAsia="zh-CN"/>
              </w:rPr>
              <w:t>10</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1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36</w:t>
            </w:r>
          </w:p>
        </w:tc>
        <w:tc>
          <w:tcPr>
            <w:tcW w:w="2221" w:type="dxa"/>
            <w:vMerge w:val="restart"/>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自行监测</w:t>
            </w:r>
          </w:p>
        </w:tc>
        <w:tc>
          <w:tcPr>
            <w:tcW w:w="9690"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醋酯制造行业单位废气监测点位、监测指标及最低监测频次：</w:t>
            </w:r>
          </w:p>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a）醋片干燥机废气和污染处理厂废气的非甲烷总烃半年监测一次</w:t>
            </w:r>
          </w:p>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b）其他工序的排放口废气的非甲烷总烃每月监测一次</w:t>
            </w:r>
          </w:p>
        </w:tc>
        <w:tc>
          <w:tcPr>
            <w:tcW w:w="1290"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5</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1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37</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锦纶纤维制造行业单位废气监测点位、监测指标及最低监测频次：</w:t>
            </w:r>
          </w:p>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a）聚合反应尾气处理系统、煅烧炉尾气处理系统、胶液调配及浸胶、烘干排气筒的非甲烷总烃每月监测一次</w:t>
            </w:r>
          </w:p>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kern w:val="0"/>
                <w:sz w:val="24"/>
                <w:szCs w:val="24"/>
                <w:lang w:bidi="ar"/>
              </w:rPr>
            </w:pPr>
            <w:r>
              <w:rPr>
                <w:rFonts w:hint="default" w:eastAsia="楷体_GB2312"/>
                <w:sz w:val="24"/>
                <w:szCs w:val="24"/>
              </w:rPr>
              <w:t>b）其他工序的排放口废气的非甲烷总烃半年监测一次</w:t>
            </w:r>
          </w:p>
        </w:tc>
        <w:tc>
          <w:tcPr>
            <w:tcW w:w="1290"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eastAsia="楷体_GB2312"/>
                <w:sz w:val="24"/>
                <w:szCs w:val="24"/>
              </w:rPr>
            </w:pPr>
            <w:r>
              <w:rPr>
                <w:rFonts w:hint="default" w:eastAsia="楷体_GB2312"/>
                <w:sz w:val="24"/>
                <w:szCs w:val="24"/>
              </w:rPr>
              <w:t>（</w:t>
            </w:r>
            <w:r>
              <w:rPr>
                <w:rFonts w:hint="default" w:eastAsia="楷体_GB2312"/>
                <w:sz w:val="24"/>
                <w:szCs w:val="24"/>
                <w:lang w:val="en-US" w:eastAsia="zh-CN"/>
              </w:rPr>
              <w:t>5</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1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38</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涤纶纤维制造行业单位废气监测点位、监测指标及最低监测频次：</w:t>
            </w:r>
          </w:p>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a）真空系统、胶液调配及浸胶、烘干、煅烧炉尾气处理系统排气筒的非甲烷总烃每月监测一次</w:t>
            </w:r>
          </w:p>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kern w:val="0"/>
                <w:sz w:val="24"/>
                <w:szCs w:val="24"/>
                <w:lang w:bidi="ar"/>
              </w:rPr>
            </w:pPr>
            <w:r>
              <w:rPr>
                <w:rFonts w:hint="default" w:eastAsia="楷体_GB2312"/>
                <w:sz w:val="24"/>
                <w:szCs w:val="24"/>
              </w:rPr>
              <w:t>b）其他工序的排放口废气的非甲烷总烃半年监测一次</w:t>
            </w:r>
          </w:p>
        </w:tc>
        <w:tc>
          <w:tcPr>
            <w:tcW w:w="1290"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w:t>
            </w:r>
            <w:r>
              <w:rPr>
                <w:rFonts w:hint="default" w:eastAsia="楷体_GB2312"/>
                <w:sz w:val="24"/>
                <w:szCs w:val="24"/>
                <w:lang w:val="en-US" w:eastAsia="zh-CN"/>
              </w:rPr>
              <w:t>5</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1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39</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1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腈纶纤维制造行业单位废气监测点位、监测指标及最低监测频次：</w:t>
            </w:r>
          </w:p>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sz w:val="24"/>
                <w:szCs w:val="24"/>
              </w:rPr>
            </w:pPr>
            <w:r>
              <w:rPr>
                <w:rFonts w:hint="default" w:eastAsia="楷体_GB2312"/>
                <w:sz w:val="24"/>
                <w:szCs w:val="24"/>
              </w:rPr>
              <w:t>a）储罐排气筒的挥发性有机物和聚合釜尾气、精馏塔废气排气筒的非甲烷总烃每月监测一次</w:t>
            </w:r>
          </w:p>
          <w:p>
            <w:pPr>
              <w:keepNext w:val="0"/>
              <w:keepLines w:val="0"/>
              <w:pageBreakBefore w:val="0"/>
              <w:kinsoku/>
              <w:wordWrap/>
              <w:overflowPunct/>
              <w:topLinePunct w:val="0"/>
              <w:autoSpaceDE/>
              <w:autoSpaceDN/>
              <w:bidi w:val="0"/>
              <w:adjustRightInd/>
              <w:snapToGrid/>
              <w:spacing w:line="310" w:lineRule="exact"/>
              <w:ind w:firstLine="0" w:firstLineChars="0"/>
              <w:jc w:val="left"/>
              <w:textAlignment w:val="auto"/>
              <w:rPr>
                <w:rFonts w:hint="default" w:eastAsia="楷体_GB2312"/>
                <w:kern w:val="0"/>
                <w:sz w:val="24"/>
                <w:szCs w:val="24"/>
                <w:lang w:bidi="ar"/>
              </w:rPr>
            </w:pPr>
            <w:r>
              <w:rPr>
                <w:rFonts w:hint="default" w:eastAsia="楷体_GB2312"/>
                <w:sz w:val="24"/>
                <w:szCs w:val="24"/>
              </w:rPr>
              <w:t>b）其他工序的排放口废气的非甲烷总烃半年监测一次</w:t>
            </w:r>
          </w:p>
        </w:tc>
        <w:tc>
          <w:tcPr>
            <w:tcW w:w="1290"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1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w:t>
            </w:r>
            <w:r>
              <w:rPr>
                <w:rFonts w:hint="default" w:eastAsia="楷体_GB2312"/>
                <w:sz w:val="24"/>
                <w:szCs w:val="24"/>
                <w:lang w:val="en-US" w:eastAsia="zh-CN"/>
              </w:rPr>
              <w:t>5</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40</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维纶纤维制造行业单位废气监测点位、监测指标及最低监测频次：</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a）尾气吸收塔排气筒的非甲烷总烃每月监测一次</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kern w:val="0"/>
                <w:sz w:val="24"/>
                <w:szCs w:val="24"/>
                <w:lang w:bidi="ar"/>
              </w:rPr>
            </w:pPr>
            <w:r>
              <w:rPr>
                <w:rFonts w:hint="default" w:eastAsia="楷体_GB2312"/>
                <w:sz w:val="24"/>
                <w:szCs w:val="24"/>
              </w:rPr>
              <w:t>b）其他工序的排放口废气的非甲烷总烃半年监测一次</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w:t>
            </w:r>
            <w:r>
              <w:rPr>
                <w:rFonts w:hint="default" w:eastAsia="楷体_GB2312"/>
                <w:sz w:val="24"/>
                <w:szCs w:val="24"/>
                <w:lang w:val="en-US" w:eastAsia="zh-CN"/>
              </w:rPr>
              <w:t>5</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41</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氨纶纤维制造行业单位废气监测点位、监测指标及最低监测频次：</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a）纺丝甬道尾气收集处理系统、精馏回收系统尾气处理系统排气筒的非甲烷总烃每月监测一次</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kern w:val="0"/>
                <w:sz w:val="24"/>
                <w:szCs w:val="24"/>
                <w:lang w:bidi="ar"/>
              </w:rPr>
            </w:pPr>
            <w:r>
              <w:rPr>
                <w:rFonts w:hint="default" w:eastAsia="楷体_GB2312"/>
                <w:sz w:val="24"/>
                <w:szCs w:val="24"/>
              </w:rPr>
              <w:t>b）其他工序的排放口废气的非甲烷总烃半年监测一次</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w:t>
            </w:r>
            <w:r>
              <w:rPr>
                <w:rFonts w:hint="default" w:eastAsia="楷体_GB2312"/>
                <w:sz w:val="24"/>
                <w:szCs w:val="24"/>
                <w:lang w:val="en-US" w:eastAsia="zh-CN"/>
              </w:rPr>
              <w:t>5</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42</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循环再利用涤纶制造工业单位废气监测点位、监测指标及最低监测频次：</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 xml:space="preserve">a真空系统排气筒的非甲烷总烃每月监测一次，乙醛半年监测一次 </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w:t>
            </w:r>
            <w:r>
              <w:rPr>
                <w:rFonts w:hint="default" w:eastAsia="楷体_GB2312"/>
                <w:sz w:val="24"/>
                <w:szCs w:val="24"/>
                <w:lang w:val="en-US" w:eastAsia="zh-CN"/>
              </w:rPr>
              <w:t>5</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43</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莱赛尔纤维制造工业单位废气监测点位、监测指标及最低监测频次：</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a）各工序的排放口废气的非甲烷总烃半年监测一次</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w:t>
            </w:r>
            <w:r>
              <w:rPr>
                <w:rFonts w:hint="default" w:eastAsia="楷体_GB2312"/>
                <w:sz w:val="24"/>
                <w:szCs w:val="24"/>
                <w:lang w:val="en-US" w:eastAsia="zh-CN"/>
              </w:rPr>
              <w:t>5</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44</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其他合成纤维制造工业单位废气监测点位、监测指标及最低监测频次：</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a）聚合反应尾气排气筒的非甲烷总烃每月监测一次</w:t>
            </w:r>
          </w:p>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b）其他工序的排放口废气的非甲烷总烃半年监测一次</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w:t>
            </w:r>
            <w:r>
              <w:rPr>
                <w:rFonts w:hint="default" w:eastAsia="楷体_GB2312"/>
                <w:sz w:val="24"/>
                <w:szCs w:val="24"/>
                <w:lang w:val="en-US" w:eastAsia="zh-CN"/>
              </w:rPr>
              <w:t>5</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楷体_GB2312"/>
                <w:sz w:val="24"/>
                <w:szCs w:val="24"/>
              </w:rPr>
            </w:pPr>
            <w:r>
              <w:rPr>
                <w:rFonts w:hint="default" w:ascii="Times New Roman" w:hAnsi="Times New Roman" w:eastAsia="宋体" w:cs="Times New Roman"/>
                <w:i w:val="0"/>
                <w:color w:val="000000"/>
                <w:kern w:val="0"/>
                <w:sz w:val="24"/>
                <w:szCs w:val="24"/>
                <w:u w:val="none"/>
                <w:lang w:val="en-US" w:eastAsia="zh-CN" w:bidi="ar"/>
              </w:rPr>
              <w:t>45</w:t>
            </w:r>
          </w:p>
        </w:tc>
        <w:tc>
          <w:tcPr>
            <w:tcW w:w="2221"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危废管理</w:t>
            </w:r>
          </w:p>
        </w:tc>
        <w:tc>
          <w:tcPr>
            <w:tcW w:w="96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工艺过程产生的含VOCs废料（渣、液）应按照相关要求进行储存、转移和输送。盛装过VOCs物料的废包装容器应加盖密闭。</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85"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b/>
                <w:bCs/>
                <w:sz w:val="24"/>
                <w:szCs w:val="24"/>
              </w:rPr>
            </w:pPr>
            <w:r>
              <w:rPr>
                <w:rFonts w:hint="default" w:eastAsia="楷体_GB2312"/>
                <w:b/>
                <w:bCs/>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宋体"/>
                <w:color w:val="000000"/>
                <w:kern w:val="0"/>
                <w:sz w:val="24"/>
                <w:szCs w:val="24"/>
                <w:u w:val="none"/>
                <w:lang w:bidi="ar"/>
              </w:rPr>
            </w:pPr>
            <w:r>
              <w:rPr>
                <w:rFonts w:hint="eastAsia" w:eastAsia="宋体" w:cs="Times New Roman"/>
                <w:color w:val="000000"/>
                <w:kern w:val="0"/>
                <w:sz w:val="24"/>
                <w:szCs w:val="24"/>
                <w:u w:val="none"/>
                <w:lang w:val="en-US" w:eastAsia="zh-CN" w:bidi="ar"/>
              </w:rPr>
              <w:t>46</w:t>
            </w:r>
          </w:p>
        </w:tc>
        <w:tc>
          <w:tcPr>
            <w:tcW w:w="2221"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eastAsia="楷体_GB2312"/>
                <w:color w:val="000000"/>
                <w:kern w:val="0"/>
                <w:sz w:val="24"/>
                <w:szCs w:val="24"/>
                <w:lang w:bidi="ar"/>
              </w:rPr>
              <w:t>建设项目VOCs</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r>
              <w:rPr>
                <w:rFonts w:hint="default" w:eastAsia="楷体_GB2312"/>
                <w:color w:val="000000"/>
                <w:kern w:val="0"/>
                <w:sz w:val="24"/>
                <w:szCs w:val="24"/>
                <w:lang w:bidi="ar"/>
              </w:rPr>
              <w:t>总量管理</w:t>
            </w:r>
          </w:p>
        </w:tc>
        <w:tc>
          <w:tcPr>
            <w:tcW w:w="96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新、改、扩建项目应执行总量替代制度，明确VOCs总量指标来源。</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1</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vAlign w:val="center"/>
          </w:tcPr>
          <w:p>
            <w:pPr>
              <w:keepNext w:val="0"/>
              <w:keepLines w:val="0"/>
              <w:pageBreakBefore w:val="0"/>
              <w:widowControl/>
              <w:numPr>
                <w:ilvl w:val="-1"/>
                <w:numId w:val="0"/>
              </w:numPr>
              <w:kinsoku/>
              <w:wordWrap/>
              <w:overflowPunct/>
              <w:topLinePunct w:val="0"/>
              <w:autoSpaceDE/>
              <w:autoSpaceDN/>
              <w:bidi w:val="0"/>
              <w:adjustRightInd/>
              <w:snapToGrid/>
              <w:spacing w:line="300" w:lineRule="exact"/>
              <w:ind w:left="0" w:firstLine="0" w:firstLineChars="0"/>
              <w:jc w:val="center"/>
              <w:textAlignment w:val="center"/>
              <w:rPr>
                <w:rFonts w:hint="default" w:eastAsia="宋体"/>
                <w:color w:val="000000"/>
                <w:kern w:val="0"/>
                <w:sz w:val="24"/>
                <w:szCs w:val="24"/>
                <w:u w:val="none"/>
                <w:lang w:bidi="ar"/>
              </w:rPr>
            </w:pPr>
            <w:r>
              <w:rPr>
                <w:rFonts w:hint="eastAsia" w:eastAsia="宋体" w:cs="Times New Roman"/>
                <w:color w:val="000000"/>
                <w:kern w:val="0"/>
                <w:sz w:val="24"/>
                <w:szCs w:val="24"/>
                <w:u w:val="none"/>
                <w:lang w:val="en-US" w:eastAsia="zh-CN" w:bidi="ar"/>
              </w:rPr>
              <w:t>47</w:t>
            </w:r>
          </w:p>
        </w:tc>
        <w:tc>
          <w:tcPr>
            <w:tcW w:w="2221"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eastAsia="楷体_GB2312"/>
                <w:color w:val="000000"/>
                <w:kern w:val="0"/>
                <w:sz w:val="24"/>
                <w:szCs w:val="24"/>
                <w:lang w:bidi="ar"/>
              </w:rPr>
            </w:pPr>
          </w:p>
        </w:tc>
        <w:tc>
          <w:tcPr>
            <w:tcW w:w="96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新、改、扩建项目</w:t>
            </w:r>
            <w:r>
              <w:rPr>
                <w:rFonts w:hint="default" w:eastAsia="楷体_GB2312"/>
                <w:sz w:val="24"/>
                <w:szCs w:val="24"/>
                <w:lang w:val="en-US" w:eastAsia="zh-CN"/>
              </w:rPr>
              <w:t>项目</w:t>
            </w:r>
            <w:r>
              <w:rPr>
                <w:rFonts w:hint="default" w:eastAsia="楷体_GB2312"/>
                <w:sz w:val="24"/>
                <w:szCs w:val="24"/>
              </w:rPr>
              <w:t>和</w:t>
            </w:r>
            <w:r>
              <w:rPr>
                <w:rFonts w:hint="default" w:eastAsia="楷体_GB2312"/>
                <w:sz w:val="24"/>
                <w:szCs w:val="24"/>
                <w:lang w:val="en-US" w:eastAsia="zh-CN"/>
              </w:rPr>
              <w:t>现有企业</w:t>
            </w:r>
            <w:r>
              <w:rPr>
                <w:rFonts w:hint="default" w:eastAsia="楷体_GB2312"/>
                <w:sz w:val="24"/>
                <w:szCs w:val="24"/>
              </w:rPr>
              <w:t>VOCs</w:t>
            </w:r>
            <w:r>
              <w:rPr>
                <w:rFonts w:hint="default" w:eastAsia="楷体_GB2312"/>
                <w:sz w:val="24"/>
                <w:szCs w:val="24"/>
                <w:lang w:val="en-US" w:eastAsia="zh-CN"/>
              </w:rPr>
              <w:t>基准</w:t>
            </w:r>
            <w:r>
              <w:rPr>
                <w:rFonts w:hint="default" w:eastAsia="楷体_GB2312"/>
                <w:sz w:val="24"/>
                <w:szCs w:val="24"/>
              </w:rPr>
              <w:t>排放量</w:t>
            </w:r>
            <w:r>
              <w:rPr>
                <w:rFonts w:hint="default" w:eastAsia="楷体_GB2312"/>
                <w:sz w:val="24"/>
                <w:szCs w:val="24"/>
                <w:lang w:val="en-US" w:eastAsia="zh-CN"/>
              </w:rPr>
              <w:t>计算参考《</w:t>
            </w:r>
            <w:r>
              <w:rPr>
                <w:rFonts w:hint="default" w:eastAsia="楷体_GB2312"/>
                <w:sz w:val="24"/>
                <w:szCs w:val="24"/>
              </w:rPr>
              <w:t>广东省重点行业挥发性有机物排放量计算方法核算</w:t>
            </w:r>
            <w:r>
              <w:rPr>
                <w:rFonts w:hint="default" w:eastAsia="楷体_GB2312"/>
                <w:sz w:val="24"/>
                <w:szCs w:val="24"/>
                <w:lang w:val="en-US" w:eastAsia="zh-CN"/>
              </w:rPr>
              <w:t>》进行核算</w:t>
            </w:r>
            <w:r>
              <w:rPr>
                <w:rFonts w:hint="default" w:eastAsia="楷体_GB2312"/>
                <w:sz w:val="24"/>
                <w:szCs w:val="24"/>
                <w:lang w:eastAsia="zh-CN"/>
              </w:rPr>
              <w:t>，</w:t>
            </w:r>
            <w:r>
              <w:rPr>
                <w:rFonts w:hint="default" w:eastAsia="楷体_GB2312"/>
                <w:sz w:val="24"/>
                <w:szCs w:val="24"/>
              </w:rPr>
              <w:t>若国家和我省出台适用于</w:t>
            </w:r>
            <w:r>
              <w:rPr>
                <w:rFonts w:hint="default" w:eastAsia="楷体_GB2312"/>
                <w:sz w:val="24"/>
                <w:szCs w:val="24"/>
                <w:lang w:val="en-US" w:eastAsia="zh-CN"/>
              </w:rPr>
              <w:t>该行</w:t>
            </w:r>
            <w:r>
              <w:rPr>
                <w:rFonts w:hint="default" w:eastAsia="楷体_GB2312"/>
                <w:sz w:val="24"/>
                <w:szCs w:val="24"/>
              </w:rPr>
              <w:t>业的</w:t>
            </w:r>
            <w:r>
              <w:rPr>
                <w:rFonts w:hint="default" w:eastAsia="楷体_GB2312"/>
                <w:sz w:val="24"/>
                <w:szCs w:val="24"/>
                <w:lang w:val="en-US" w:eastAsia="zh-CN"/>
              </w:rPr>
              <w:t>VOCs排放量计算方法，则参照其相关规定执行。</w:t>
            </w:r>
          </w:p>
        </w:tc>
        <w:tc>
          <w:tcPr>
            <w:tcW w:w="129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要求</w:t>
            </w:r>
          </w:p>
        </w:tc>
        <w:tc>
          <w:tcPr>
            <w:tcW w:w="166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eastAsia="楷体_GB2312"/>
                <w:sz w:val="24"/>
                <w:szCs w:val="24"/>
              </w:rPr>
            </w:pPr>
            <w:r>
              <w:rPr>
                <w:rFonts w:hint="default" w:eastAsia="楷体_GB2312"/>
                <w:sz w:val="24"/>
                <w:szCs w:val="24"/>
              </w:rPr>
              <w:t>（1</w:t>
            </w:r>
            <w:r>
              <w:rPr>
                <w:rFonts w:hint="default" w:eastAsia="楷体_GB2312"/>
                <w:sz w:val="24"/>
                <w:szCs w:val="24"/>
                <w:lang w:val="en-US" w:eastAsia="zh-CN"/>
              </w:rPr>
              <w:t>1</w:t>
            </w:r>
            <w:r>
              <w:rPr>
                <w:rFonts w:hint="default" w:eastAsia="楷体_GB2312"/>
                <w:sz w:val="24"/>
                <w:szCs w:val="24"/>
              </w:rPr>
              <w:t>）、（1</w:t>
            </w:r>
            <w:r>
              <w:rPr>
                <w:rFonts w:hint="default" w:eastAsia="楷体_GB2312"/>
                <w:sz w:val="24"/>
                <w:szCs w:val="24"/>
                <w:lang w:val="en-US" w:eastAsia="zh-CN"/>
              </w:rPr>
              <w:t>2</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85" w:type="dxa"/>
            <w:gridSpan w:val="5"/>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文件依据：</w:t>
            </w:r>
          </w:p>
          <w:p>
            <w:pPr>
              <w:keepNext w:val="0"/>
              <w:keepLines w:val="0"/>
              <w:pageBreakBefore w:val="0"/>
              <w:numPr>
                <w:ilvl w:val="0"/>
                <w:numId w:val="4"/>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挥发性有机物无组织排放控制标准（GB 38722-2019）</w:t>
            </w:r>
          </w:p>
          <w:p>
            <w:pPr>
              <w:keepNext w:val="0"/>
              <w:keepLines w:val="0"/>
              <w:pageBreakBefore w:val="0"/>
              <w:numPr>
                <w:ilvl w:val="0"/>
                <w:numId w:val="4"/>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大气污染物排放限值</w:t>
            </w:r>
            <w:r>
              <w:rPr>
                <w:rFonts w:hint="default" w:eastAsia="楷体_GB2312"/>
                <w:sz w:val="24"/>
                <w:szCs w:val="24"/>
                <w:lang w:eastAsia="zh-CN"/>
              </w:rPr>
              <w:t>（</w:t>
            </w:r>
            <w:r>
              <w:rPr>
                <w:rFonts w:hint="default" w:eastAsia="楷体_GB2312"/>
                <w:sz w:val="24"/>
                <w:szCs w:val="24"/>
              </w:rPr>
              <w:t>DB</w:t>
            </w:r>
            <w:r>
              <w:rPr>
                <w:rFonts w:hint="default" w:eastAsia="楷体_GB2312"/>
                <w:sz w:val="24"/>
                <w:szCs w:val="24"/>
                <w:lang w:val="en-US" w:eastAsia="zh-CN"/>
              </w:rPr>
              <w:t xml:space="preserve"> </w:t>
            </w:r>
            <w:r>
              <w:rPr>
                <w:rFonts w:hint="default" w:eastAsia="楷体_GB2312"/>
                <w:sz w:val="24"/>
                <w:szCs w:val="24"/>
              </w:rPr>
              <w:t>4427-2001</w:t>
            </w:r>
            <w:r>
              <w:rPr>
                <w:rFonts w:hint="default" w:eastAsia="楷体_GB2312"/>
                <w:sz w:val="24"/>
                <w:szCs w:val="24"/>
                <w:lang w:eastAsia="zh-CN"/>
              </w:rPr>
              <w:t>）</w:t>
            </w:r>
          </w:p>
          <w:p>
            <w:pPr>
              <w:keepNext w:val="0"/>
              <w:keepLines w:val="0"/>
              <w:pageBreakBefore w:val="0"/>
              <w:numPr>
                <w:ilvl w:val="0"/>
                <w:numId w:val="4"/>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排污单位环境管理台账及排污许可证执行报告技术规范总则（试行）（HJ 944-2018）</w:t>
            </w:r>
          </w:p>
          <w:p>
            <w:pPr>
              <w:keepNext w:val="0"/>
              <w:keepLines w:val="0"/>
              <w:pageBreakBefore w:val="0"/>
              <w:numPr>
                <w:ilvl w:val="0"/>
                <w:numId w:val="4"/>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 xml:space="preserve">排污许可证申请与核发技术规范 </w:t>
            </w:r>
            <w:r>
              <w:rPr>
                <w:rFonts w:hint="default" w:eastAsia="楷体_GB2312"/>
                <w:sz w:val="24"/>
                <w:szCs w:val="24"/>
                <w:lang w:val="en-US" w:eastAsia="zh-CN"/>
              </w:rPr>
              <w:t>化学</w:t>
            </w:r>
            <w:r>
              <w:rPr>
                <w:rFonts w:hint="default" w:eastAsia="楷体_GB2312"/>
                <w:sz w:val="24"/>
                <w:szCs w:val="24"/>
              </w:rPr>
              <w:t>纤维行业（HJ 1102-2020）</w:t>
            </w:r>
          </w:p>
          <w:p>
            <w:pPr>
              <w:keepNext w:val="0"/>
              <w:keepLines w:val="0"/>
              <w:pageBreakBefore w:val="0"/>
              <w:numPr>
                <w:ilvl w:val="0"/>
                <w:numId w:val="4"/>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化学纤维制造行业排污单位自行监测技术指南（HJ 1139-2020）</w:t>
            </w:r>
          </w:p>
          <w:p>
            <w:pPr>
              <w:keepNext w:val="0"/>
              <w:keepLines w:val="0"/>
              <w:pageBreakBefore w:val="0"/>
              <w:numPr>
                <w:ilvl w:val="0"/>
                <w:numId w:val="4"/>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吸附法工业有机废气治理工程技术规范（HJ 2026-2013）</w:t>
            </w:r>
          </w:p>
          <w:p>
            <w:pPr>
              <w:keepNext w:val="0"/>
              <w:keepLines w:val="0"/>
              <w:pageBreakBefore w:val="0"/>
              <w:numPr>
                <w:ilvl w:val="0"/>
                <w:numId w:val="4"/>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催化燃烧法工业有机废气治理工程（HJ</w:t>
            </w:r>
            <w:r>
              <w:rPr>
                <w:rFonts w:hint="default" w:eastAsia="楷体_GB2312"/>
                <w:sz w:val="24"/>
                <w:szCs w:val="24"/>
                <w:lang w:val="en-US" w:eastAsia="zh-CN"/>
              </w:rPr>
              <w:t xml:space="preserve"> </w:t>
            </w:r>
            <w:r>
              <w:rPr>
                <w:rFonts w:hint="default" w:eastAsia="楷体_GB2312"/>
                <w:sz w:val="24"/>
                <w:szCs w:val="24"/>
              </w:rPr>
              <w:t>2027-2013）</w:t>
            </w:r>
          </w:p>
          <w:p>
            <w:pPr>
              <w:keepNext w:val="0"/>
              <w:keepLines w:val="0"/>
              <w:pageBreakBefore w:val="0"/>
              <w:numPr>
                <w:ilvl w:val="0"/>
                <w:numId w:val="4"/>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蓄热燃烧法工业有机废气治理工程技术规范（HJ 1093-2020）</w:t>
            </w:r>
          </w:p>
          <w:p>
            <w:pPr>
              <w:keepNext w:val="0"/>
              <w:keepLines w:val="0"/>
              <w:pageBreakBefore w:val="0"/>
              <w:numPr>
                <w:ilvl w:val="0"/>
                <w:numId w:val="4"/>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重点行业挥发性有机物综合治理方案（环大气﹝2019﹞53号）</w:t>
            </w:r>
          </w:p>
          <w:p>
            <w:pPr>
              <w:keepNext w:val="0"/>
              <w:keepLines w:val="0"/>
              <w:pageBreakBefore w:val="0"/>
              <w:numPr>
                <w:ilvl w:val="0"/>
                <w:numId w:val="4"/>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广东省生态环境厅办公室关于印发挥发性有机物重点监管企业VOCs管控台账清单的通知（粤环办函〔2020〕19号）</w:t>
            </w:r>
          </w:p>
          <w:p>
            <w:pPr>
              <w:keepNext w:val="0"/>
              <w:keepLines w:val="0"/>
              <w:pageBreakBefore w:val="0"/>
              <w:numPr>
                <w:ilvl w:val="0"/>
                <w:numId w:val="4"/>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广东省生态环境厅关于做好重点行业建设项目挥发性有机物总量指标管理工作的通知（粤环发〔2019〕2号）</w:t>
            </w:r>
          </w:p>
          <w:p>
            <w:pPr>
              <w:keepNext w:val="0"/>
              <w:keepLines w:val="0"/>
              <w:pageBreakBefore w:val="0"/>
              <w:numPr>
                <w:ilvl w:val="0"/>
                <w:numId w:val="4"/>
              </w:numPr>
              <w:kinsoku/>
              <w:wordWrap/>
              <w:overflowPunct/>
              <w:topLinePunct w:val="0"/>
              <w:autoSpaceDE/>
              <w:autoSpaceDN/>
              <w:bidi w:val="0"/>
              <w:adjustRightInd/>
              <w:snapToGrid/>
              <w:spacing w:line="300" w:lineRule="exact"/>
              <w:ind w:firstLine="0" w:firstLineChars="0"/>
              <w:jc w:val="left"/>
              <w:textAlignment w:val="auto"/>
              <w:rPr>
                <w:rFonts w:hint="default" w:eastAsia="楷体_GB2312"/>
                <w:sz w:val="24"/>
                <w:szCs w:val="24"/>
              </w:rPr>
            </w:pPr>
            <w:r>
              <w:rPr>
                <w:rFonts w:hint="default" w:eastAsia="楷体_GB2312"/>
                <w:sz w:val="24"/>
                <w:szCs w:val="24"/>
              </w:rPr>
              <w:t>广东省生态环境厅关于印发重点行业挥发性有机物排放量计算方法的通知（粤环函〔2019〕243号）</w:t>
            </w:r>
          </w:p>
        </w:tc>
      </w:tr>
    </w:tbl>
    <w:p>
      <w:pPr>
        <w:ind w:firstLine="0" w:firstLineChars="0"/>
      </w:pPr>
    </w:p>
    <w:sectPr>
      <w:footerReference r:id="rId3" w:type="default"/>
      <w:pgSz w:w="16838" w:h="11906" w:orient="landscape"/>
      <w:pgMar w:top="1417" w:right="1134" w:bottom="1417" w:left="1134" w:header="851" w:footer="1020" w:gutter="0"/>
      <w:pgBorders>
        <w:top w:val="none" w:sz="0" w:space="0"/>
        <w:left w:val="none" w:sz="0" w:space="0"/>
        <w:bottom w:val="none" w:sz="0" w:space="0"/>
        <w:right w:val="none" w:sz="0" w:space="0"/>
      </w:pgBorders>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ind w:firstLine="0" w:firstLineChars="0"/>
                            <w:rPr>
                              <w:rFonts w:hint="default" w:eastAsia="仿宋_GB2312"/>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ind w:firstLine="0" w:firstLineChars="0"/>
                      <w:rPr>
                        <w:rFonts w:hint="default" w:eastAsia="仿宋_GB2312"/>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ECD8CF"/>
    <w:multiLevelType w:val="singleLevel"/>
    <w:tmpl w:val="8FECD8CF"/>
    <w:lvl w:ilvl="0" w:tentative="0">
      <w:start w:val="1"/>
      <w:numFmt w:val="decimal"/>
      <w:suff w:val="nothing"/>
      <w:lvlText w:val="（%1）"/>
      <w:lvlJc w:val="left"/>
    </w:lvl>
  </w:abstractNum>
  <w:abstractNum w:abstractNumId="1">
    <w:nsid w:val="5A818A70"/>
    <w:multiLevelType w:val="singleLevel"/>
    <w:tmpl w:val="5A818A70"/>
    <w:lvl w:ilvl="0" w:tentative="0">
      <w:start w:val="1"/>
      <w:numFmt w:val="lowerLetter"/>
      <w:suff w:val="nothing"/>
      <w:lvlText w:val="%1）"/>
      <w:lvlJc w:val="left"/>
    </w:lvl>
  </w:abstractNum>
  <w:abstractNum w:abstractNumId="2">
    <w:nsid w:val="5F63F690"/>
    <w:multiLevelType w:val="singleLevel"/>
    <w:tmpl w:val="5F63F690"/>
    <w:lvl w:ilvl="0" w:tentative="0">
      <w:start w:val="1"/>
      <w:numFmt w:val="decimal"/>
      <w:suff w:val="nothing"/>
      <w:lvlText w:val="%1、"/>
      <w:lvlJc w:val="left"/>
    </w:lvl>
  </w:abstractNum>
  <w:abstractNum w:abstractNumId="3">
    <w:nsid w:val="76ED9266"/>
    <w:multiLevelType w:val="singleLevel"/>
    <w:tmpl w:val="76ED9266"/>
    <w:lvl w:ilvl="0" w:tentative="0">
      <w:start w:val="1"/>
      <w:numFmt w:val="lowerLetter"/>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VerticalSpacing w:val="22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EBE"/>
    <w:rsid w:val="00002581"/>
    <w:rsid w:val="000364B4"/>
    <w:rsid w:val="0004492E"/>
    <w:rsid w:val="000C2CF4"/>
    <w:rsid w:val="0019215D"/>
    <w:rsid w:val="002A40FB"/>
    <w:rsid w:val="002C729A"/>
    <w:rsid w:val="002E53BC"/>
    <w:rsid w:val="003B1621"/>
    <w:rsid w:val="00441FB7"/>
    <w:rsid w:val="00450EBE"/>
    <w:rsid w:val="00477D35"/>
    <w:rsid w:val="004A7056"/>
    <w:rsid w:val="004B460E"/>
    <w:rsid w:val="004C6E6D"/>
    <w:rsid w:val="004E07AF"/>
    <w:rsid w:val="00532D99"/>
    <w:rsid w:val="00544FC8"/>
    <w:rsid w:val="005E3E8F"/>
    <w:rsid w:val="00614251"/>
    <w:rsid w:val="00660734"/>
    <w:rsid w:val="00662C59"/>
    <w:rsid w:val="0066665D"/>
    <w:rsid w:val="00692B2E"/>
    <w:rsid w:val="006A604E"/>
    <w:rsid w:val="006F31A5"/>
    <w:rsid w:val="00725D12"/>
    <w:rsid w:val="00750D8C"/>
    <w:rsid w:val="007942BC"/>
    <w:rsid w:val="007F5BA6"/>
    <w:rsid w:val="009B4962"/>
    <w:rsid w:val="00AE5F50"/>
    <w:rsid w:val="00B47D4A"/>
    <w:rsid w:val="00B53122"/>
    <w:rsid w:val="00B8753C"/>
    <w:rsid w:val="00C039E4"/>
    <w:rsid w:val="00C12698"/>
    <w:rsid w:val="00C42C58"/>
    <w:rsid w:val="00C44EB0"/>
    <w:rsid w:val="00D230F8"/>
    <w:rsid w:val="00DC2C38"/>
    <w:rsid w:val="00E93FDA"/>
    <w:rsid w:val="00ED118F"/>
    <w:rsid w:val="00EF273D"/>
    <w:rsid w:val="00F100F0"/>
    <w:rsid w:val="00F35E98"/>
    <w:rsid w:val="00F42F8D"/>
    <w:rsid w:val="00F9174A"/>
    <w:rsid w:val="00FC1ADD"/>
    <w:rsid w:val="00FC1F0B"/>
    <w:rsid w:val="03934CF2"/>
    <w:rsid w:val="06220789"/>
    <w:rsid w:val="09493A52"/>
    <w:rsid w:val="0A5A4446"/>
    <w:rsid w:val="0FAB5E5A"/>
    <w:rsid w:val="10EB5A00"/>
    <w:rsid w:val="10EE63B6"/>
    <w:rsid w:val="11941676"/>
    <w:rsid w:val="12442984"/>
    <w:rsid w:val="1879507C"/>
    <w:rsid w:val="1C7C6A45"/>
    <w:rsid w:val="1DD6332A"/>
    <w:rsid w:val="20070E57"/>
    <w:rsid w:val="22AF5138"/>
    <w:rsid w:val="23D15B2C"/>
    <w:rsid w:val="240E4219"/>
    <w:rsid w:val="24F758FE"/>
    <w:rsid w:val="25267967"/>
    <w:rsid w:val="25E2703E"/>
    <w:rsid w:val="274A7780"/>
    <w:rsid w:val="29167964"/>
    <w:rsid w:val="294235AD"/>
    <w:rsid w:val="2D4F3729"/>
    <w:rsid w:val="2FE511D0"/>
    <w:rsid w:val="31957967"/>
    <w:rsid w:val="324F6553"/>
    <w:rsid w:val="32AF4AAD"/>
    <w:rsid w:val="33CF551B"/>
    <w:rsid w:val="38597F15"/>
    <w:rsid w:val="3A7167EE"/>
    <w:rsid w:val="3A763CA1"/>
    <w:rsid w:val="3BB1783E"/>
    <w:rsid w:val="3C277902"/>
    <w:rsid w:val="3DD64A47"/>
    <w:rsid w:val="3E315EDB"/>
    <w:rsid w:val="3E8C69C6"/>
    <w:rsid w:val="3EEB1D3A"/>
    <w:rsid w:val="438115CC"/>
    <w:rsid w:val="44540892"/>
    <w:rsid w:val="45877E26"/>
    <w:rsid w:val="4647325B"/>
    <w:rsid w:val="46C85118"/>
    <w:rsid w:val="47A85835"/>
    <w:rsid w:val="48A054F5"/>
    <w:rsid w:val="4BB47963"/>
    <w:rsid w:val="4D642792"/>
    <w:rsid w:val="4E205263"/>
    <w:rsid w:val="4F531C13"/>
    <w:rsid w:val="53A44696"/>
    <w:rsid w:val="53D61021"/>
    <w:rsid w:val="59574CB6"/>
    <w:rsid w:val="5A705F5C"/>
    <w:rsid w:val="5B8F4C55"/>
    <w:rsid w:val="5C6A1B94"/>
    <w:rsid w:val="5CBA137D"/>
    <w:rsid w:val="5CD01CE9"/>
    <w:rsid w:val="5EE35DF1"/>
    <w:rsid w:val="5FE51351"/>
    <w:rsid w:val="6362716A"/>
    <w:rsid w:val="63FE5A2D"/>
    <w:rsid w:val="64843E15"/>
    <w:rsid w:val="692F07A4"/>
    <w:rsid w:val="6BC33703"/>
    <w:rsid w:val="6D934F09"/>
    <w:rsid w:val="6E7B71D9"/>
    <w:rsid w:val="6F8E2750"/>
    <w:rsid w:val="70AB51F6"/>
    <w:rsid w:val="72700EAF"/>
    <w:rsid w:val="72D34048"/>
    <w:rsid w:val="72E151A7"/>
    <w:rsid w:val="736B7502"/>
    <w:rsid w:val="759A139F"/>
    <w:rsid w:val="77D663E1"/>
    <w:rsid w:val="7C04305E"/>
    <w:rsid w:val="7DB62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caption"/>
    <w:basedOn w:val="1"/>
    <w:next w:val="1"/>
    <w:link w:val="12"/>
    <w:semiHidden/>
    <w:unhideWhenUsed/>
    <w:qFormat/>
    <w:uiPriority w:val="0"/>
    <w:pPr>
      <w:spacing w:line="240" w:lineRule="auto"/>
      <w:ind w:firstLine="0" w:firstLineChars="0"/>
    </w:pPr>
    <w:rPr>
      <w:szCs w:val="20"/>
    </w:rPr>
  </w:style>
  <w:style w:type="paragraph" w:styleId="5">
    <w:name w:val="Balloon Text"/>
    <w:basedOn w:val="1"/>
    <w:link w:val="18"/>
    <w:qFormat/>
    <w:uiPriority w:val="0"/>
    <w:pPr>
      <w:spacing w:line="240" w:lineRule="auto"/>
    </w:pPr>
    <w:rPr>
      <w:sz w:val="18"/>
      <w:szCs w:val="18"/>
    </w:rPr>
  </w:style>
  <w:style w:type="paragraph" w:styleId="6">
    <w:name w:val="footer"/>
    <w:basedOn w:val="1"/>
    <w:link w:val="14"/>
    <w:qFormat/>
    <w:uiPriority w:val="0"/>
    <w:pPr>
      <w:tabs>
        <w:tab w:val="center" w:pos="4153"/>
        <w:tab w:val="right" w:pos="8306"/>
      </w:tabs>
      <w:snapToGrid w:val="0"/>
      <w:spacing w:line="240" w:lineRule="auto"/>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9">
    <w:name w:val="annotation reference"/>
    <w:basedOn w:val="8"/>
    <w:qFormat/>
    <w:uiPriority w:val="0"/>
    <w:rPr>
      <w:sz w:val="21"/>
      <w:szCs w:val="21"/>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题注 字符"/>
    <w:link w:val="4"/>
    <w:qFormat/>
    <w:locked/>
    <w:uiPriority w:val="0"/>
    <w:rPr>
      <w:rFonts w:ascii="Times New Roman" w:hAnsi="Times New Roman" w:eastAsia="宋体"/>
      <w:kern w:val="2"/>
      <w:sz w:val="24"/>
    </w:rPr>
  </w:style>
  <w:style w:type="character" w:customStyle="1" w:styleId="13">
    <w:name w:val="页眉 字符"/>
    <w:basedOn w:val="8"/>
    <w:link w:val="7"/>
    <w:qFormat/>
    <w:uiPriority w:val="0"/>
    <w:rPr>
      <w:kern w:val="2"/>
      <w:sz w:val="18"/>
      <w:szCs w:val="18"/>
    </w:rPr>
  </w:style>
  <w:style w:type="character" w:customStyle="1" w:styleId="14">
    <w:name w:val="页脚 字符"/>
    <w:basedOn w:val="8"/>
    <w:link w:val="6"/>
    <w:qFormat/>
    <w:uiPriority w:val="0"/>
    <w:rPr>
      <w:kern w:val="2"/>
      <w:sz w:val="18"/>
      <w:szCs w:val="18"/>
    </w:rPr>
  </w:style>
  <w:style w:type="paragraph" w:styleId="15">
    <w:name w:val="List Paragraph"/>
    <w:basedOn w:val="1"/>
    <w:qFormat/>
    <w:uiPriority w:val="99"/>
    <w:pPr>
      <w:ind w:firstLine="420"/>
    </w:pPr>
  </w:style>
  <w:style w:type="character" w:customStyle="1" w:styleId="16">
    <w:name w:val="批注文字 字符"/>
    <w:basedOn w:val="8"/>
    <w:link w:val="3"/>
    <w:qFormat/>
    <w:uiPriority w:val="0"/>
    <w:rPr>
      <w:kern w:val="2"/>
      <w:sz w:val="24"/>
      <w:szCs w:val="24"/>
    </w:rPr>
  </w:style>
  <w:style w:type="character" w:customStyle="1" w:styleId="17">
    <w:name w:val="批注主题 字符"/>
    <w:basedOn w:val="16"/>
    <w:link w:val="2"/>
    <w:qFormat/>
    <w:uiPriority w:val="0"/>
    <w:rPr>
      <w:b/>
      <w:bCs/>
      <w:kern w:val="2"/>
      <w:sz w:val="24"/>
      <w:szCs w:val="24"/>
    </w:rPr>
  </w:style>
  <w:style w:type="character" w:customStyle="1" w:styleId="18">
    <w:name w:val="批注框文本 字符"/>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4374</Words>
  <Characters>4870</Characters>
  <Lines>28</Lines>
  <Paragraphs>8</Paragraphs>
  <TotalTime>2</TotalTime>
  <ScaleCrop>false</ScaleCrop>
  <LinksUpToDate>false</LinksUpToDate>
  <CharactersWithSpaces>4901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2019-05-23T06:12:00Z</dcterms:created>
  <dc:creator>Administrator</dc:creator>
  <cp:lastModifiedBy>刘佳</cp:lastModifiedBy>
  <cp:lastPrinted>2021-01-18T07:15:00Z</cp:lastPrinted>
  <dcterms:modified xsi:type="dcterms:W3CDTF">2021-07-01T08:49:38Z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7096B4B74AF549ADB16904ADA89D7253</vt:lpwstr>
  </property>
</Properties>
</file>