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人造板制造业VOCs治理</w:t>
      </w:r>
      <w:r>
        <w:rPr>
          <w:rFonts w:hint="eastAsia" w:ascii="黑体" w:hAnsi="黑体" w:eastAsia="黑体" w:cs="黑体"/>
          <w:b w:val="0"/>
          <w:bCs w:val="0"/>
          <w:sz w:val="32"/>
          <w:szCs w:val="32"/>
          <w:lang w:val="en-US" w:eastAsia="zh-CN"/>
        </w:rPr>
        <w:t>指引</w:t>
      </w:r>
    </w:p>
    <w:p>
      <w:pPr>
        <w:spacing w:before="0" w:beforeLines="0" w:after="0" w:afterLines="0" w:line="240" w:lineRule="auto"/>
        <w:ind w:firstLine="640" w:firstLineChars="200"/>
        <w:rPr>
          <w:rFonts w:hint="eastAsia" w:eastAsia="仿宋_GB2312"/>
          <w:b w:val="0"/>
          <w:bCs w:val="0"/>
          <w:sz w:val="32"/>
          <w:szCs w:val="32"/>
        </w:rPr>
      </w:pPr>
      <w:r>
        <w:rPr>
          <w:rFonts w:hint="eastAsia" w:eastAsia="仿宋_GB2312"/>
        </w:rPr>
        <w:t>适用范围：</w:t>
      </w:r>
      <w:r>
        <w:rPr>
          <w:rFonts w:hint="eastAsia" w:eastAsia="仿宋_GB2312"/>
          <w:lang w:val="en-US" w:eastAsia="zh-CN"/>
        </w:rPr>
        <w:t>适用于</w:t>
      </w:r>
      <w:r>
        <w:rPr>
          <w:rFonts w:hint="eastAsia" w:eastAsia="仿宋_GB2312"/>
        </w:rPr>
        <w:t>胶合板制造（C2021）、纤维板制造（C2022）、刨花板制造（C2023）和其他人造板制造（C2029）工业企业或生产设施。</w:t>
      </w:r>
    </w:p>
    <w:tbl>
      <w:tblPr>
        <w:tblStyle w:val="8"/>
        <w:tblW w:w="15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798"/>
        <w:gridCol w:w="1810"/>
        <w:gridCol w:w="9249"/>
        <w:gridCol w:w="1313"/>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序号</w:t>
            </w:r>
          </w:p>
        </w:tc>
        <w:tc>
          <w:tcPr>
            <w:tcW w:w="2608" w:type="dxa"/>
            <w:gridSpan w:val="2"/>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环节</w:t>
            </w:r>
          </w:p>
        </w:tc>
        <w:tc>
          <w:tcPr>
            <w:tcW w:w="9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控制要求</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实施要求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1</w:t>
            </w:r>
          </w:p>
        </w:tc>
        <w:tc>
          <w:tcPr>
            <w:tcW w:w="79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粘结</w:t>
            </w:r>
          </w:p>
        </w:tc>
        <w:tc>
          <w:tcPr>
            <w:tcW w:w="181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尿醛树脂、三聚氰胺改性尿醛树脂</w:t>
            </w: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冷压用游离甲醛含量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1.0%。</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胶合板用</w:t>
            </w:r>
            <w:bookmarkStart w:id="0" w:name="_GoBack"/>
            <w:bookmarkEnd w:id="0"/>
            <w:r>
              <w:rPr>
                <w:rFonts w:hint="default" w:eastAsia="楷体_GB2312"/>
                <w:sz w:val="24"/>
                <w:szCs w:val="24"/>
              </w:rPr>
              <w:t>、细木板用、刨花板用、中/高密度纤维板用游离甲醛含量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0.3%。</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浸渍用游离甲醛含量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0.8%。</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2</w:t>
            </w:r>
          </w:p>
        </w:tc>
        <w:tc>
          <w:tcPr>
            <w:tcW w:w="79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auto"/>
              <w:rPr>
                <w:rFonts w:hint="default" w:eastAsia="楷体_GB2312"/>
                <w:color w:val="000000"/>
                <w:kern w:val="0"/>
                <w:sz w:val="24"/>
                <w:szCs w:val="24"/>
                <w:lang w:bidi="ar"/>
              </w:rPr>
            </w:pPr>
          </w:p>
        </w:tc>
        <w:tc>
          <w:tcPr>
            <w:tcW w:w="181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酚醛树脂</w:t>
            </w: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游离甲醛含量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0.3%。</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醇溶、浸渍用游离苯酚含量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2.0%。</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胶黏剂用游离苯酚含量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1.0%。</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3</w:t>
            </w:r>
          </w:p>
        </w:tc>
        <w:tc>
          <w:tcPr>
            <w:tcW w:w="79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auto"/>
              <w:rPr>
                <w:rFonts w:hint="default" w:eastAsia="楷体_GB2312"/>
                <w:color w:val="000000"/>
                <w:kern w:val="0"/>
                <w:sz w:val="24"/>
                <w:szCs w:val="24"/>
                <w:lang w:bidi="ar"/>
              </w:rPr>
            </w:pPr>
          </w:p>
        </w:tc>
        <w:tc>
          <w:tcPr>
            <w:tcW w:w="181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浸渍用三聚氰胺甲醛树脂</w:t>
            </w: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游离甲醛含量</w:t>
            </w:r>
            <w:r>
              <w:rPr>
                <w:rFonts w:hint="default" w:eastAsia="楷体_GB2312" w:cs="Times New Roman"/>
                <w:color w:val="auto"/>
                <w:kern w:val="2"/>
                <w:sz w:val="24"/>
                <w:szCs w:val="24"/>
                <w:highlight w:val="none"/>
                <w:vertAlign w:val="baseline"/>
                <w:lang w:val="en-US" w:eastAsia="zh-CN" w:bidi="ar-SA"/>
              </w:rPr>
              <w:t>≤</w:t>
            </w:r>
            <w:r>
              <w:rPr>
                <w:rFonts w:hint="default" w:eastAsia="楷体_GB2312"/>
                <w:sz w:val="24"/>
                <w:szCs w:val="24"/>
              </w:rPr>
              <w:t>0.3%。</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b/>
                <w:bCs/>
                <w:sz w:val="24"/>
                <w:szCs w:val="24"/>
              </w:rPr>
            </w:pPr>
            <w:r>
              <w:rPr>
                <w:rFonts w:hint="default" w:eastAsia="楷体_GB2312"/>
                <w:b/>
                <w:bCs/>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4</w:t>
            </w:r>
          </w:p>
        </w:tc>
        <w:tc>
          <w:tcPr>
            <w:tcW w:w="2608"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VOCs物料储存</w:t>
            </w:r>
          </w:p>
        </w:tc>
        <w:tc>
          <w:tcPr>
            <w:tcW w:w="92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lang w:val="en-US" w:eastAsia="zh-CN"/>
              </w:rPr>
              <w:t>胶粘剂、试剂等</w:t>
            </w:r>
            <w:r>
              <w:rPr>
                <w:rFonts w:hint="default" w:eastAsia="楷体_GB2312"/>
                <w:sz w:val="24"/>
                <w:szCs w:val="24"/>
              </w:rPr>
              <w:t>VOCs物料应储存于密闭的容器、包装袋、储罐、储库、料仓中。</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5</w:t>
            </w:r>
          </w:p>
        </w:tc>
        <w:tc>
          <w:tcPr>
            <w:tcW w:w="2608"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249"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盛装VOCs物料的容器是否存放于室内，或存放于设置有雨棚、遮阳和防渗设施的专用场地。盛装VOCs物料的容器在非取用状态时应加盖、封口，保持密闭。</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6</w:t>
            </w:r>
          </w:p>
        </w:tc>
        <w:tc>
          <w:tcPr>
            <w:tcW w:w="2608"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249"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挥发性有机液体储罐控制要求，真实蒸气压</w:t>
            </w:r>
            <w:r>
              <w:rPr>
                <w:rFonts w:hint="default" w:ascii="Times New Roman" w:hAnsi="Times New Roman" w:eastAsia="楷体_GB2312" w:cs="Times New Roman"/>
                <w:sz w:val="24"/>
                <w:szCs w:val="24"/>
              </w:rPr>
              <w:t>≥</w:t>
            </w:r>
            <w:r>
              <w:rPr>
                <w:rFonts w:hint="default" w:eastAsia="楷体_GB2312"/>
                <w:sz w:val="24"/>
                <w:szCs w:val="24"/>
              </w:rPr>
              <w:t>27.6kPa但</w:t>
            </w:r>
            <w:r>
              <w:rPr>
                <w:rFonts w:hint="default" w:ascii="Times New Roman" w:hAnsi="Times New Roman" w:eastAsia="楷体_GB2312" w:cs="Times New Roman"/>
                <w:sz w:val="24"/>
                <w:szCs w:val="24"/>
              </w:rPr>
              <w:t>＜</w:t>
            </w:r>
            <w:r>
              <w:rPr>
                <w:rFonts w:hint="default" w:eastAsia="楷体_GB2312"/>
                <w:sz w:val="24"/>
                <w:szCs w:val="24"/>
              </w:rPr>
              <w:t>76.6kPa且储罐容积</w:t>
            </w:r>
            <w:r>
              <w:rPr>
                <w:rFonts w:hint="default" w:ascii="Times New Roman" w:hAnsi="Times New Roman" w:eastAsia="楷体_GB2312" w:cs="Times New Roman"/>
                <w:sz w:val="24"/>
                <w:szCs w:val="24"/>
              </w:rPr>
              <w:t>≥</w:t>
            </w:r>
            <w:r>
              <w:rPr>
                <w:rFonts w:hint="default" w:eastAsia="楷体_GB2312"/>
                <w:sz w:val="24"/>
                <w:szCs w:val="24"/>
              </w:rPr>
              <w:t>75 m</w:t>
            </w:r>
            <w:r>
              <w:rPr>
                <w:rFonts w:hint="default" w:eastAsia="楷体_GB2312"/>
                <w:sz w:val="24"/>
                <w:szCs w:val="24"/>
                <w:vertAlign w:val="superscript"/>
              </w:rPr>
              <w:t>3</w:t>
            </w:r>
            <w:r>
              <w:rPr>
                <w:rFonts w:hint="default" w:eastAsia="楷体_GB2312"/>
                <w:sz w:val="24"/>
                <w:szCs w:val="24"/>
              </w:rPr>
              <w:t>的挥发性有机液体储罐，以及储存真实蒸气压</w:t>
            </w:r>
            <w:r>
              <w:rPr>
                <w:rFonts w:hint="default" w:ascii="Times New Roman" w:hAnsi="Times New Roman" w:eastAsia="楷体_GB2312" w:cs="Times New Roman"/>
                <w:sz w:val="24"/>
                <w:szCs w:val="24"/>
              </w:rPr>
              <w:t>≥</w:t>
            </w:r>
            <w:r>
              <w:rPr>
                <w:rFonts w:hint="default" w:eastAsia="楷体_GB2312"/>
                <w:sz w:val="24"/>
                <w:szCs w:val="24"/>
              </w:rPr>
              <w:t>5.2kPa但</w:t>
            </w:r>
            <w:r>
              <w:rPr>
                <w:rFonts w:hint="default" w:ascii="Times New Roman" w:hAnsi="Times New Roman" w:eastAsia="楷体_GB2312" w:cs="Times New Roman"/>
                <w:sz w:val="24"/>
                <w:szCs w:val="24"/>
              </w:rPr>
              <w:t>＜</w:t>
            </w:r>
            <w:r>
              <w:rPr>
                <w:rFonts w:hint="default" w:eastAsia="楷体_GB2312" w:cs="Times New Roman"/>
                <w:sz w:val="24"/>
                <w:szCs w:val="24"/>
                <w:lang w:val="en-US" w:eastAsia="zh-CN"/>
              </w:rPr>
              <w:t>2</w:t>
            </w:r>
            <w:r>
              <w:rPr>
                <w:rFonts w:hint="default" w:eastAsia="楷体_GB2312"/>
                <w:sz w:val="24"/>
                <w:szCs w:val="24"/>
              </w:rPr>
              <w:t>7.6kPa且储罐容积</w:t>
            </w:r>
            <w:r>
              <w:rPr>
                <w:rFonts w:hint="default" w:ascii="Times New Roman" w:hAnsi="Times New Roman" w:eastAsia="楷体_GB2312" w:cs="Times New Roman"/>
                <w:sz w:val="24"/>
                <w:szCs w:val="24"/>
              </w:rPr>
              <w:t>≥</w:t>
            </w:r>
            <w:r>
              <w:rPr>
                <w:rFonts w:hint="default" w:eastAsia="楷体_GB2312"/>
                <w:sz w:val="24"/>
                <w:szCs w:val="24"/>
              </w:rPr>
              <w:t>150m</w:t>
            </w:r>
            <w:r>
              <w:rPr>
                <w:rFonts w:hint="default" w:eastAsia="楷体_GB2312"/>
                <w:sz w:val="24"/>
                <w:szCs w:val="24"/>
                <w:vertAlign w:val="superscript"/>
              </w:rPr>
              <w:t>3</w:t>
            </w:r>
            <w:r>
              <w:rPr>
                <w:rFonts w:hint="default" w:eastAsia="楷体_GB2312"/>
                <w:sz w:val="24"/>
                <w:szCs w:val="24"/>
              </w:rPr>
              <w:t>的挥发性有机液体储罐应采取以下措施之一：</w:t>
            </w:r>
          </w:p>
          <w:p>
            <w:pPr>
              <w:keepNext w:val="0"/>
              <w:keepLines w:val="0"/>
              <w:pageBreakBefore w:val="0"/>
              <w:numPr>
                <w:ilvl w:val="0"/>
                <w:numId w:val="0"/>
              </w:numPr>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ascii="Times New Roman" w:hAnsi="Times New Roman" w:eastAsia="楷体_GB2312" w:cs="Times New Roman"/>
                <w:sz w:val="24"/>
                <w:szCs w:val="24"/>
              </w:rPr>
              <w:t>a）</w:t>
            </w:r>
            <w:r>
              <w:rPr>
                <w:rFonts w:hint="default" w:eastAsia="楷体_GB2312"/>
                <w:sz w:val="24"/>
                <w:szCs w:val="24"/>
              </w:rPr>
              <w:t>采用浮项罐储存；</w:t>
            </w:r>
          </w:p>
          <w:p>
            <w:pPr>
              <w:keepNext w:val="0"/>
              <w:keepLines w:val="0"/>
              <w:pageBreakBefore w:val="0"/>
              <w:numPr>
                <w:ilvl w:val="0"/>
                <w:numId w:val="0"/>
              </w:numPr>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ascii="Times New Roman" w:hAnsi="Times New Roman" w:eastAsia="楷体_GB2312" w:cs="Times New Roman"/>
                <w:sz w:val="24"/>
                <w:szCs w:val="24"/>
              </w:rPr>
              <w:t>b）</w:t>
            </w:r>
            <w:r>
              <w:rPr>
                <w:rFonts w:hint="default" w:eastAsia="楷体_GB2312"/>
                <w:sz w:val="24"/>
                <w:szCs w:val="24"/>
              </w:rPr>
              <w:t>采用固定顶罐储存，排放废气应收集处理并满足《大气污染物排放限值》（DB4427-2001）的要求，或者处理效率不低于</w:t>
            </w:r>
            <w:r>
              <w:rPr>
                <w:rFonts w:hint="default" w:eastAsia="楷体_GB2312"/>
                <w:sz w:val="24"/>
                <w:szCs w:val="24"/>
                <w:lang w:val="en-US" w:eastAsia="zh-CN"/>
              </w:rPr>
              <w:t>8</w:t>
            </w:r>
            <w:r>
              <w:rPr>
                <w:rFonts w:hint="default" w:eastAsia="楷体_GB2312"/>
                <w:sz w:val="24"/>
                <w:szCs w:val="24"/>
              </w:rPr>
              <w:t>0%；</w:t>
            </w:r>
          </w:p>
          <w:p>
            <w:pPr>
              <w:keepNext w:val="0"/>
              <w:keepLines w:val="0"/>
              <w:pageBreakBefore w:val="0"/>
              <w:numPr>
                <w:ilvl w:val="0"/>
                <w:numId w:val="0"/>
              </w:numPr>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ascii="Times New Roman" w:hAnsi="Times New Roman" w:eastAsia="楷体_GB2312" w:cs="Times New Roman"/>
                <w:sz w:val="24"/>
                <w:szCs w:val="24"/>
              </w:rPr>
              <w:t>c）</w:t>
            </w:r>
            <w:r>
              <w:rPr>
                <w:rFonts w:hint="default" w:eastAsia="楷体_GB2312"/>
                <w:sz w:val="24"/>
                <w:szCs w:val="24"/>
              </w:rPr>
              <w:t>采用气相平衡系统；</w:t>
            </w:r>
          </w:p>
          <w:p>
            <w:pPr>
              <w:keepNext w:val="0"/>
              <w:keepLines w:val="0"/>
              <w:pageBreakBefore w:val="0"/>
              <w:numPr>
                <w:ilvl w:val="0"/>
                <w:numId w:val="0"/>
              </w:numPr>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cs="Times New Roman"/>
                <w:sz w:val="24"/>
                <w:szCs w:val="24"/>
                <w:lang w:val="en-US" w:eastAsia="zh-CN"/>
              </w:rPr>
              <w:t>d</w:t>
            </w:r>
            <w:r>
              <w:rPr>
                <w:rFonts w:hint="default" w:ascii="Times New Roman" w:hAnsi="Times New Roman" w:eastAsia="楷体_GB2312" w:cs="Times New Roman"/>
                <w:sz w:val="24"/>
                <w:szCs w:val="24"/>
              </w:rPr>
              <w:t>）</w:t>
            </w:r>
            <w:r>
              <w:rPr>
                <w:rFonts w:hint="default" w:eastAsia="楷体_GB2312"/>
                <w:sz w:val="24"/>
                <w:szCs w:val="24"/>
              </w:rPr>
              <w:t>其他等效措施。</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7</w:t>
            </w:r>
          </w:p>
        </w:tc>
        <w:tc>
          <w:tcPr>
            <w:tcW w:w="2608" w:type="dxa"/>
            <w:gridSpan w:val="2"/>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VOCs物料</w:t>
            </w:r>
            <w:r>
              <w:rPr>
                <w:rFonts w:hint="default" w:eastAsia="楷体_GB2312"/>
                <w:sz w:val="24"/>
                <w:szCs w:val="24"/>
              </w:rPr>
              <w:t>转移、输送</w:t>
            </w:r>
          </w:p>
        </w:tc>
        <w:tc>
          <w:tcPr>
            <w:tcW w:w="9249"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lang w:val="en-US" w:eastAsia="zh-CN"/>
              </w:rPr>
              <w:t>胶粘剂、试剂等</w:t>
            </w:r>
            <w:r>
              <w:rPr>
                <w:rFonts w:hint="default" w:eastAsia="楷体_GB2312"/>
                <w:sz w:val="24"/>
                <w:szCs w:val="24"/>
              </w:rPr>
              <w:t>液体VOCs物料应采用管道密闭输送。采用非管道输送方式转移液态VOCs物料时，应采用密闭容器或罐车。</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8</w:t>
            </w:r>
          </w:p>
        </w:tc>
        <w:tc>
          <w:tcPr>
            <w:tcW w:w="2608" w:type="dxa"/>
            <w:gridSpan w:val="2"/>
            <w:vMerge w:val="restart"/>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工艺过程</w:t>
            </w:r>
          </w:p>
        </w:tc>
        <w:tc>
          <w:tcPr>
            <w:tcW w:w="9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lang w:val="en-US" w:eastAsia="zh-CN"/>
              </w:rPr>
              <w:t>胶粘剂、试剂等</w:t>
            </w:r>
            <w:r>
              <w:rPr>
                <w:rFonts w:hint="default" w:eastAsia="楷体_GB2312"/>
                <w:sz w:val="24"/>
                <w:szCs w:val="24"/>
              </w:rPr>
              <w:t>液体VOCs物料应采用密闭管道输送或桶泵等给料方式密闭投加。无法密闭投加的，应在密闭空间内操作，或进行局部气体收集，废气应排至VOCs废气收集处理系统。</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9</w:t>
            </w:r>
          </w:p>
        </w:tc>
        <w:tc>
          <w:tcPr>
            <w:tcW w:w="2608"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纤维/刨花干燥、调胶、涂胶</w:t>
            </w:r>
            <w:r>
              <w:rPr>
                <w:rFonts w:hint="default" w:eastAsia="楷体_GB2312"/>
                <w:sz w:val="24"/>
                <w:szCs w:val="24"/>
                <w:lang w:eastAsia="zh-CN"/>
              </w:rPr>
              <w:t>、</w:t>
            </w:r>
            <w:r>
              <w:rPr>
                <w:rFonts w:hint="default" w:eastAsia="楷体_GB2312"/>
                <w:sz w:val="24"/>
                <w:szCs w:val="24"/>
              </w:rPr>
              <w:t>铺装、热压等</w:t>
            </w:r>
            <w:r>
              <w:rPr>
                <w:rFonts w:hint="default" w:eastAsia="楷体_GB2312"/>
                <w:sz w:val="24"/>
                <w:szCs w:val="24"/>
                <w:lang w:val="en-US" w:eastAsia="zh-CN"/>
              </w:rPr>
              <w:t>涉VOCs工序</w:t>
            </w:r>
            <w:r>
              <w:rPr>
                <w:rFonts w:hint="default" w:eastAsia="楷体_GB2312"/>
                <w:sz w:val="24"/>
                <w:szCs w:val="24"/>
              </w:rPr>
              <w:t>应采用密闭设备或在密闭空间内操作，废气应排至VOCs废气收集处理系统；无法密闭的，应采取局部气体收集措施，废气排至VOCs废气收集处理系统。</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10</w:t>
            </w:r>
          </w:p>
        </w:tc>
        <w:tc>
          <w:tcPr>
            <w:tcW w:w="2608"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非正常排放</w:t>
            </w:r>
          </w:p>
        </w:tc>
        <w:tc>
          <w:tcPr>
            <w:tcW w:w="924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载有VOCs物料的设备及其管道在检维修和清洗时，应在退料阶段将残存物料退净，并用密闭容器盛装，退料过程废气应排至VOCs废气收集处理系统；清洗及吹扫过程排气应排至VOCs废气收集处理系统。</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11</w:t>
            </w:r>
          </w:p>
        </w:tc>
        <w:tc>
          <w:tcPr>
            <w:tcW w:w="2608"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废气收集</w:t>
            </w: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color w:val="000000"/>
                <w:kern w:val="0"/>
                <w:sz w:val="24"/>
                <w:szCs w:val="24"/>
              </w:rPr>
              <w:t>采用外部集气罩的，距集气罩开口面最远处的VOCs无组织排放位置，控制风速不低于0.3m/s。</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12</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rPr>
            </w:pPr>
            <w:r>
              <w:rPr>
                <w:rFonts w:hint="default" w:eastAsia="楷体_GB2312"/>
                <w:color w:val="000000"/>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13</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rPr>
            </w:pPr>
            <w:r>
              <w:rPr>
                <w:rFonts w:hint="default" w:eastAsia="楷体_GB2312"/>
                <w:color w:val="000000"/>
                <w:kern w:val="0"/>
                <w:sz w:val="24"/>
                <w:szCs w:val="24"/>
              </w:rPr>
              <w:t>有组织废气宜分类收集、分类处理或预处理，严禁经污染控制设备处理后的废气与锅炉烟气及其他未经处理的废气混合后直接排放，严禁未经污染控制设备处理后的废气与空气混合后稀释排放。</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14</w:t>
            </w:r>
          </w:p>
        </w:tc>
        <w:tc>
          <w:tcPr>
            <w:tcW w:w="2608"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bidi="ar"/>
              </w:rPr>
              <w:t>末端</w:t>
            </w:r>
            <w:r>
              <w:rPr>
                <w:rFonts w:hint="default" w:eastAsia="楷体_GB2312"/>
                <w:color w:val="000000"/>
                <w:kern w:val="0"/>
                <w:sz w:val="24"/>
                <w:szCs w:val="24"/>
                <w:lang w:val="en-US" w:eastAsia="zh-CN" w:bidi="ar"/>
              </w:rPr>
              <w:t>治理与排放水平</w:t>
            </w: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val="en-US" w:eastAsia="zh-CN" w:bidi="ar-SA"/>
              </w:rPr>
            </w:pPr>
            <w:r>
              <w:rPr>
                <w:rFonts w:hint="default" w:eastAsia="楷体_GB2312"/>
                <w:color w:val="000000"/>
                <w:kern w:val="0"/>
                <w:sz w:val="24"/>
                <w:szCs w:val="24"/>
              </w:rPr>
              <w:t>热压工段应采用焚烧、活性炭吸附等净化技术，严格控制甲醛、VOCs污染物的排放量。</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15</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color w:val="000000"/>
                <w:kern w:val="0"/>
                <w:sz w:val="24"/>
                <w:szCs w:val="24"/>
                <w:lang w:eastAsia="zh-CN"/>
              </w:rPr>
            </w:pPr>
            <w:r>
              <w:rPr>
                <w:rFonts w:hint="default" w:eastAsia="楷体_GB2312"/>
                <w:color w:val="000000"/>
                <w:kern w:val="0"/>
                <w:sz w:val="24"/>
                <w:szCs w:val="24"/>
              </w:rPr>
              <w:t>1、有机废气排气筒排放浓度不高于广东省《大气污染物排放限值》（DB4427-2001）第Ⅱ时段排放限值， 若国家和我省出台并实施适用于该行业的大气污染物排放标准， 则有机废气排气筒排放浓度不高于相应限值；车间或生产设施排气中NMHC初始排放速率≥3</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kg/h时，建设末端治污设施且处理效率≥80%</w:t>
            </w:r>
            <w:r>
              <w:rPr>
                <w:rFonts w:hint="default" w:eastAsia="楷体_GB2312"/>
                <w:color w:val="000000"/>
                <w:kern w:val="0"/>
                <w:sz w:val="24"/>
                <w:szCs w:val="24"/>
                <w:lang w:eastAsia="zh-CN"/>
              </w:rPr>
              <w:t>。</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2"/>
                <w:sz w:val="24"/>
                <w:szCs w:val="24"/>
                <w:lang w:val="en-US" w:eastAsia="zh-CN" w:bidi="ar-SA"/>
              </w:rPr>
            </w:pPr>
            <w:r>
              <w:rPr>
                <w:rFonts w:hint="default" w:eastAsia="楷体_GB2312"/>
                <w:color w:val="000000"/>
                <w:kern w:val="0"/>
                <w:sz w:val="24"/>
                <w:szCs w:val="24"/>
              </w:rPr>
              <w:t>2、厂区内VOCs无组织排放监控点NMHC的小时平均浓度值不高于6</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mg/m</w:t>
            </w:r>
            <w:r>
              <w:rPr>
                <w:rFonts w:hint="default" w:eastAsia="楷体_GB2312"/>
                <w:color w:val="000000"/>
                <w:kern w:val="0"/>
                <w:sz w:val="24"/>
                <w:szCs w:val="24"/>
                <w:vertAlign w:val="superscript"/>
              </w:rPr>
              <w:t>3</w:t>
            </w:r>
            <w:r>
              <w:rPr>
                <w:rFonts w:hint="default" w:eastAsia="楷体_GB2312"/>
                <w:color w:val="000000"/>
                <w:kern w:val="0"/>
                <w:sz w:val="24"/>
                <w:szCs w:val="24"/>
              </w:rPr>
              <w:t>，监控点NMHC的任意一次浓度值不高于20</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mg/m</w:t>
            </w:r>
            <w:r>
              <w:rPr>
                <w:rFonts w:hint="default" w:eastAsia="楷体_GB2312"/>
                <w:color w:val="000000"/>
                <w:kern w:val="0"/>
                <w:sz w:val="24"/>
                <w:szCs w:val="24"/>
                <w:vertAlign w:val="superscript"/>
              </w:rPr>
              <w:t>3</w:t>
            </w:r>
            <w:r>
              <w:rPr>
                <w:rFonts w:hint="default" w:eastAsia="楷体_GB2312"/>
                <w:color w:val="000000"/>
                <w:kern w:val="0"/>
                <w:sz w:val="24"/>
                <w:szCs w:val="24"/>
              </w:rPr>
              <w:t>。</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w:t>
            </w:r>
            <w:r>
              <w:rPr>
                <w:rFonts w:hint="default" w:eastAsia="楷体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Borders>
              <w:top w:val="nil"/>
            </w:tcBorders>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16</w:t>
            </w:r>
          </w:p>
        </w:tc>
        <w:tc>
          <w:tcPr>
            <w:tcW w:w="2608" w:type="dxa"/>
            <w:gridSpan w:val="2"/>
            <w:vMerge w:val="restart"/>
            <w:tcBorders>
              <w:top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治理设施</w:t>
            </w:r>
            <w:r>
              <w:rPr>
                <w:rFonts w:hint="default" w:eastAsia="楷体_GB2312"/>
                <w:color w:val="000000"/>
                <w:kern w:val="0"/>
                <w:sz w:val="24"/>
                <w:szCs w:val="24"/>
                <w:lang w:val="en-US" w:eastAsia="zh-CN" w:bidi="ar"/>
              </w:rPr>
              <w:t>设计与</w:t>
            </w:r>
            <w:r>
              <w:rPr>
                <w:rFonts w:hint="default" w:eastAsia="楷体_GB2312"/>
                <w:color w:val="000000"/>
                <w:kern w:val="0"/>
                <w:sz w:val="24"/>
                <w:szCs w:val="24"/>
                <w:lang w:bidi="ar"/>
              </w:rPr>
              <w:t>运行管理</w:t>
            </w:r>
          </w:p>
        </w:tc>
        <w:tc>
          <w:tcPr>
            <w:tcW w:w="9249" w:type="dxa"/>
            <w:tcBorders>
              <w:top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p>
        </w:tc>
        <w:tc>
          <w:tcPr>
            <w:tcW w:w="1313" w:type="dxa"/>
            <w:tcBorders>
              <w:top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1836" w:type="dxa"/>
            <w:tcBorders>
              <w:top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17</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催化燃烧：</w:t>
            </w:r>
            <w:r>
              <w:rPr>
                <w:rFonts w:hint="default" w:eastAsia="楷体_GB2312"/>
                <w:sz w:val="24"/>
                <w:szCs w:val="24"/>
              </w:rPr>
              <w:t>a）预处理设备应根据废气的成分、性质和污染物的含量进行选择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18</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蓄热燃烧：</w:t>
            </w:r>
            <w:r>
              <w:rPr>
                <w:rFonts w:hint="default" w:eastAsia="楷体_GB2312"/>
                <w:sz w:val="24"/>
                <w:szCs w:val="24"/>
              </w:rPr>
              <w:t>a）预处理</w:t>
            </w:r>
            <w:r>
              <w:rPr>
                <w:rFonts w:hint="default" w:eastAsia="楷体_GB2312"/>
                <w:sz w:val="24"/>
                <w:szCs w:val="24"/>
                <w:lang w:val="en-US" w:eastAsia="zh-CN"/>
              </w:rPr>
              <w:t>设备</w:t>
            </w:r>
            <w:r>
              <w:rPr>
                <w:rFonts w:hint="default" w:eastAsia="楷体_GB2312"/>
                <w:sz w:val="24"/>
                <w:szCs w:val="24"/>
              </w:rPr>
              <w:t>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w:t>
            </w:r>
            <w:r>
              <w:rPr>
                <w:rFonts w:hint="default" w:eastAsia="楷体_GB2312"/>
                <w:sz w:val="24"/>
                <w:szCs w:val="24"/>
                <w:lang w:val="en-US" w:eastAsia="zh-CN"/>
              </w:rPr>
              <w:t xml:space="preserve"> </w:t>
            </w:r>
            <w:r>
              <w:rPr>
                <w:rFonts w:hint="default" w:eastAsia="楷体_GB2312"/>
                <w:sz w:val="24"/>
                <w:szCs w:val="24"/>
              </w:rPr>
              <w:t>s，燃烧室燃烧温度一般应高于760</w:t>
            </w:r>
            <w:r>
              <w:rPr>
                <w:rFonts w:hint="default" w:eastAsia="楷体_GB2312"/>
                <w:sz w:val="24"/>
                <w:szCs w:val="24"/>
                <w:lang w:val="en-US" w:eastAsia="zh-CN"/>
              </w:rPr>
              <w:t xml:space="preserve"> </w:t>
            </w:r>
            <w:r>
              <w:rPr>
                <w:rFonts w:hint="default" w:eastAsia="楷体_GB2312"/>
                <w:sz w:val="24"/>
                <w:szCs w:val="24"/>
              </w:rPr>
              <w:t>℃。</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19</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sz w:val="24"/>
                <w:szCs w:val="24"/>
              </w:rPr>
            </w:pPr>
            <w:r>
              <w:rPr>
                <w:rFonts w:hint="default" w:eastAsia="楷体_GB2312"/>
                <w:b/>
                <w:bCs/>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20</w:t>
            </w:r>
          </w:p>
        </w:tc>
        <w:tc>
          <w:tcPr>
            <w:tcW w:w="2608"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管理台账</w:t>
            </w:r>
          </w:p>
        </w:tc>
        <w:tc>
          <w:tcPr>
            <w:tcW w:w="9249"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default" w:eastAsia="楷体_GB2312"/>
                <w:sz w:val="24"/>
                <w:szCs w:val="24"/>
              </w:rPr>
            </w:pPr>
            <w:r>
              <w:rPr>
                <w:rFonts w:hint="default" w:eastAsia="楷体_GB2312" w:cs="Times New Roman"/>
                <w:color w:val="auto"/>
                <w:kern w:val="0"/>
                <w:sz w:val="24"/>
                <w:szCs w:val="24"/>
                <w:lang w:val="en-US" w:eastAsia="zh-CN" w:bidi="ar"/>
              </w:rPr>
              <w:t>建立含VOCs原辅材料台账，记录含VOCs原辅材料的名称及其VOCs含量、采购量、使用量、库存量、含VOCs原辅材料回收方式及回收量。</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21</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firstLine="0" w:firstLineChars="0"/>
              <w:jc w:val="left"/>
              <w:textAlignment w:val="auto"/>
              <w:rPr>
                <w:rFonts w:hint="default" w:eastAsia="楷体_GB2312"/>
                <w:sz w:val="24"/>
                <w:szCs w:val="24"/>
              </w:rPr>
            </w:pPr>
            <w:r>
              <w:rPr>
                <w:rFonts w:hint="default" w:eastAsia="楷体_GB2312" w:cs="Times New Roman"/>
                <w:color w:val="auto"/>
                <w:kern w:val="0"/>
                <w:sz w:val="24"/>
                <w:szCs w:val="24"/>
                <w:lang w:val="en-US" w:eastAsia="zh-CN" w:bidi="ar"/>
              </w:rPr>
              <w:t>建立废气收集处理设施台账，记录废气处理设施进出口的监测数据（废气量、浓度、温度、含氧量等）、废气收集与处理设施关键参数、废气处理设施相关耗材（吸收剂、吸附剂、催化剂等）购买和处理记录。</w:t>
            </w:r>
          </w:p>
        </w:tc>
        <w:tc>
          <w:tcPr>
            <w:tcW w:w="1313"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83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22</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建立危废台账，整理危废处置合同、转移联单及危废处理方资质佐证材料。</w:t>
            </w:r>
          </w:p>
        </w:tc>
        <w:tc>
          <w:tcPr>
            <w:tcW w:w="1313"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23</w:t>
            </w:r>
          </w:p>
        </w:tc>
        <w:tc>
          <w:tcPr>
            <w:tcW w:w="2608"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台账保存期限不少于3年。</w:t>
            </w:r>
          </w:p>
        </w:tc>
        <w:tc>
          <w:tcPr>
            <w:tcW w:w="1313"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shd w:val="clear" w:color="auto" w:fill="auto"/>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24</w:t>
            </w:r>
          </w:p>
        </w:tc>
        <w:tc>
          <w:tcPr>
            <w:tcW w:w="2608"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自行监测</w:t>
            </w:r>
          </w:p>
        </w:tc>
        <w:tc>
          <w:tcPr>
            <w:tcW w:w="9249" w:type="dxa"/>
            <w:vAlign w:val="center"/>
          </w:tcPr>
          <w:p>
            <w:pPr>
              <w:pStyle w:val="12"/>
              <w:keepNext w:val="0"/>
              <w:keepLines w:val="0"/>
              <w:pageBreakBefore w:val="0"/>
              <w:numPr>
                <w:ilvl w:val="0"/>
                <w:numId w:val="0"/>
              </w:numPr>
              <w:kinsoku/>
              <w:wordWrap/>
              <w:overflowPunct/>
              <w:topLinePunct w:val="0"/>
              <w:autoSpaceDE/>
              <w:autoSpaceDN/>
              <w:bidi w:val="0"/>
              <w:adjustRightInd/>
              <w:snapToGrid/>
              <w:spacing w:line="290" w:lineRule="exact"/>
              <w:ind w:leftChars="0" w:firstLine="0" w:firstLineChars="0"/>
              <w:jc w:val="left"/>
              <w:textAlignment w:val="auto"/>
              <w:rPr>
                <w:rFonts w:hint="default" w:eastAsia="楷体_GB2312"/>
                <w:sz w:val="24"/>
                <w:szCs w:val="24"/>
                <w:lang w:eastAsia="zh-CN"/>
              </w:rPr>
            </w:pPr>
            <w:r>
              <w:rPr>
                <w:rFonts w:hint="default" w:eastAsia="楷体_GB2312"/>
                <w:sz w:val="24"/>
                <w:szCs w:val="24"/>
              </w:rPr>
              <w:t>a）纤维板：纤维干燥工序、热压工序、铺装工序每年监测一次VOCs和甲醛</w:t>
            </w:r>
            <w:r>
              <w:rPr>
                <w:rFonts w:hint="default" w:eastAsia="楷体_GB2312"/>
                <w:sz w:val="24"/>
                <w:szCs w:val="24"/>
                <w:lang w:eastAsia="zh-CN"/>
              </w:rPr>
              <w:t>；</w:t>
            </w:r>
          </w:p>
          <w:p>
            <w:pPr>
              <w:pStyle w:val="12"/>
              <w:keepNext w:val="0"/>
              <w:keepLines w:val="0"/>
              <w:pageBreakBefore w:val="0"/>
              <w:numPr>
                <w:ilvl w:val="0"/>
                <w:numId w:val="0"/>
              </w:numPr>
              <w:kinsoku/>
              <w:wordWrap/>
              <w:overflowPunct/>
              <w:topLinePunct w:val="0"/>
              <w:autoSpaceDE/>
              <w:autoSpaceDN/>
              <w:bidi w:val="0"/>
              <w:adjustRightInd/>
              <w:snapToGrid/>
              <w:spacing w:line="290" w:lineRule="exact"/>
              <w:ind w:leftChars="0" w:firstLine="0" w:firstLineChars="0"/>
              <w:jc w:val="left"/>
              <w:textAlignment w:val="auto"/>
              <w:rPr>
                <w:rFonts w:hint="default" w:eastAsia="楷体_GB2312"/>
                <w:sz w:val="24"/>
                <w:szCs w:val="24"/>
                <w:lang w:eastAsia="zh-CN"/>
              </w:rPr>
            </w:pPr>
            <w:r>
              <w:rPr>
                <w:rFonts w:hint="default" w:eastAsia="楷体_GB2312"/>
                <w:sz w:val="24"/>
                <w:szCs w:val="24"/>
              </w:rPr>
              <w:t>b）刨花板：刨花干燥工序每年监测一次VOCs；热压工序、铺装工序每年监测一次VOCs和甲醛</w:t>
            </w:r>
            <w:r>
              <w:rPr>
                <w:rFonts w:hint="default" w:eastAsia="楷体_GB2312"/>
                <w:sz w:val="24"/>
                <w:szCs w:val="24"/>
                <w:lang w:eastAsia="zh-CN"/>
              </w:rPr>
              <w:t>；</w:t>
            </w:r>
          </w:p>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c</w:t>
            </w:r>
            <w:r>
              <w:rPr>
                <w:rFonts w:hint="default" w:eastAsia="楷体_GB2312"/>
                <w:sz w:val="24"/>
                <w:szCs w:val="24"/>
                <w:lang w:eastAsia="zh-CN"/>
              </w:rPr>
              <w:t>）</w:t>
            </w:r>
            <w:r>
              <w:rPr>
                <w:rFonts w:hint="default" w:eastAsia="楷体_GB2312"/>
                <w:sz w:val="24"/>
                <w:szCs w:val="24"/>
              </w:rPr>
              <w:t>胶合板和其他人造板制造：单板/锯材干燥工段每年监测一次VOCs。</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25</w:t>
            </w:r>
          </w:p>
        </w:tc>
        <w:tc>
          <w:tcPr>
            <w:tcW w:w="2608"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eastAsia="zh-CN"/>
              </w:rPr>
            </w:pPr>
            <w:r>
              <w:rPr>
                <w:rFonts w:hint="default" w:eastAsia="楷体_GB2312"/>
                <w:sz w:val="24"/>
                <w:szCs w:val="24"/>
              </w:rPr>
              <w:t>调（施）胶工段厂界每年监测一次VOCs和甲醛</w:t>
            </w:r>
            <w:r>
              <w:rPr>
                <w:rFonts w:hint="default" w:eastAsia="楷体_GB2312"/>
                <w:sz w:val="24"/>
                <w:szCs w:val="24"/>
                <w:lang w:eastAsia="zh-CN"/>
              </w:rPr>
              <w:t>；</w:t>
            </w:r>
          </w:p>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物料输送厂界每年监测一次VOCs和甲醛。</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ascii="Times New Roman" w:hAnsi="Times New Roman" w:eastAsia="楷体_GB2312" w:cs="Times New Roman"/>
                <w:sz w:val="24"/>
                <w:szCs w:val="24"/>
                <w:lang w:val="en-US" w:eastAsia="zh-CN"/>
              </w:rPr>
              <w:t>26</w:t>
            </w:r>
          </w:p>
        </w:tc>
        <w:tc>
          <w:tcPr>
            <w:tcW w:w="2608" w:type="dxa"/>
            <w:gridSpan w:val="2"/>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危废管理</w:t>
            </w:r>
          </w:p>
        </w:tc>
        <w:tc>
          <w:tcPr>
            <w:tcW w:w="9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工艺过程产生的含VOCs废料（渣、液）应按照相关要求进行储存、转移和输送。盛装过VOCs物料的废包装容器应加盖密闭。</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center"/>
              <w:textAlignment w:val="auto"/>
              <w:rPr>
                <w:rFonts w:hint="default" w:eastAsia="楷体_GB2312"/>
                <w:b/>
                <w:bCs/>
                <w:sz w:val="24"/>
                <w:szCs w:val="24"/>
              </w:rPr>
            </w:pPr>
            <w:r>
              <w:rPr>
                <w:rFonts w:hint="default" w:eastAsia="楷体_GB2312"/>
                <w:b/>
                <w:bCs/>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eastAsia="楷体_GB2312" w:cs="Times New Roman"/>
                <w:sz w:val="24"/>
                <w:szCs w:val="24"/>
                <w:lang w:val="en-US" w:eastAsia="zh-CN"/>
              </w:rPr>
              <w:t>27</w:t>
            </w:r>
          </w:p>
        </w:tc>
        <w:tc>
          <w:tcPr>
            <w:tcW w:w="2608"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建设项目VOCs</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总量管理</w:t>
            </w:r>
          </w:p>
        </w:tc>
        <w:tc>
          <w:tcPr>
            <w:tcW w:w="9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新、改、扩建项目应执行总量替代制度，明确VOCs总量指标来源。</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default" w:eastAsia="楷体_GB2312"/>
                <w:sz w:val="24"/>
                <w:szCs w:val="24"/>
              </w:rPr>
            </w:pPr>
            <w:r>
              <w:rPr>
                <w:rFonts w:hint="eastAsia" w:eastAsia="楷体_GB2312" w:cs="Times New Roman"/>
                <w:sz w:val="24"/>
                <w:szCs w:val="24"/>
                <w:lang w:val="en-US" w:eastAsia="zh-CN"/>
              </w:rPr>
              <w:t>28</w:t>
            </w:r>
          </w:p>
        </w:tc>
        <w:tc>
          <w:tcPr>
            <w:tcW w:w="2608"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249"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新、改、扩建项目</w:t>
            </w:r>
            <w:r>
              <w:rPr>
                <w:rFonts w:hint="default" w:eastAsia="楷体_GB2312"/>
                <w:sz w:val="24"/>
                <w:szCs w:val="24"/>
              </w:rPr>
              <w:t>和</w:t>
            </w:r>
            <w:r>
              <w:rPr>
                <w:rFonts w:hint="default" w:eastAsia="楷体_GB2312"/>
                <w:sz w:val="24"/>
                <w:szCs w:val="24"/>
                <w:lang w:val="en-US" w:eastAsia="zh-CN"/>
              </w:rPr>
              <w:t>现有企业</w:t>
            </w:r>
            <w:r>
              <w:rPr>
                <w:rFonts w:hint="default" w:eastAsia="楷体_GB2312"/>
                <w:sz w:val="24"/>
                <w:szCs w:val="24"/>
              </w:rPr>
              <w:t>VOCs</w:t>
            </w:r>
            <w:r>
              <w:rPr>
                <w:rFonts w:hint="default" w:eastAsia="楷体_GB2312"/>
                <w:sz w:val="24"/>
                <w:szCs w:val="24"/>
                <w:lang w:val="en-US" w:eastAsia="zh-CN"/>
              </w:rPr>
              <w:t>基准</w:t>
            </w:r>
            <w:r>
              <w:rPr>
                <w:rFonts w:hint="default" w:eastAsia="楷体_GB2312"/>
                <w:sz w:val="24"/>
                <w:szCs w:val="24"/>
              </w:rPr>
              <w:t>排放量</w:t>
            </w:r>
            <w:r>
              <w:rPr>
                <w:rFonts w:hint="default" w:eastAsia="楷体_GB2312"/>
                <w:sz w:val="24"/>
                <w:szCs w:val="24"/>
                <w:lang w:val="en-US" w:eastAsia="zh-CN"/>
              </w:rPr>
              <w:t>计算参考《</w:t>
            </w:r>
            <w:r>
              <w:rPr>
                <w:rFonts w:hint="default" w:eastAsia="楷体_GB2312"/>
                <w:sz w:val="24"/>
                <w:szCs w:val="24"/>
              </w:rPr>
              <w:t>广东省重点行业挥发性有机物排放量计算方法核算</w:t>
            </w:r>
            <w:r>
              <w:rPr>
                <w:rFonts w:hint="default" w:eastAsia="楷体_GB2312"/>
                <w:sz w:val="24"/>
                <w:szCs w:val="24"/>
                <w:lang w:val="en-US" w:eastAsia="zh-CN"/>
              </w:rPr>
              <w:t>》进行核算</w:t>
            </w:r>
            <w:r>
              <w:rPr>
                <w:rFonts w:hint="default" w:eastAsia="楷体_GB2312"/>
                <w:sz w:val="24"/>
                <w:szCs w:val="24"/>
                <w:lang w:eastAsia="zh-CN"/>
              </w:rPr>
              <w:t>，</w:t>
            </w:r>
            <w:r>
              <w:rPr>
                <w:rFonts w:hint="default" w:eastAsia="楷体_GB2312"/>
                <w:sz w:val="24"/>
                <w:szCs w:val="24"/>
              </w:rPr>
              <w:t>若国家和我省出台适用于</w:t>
            </w:r>
            <w:r>
              <w:rPr>
                <w:rFonts w:hint="default" w:eastAsia="楷体_GB2312"/>
                <w:sz w:val="24"/>
                <w:szCs w:val="24"/>
                <w:lang w:val="en-US" w:eastAsia="zh-CN"/>
              </w:rPr>
              <w:t>该行</w:t>
            </w:r>
            <w:r>
              <w:rPr>
                <w:rFonts w:hint="default" w:eastAsia="楷体_GB2312"/>
                <w:sz w:val="24"/>
                <w:szCs w:val="24"/>
              </w:rPr>
              <w:t>业的</w:t>
            </w:r>
            <w:r>
              <w:rPr>
                <w:rFonts w:hint="default" w:eastAsia="楷体_GB2312"/>
                <w:sz w:val="24"/>
                <w:szCs w:val="24"/>
                <w:lang w:val="en-US" w:eastAsia="zh-CN"/>
              </w:rPr>
              <w:t>VOCs排放量计算方法，则参照其相关规定执行。</w:t>
            </w:r>
            <w:r>
              <w:rPr>
                <w:rFonts w:hint="default" w:eastAsia="楷体_GB2312"/>
                <w:sz w:val="24"/>
                <w:szCs w:val="24"/>
              </w:rPr>
              <w:t>。</w:t>
            </w:r>
          </w:p>
        </w:tc>
        <w:tc>
          <w:tcPr>
            <w:tcW w:w="131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8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744" w:type="dxa"/>
            <w:gridSpan w:val="6"/>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文件依据：</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挥发性有机物无组织排放控制标准</w:t>
            </w:r>
            <w:r>
              <w:rPr>
                <w:rFonts w:hint="default" w:eastAsia="楷体_GB2312"/>
                <w:sz w:val="24"/>
                <w:szCs w:val="24"/>
                <w:lang w:eastAsia="zh-CN"/>
              </w:rPr>
              <w:t>（</w:t>
            </w:r>
            <w:r>
              <w:rPr>
                <w:rFonts w:hint="default" w:eastAsia="楷体_GB2312"/>
                <w:sz w:val="24"/>
                <w:szCs w:val="24"/>
              </w:rPr>
              <w:t>GB 38722-2019</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木材工业胶粘剂用脲醛、酚醛、三聚氰胺甲醛树脂</w:t>
            </w:r>
            <w:r>
              <w:rPr>
                <w:rFonts w:hint="default" w:eastAsia="楷体_GB2312"/>
                <w:sz w:val="24"/>
                <w:szCs w:val="24"/>
                <w:lang w:eastAsia="zh-CN"/>
              </w:rPr>
              <w:t>（</w:t>
            </w:r>
            <w:r>
              <w:rPr>
                <w:rFonts w:hint="default" w:eastAsia="楷体_GB2312"/>
                <w:sz w:val="24"/>
                <w:szCs w:val="24"/>
              </w:rPr>
              <w:t>GB/T 14732-2017</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大气污染物排放限值</w:t>
            </w:r>
            <w:r>
              <w:rPr>
                <w:rFonts w:hint="default" w:eastAsia="楷体_GB2312"/>
                <w:sz w:val="24"/>
                <w:szCs w:val="24"/>
                <w:lang w:eastAsia="zh-CN"/>
              </w:rPr>
              <w:t>（</w:t>
            </w:r>
            <w:r>
              <w:rPr>
                <w:rFonts w:hint="default" w:eastAsia="楷体_GB2312"/>
                <w:sz w:val="24"/>
                <w:szCs w:val="24"/>
              </w:rPr>
              <w:t>DB4427-2001</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排污许可证申请与核发技术规范 人造板工业</w:t>
            </w:r>
            <w:r>
              <w:rPr>
                <w:rFonts w:hint="default" w:eastAsia="楷体_GB2312"/>
                <w:sz w:val="24"/>
                <w:szCs w:val="24"/>
                <w:lang w:eastAsia="zh-CN"/>
              </w:rPr>
              <w:t>（</w:t>
            </w:r>
            <w:r>
              <w:rPr>
                <w:rFonts w:hint="default" w:eastAsia="楷体_GB2312"/>
                <w:sz w:val="24"/>
                <w:szCs w:val="24"/>
              </w:rPr>
              <w:t>HJ 1032-2019</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吸附法工业有机废气治理工程技术规范</w:t>
            </w:r>
            <w:r>
              <w:rPr>
                <w:rFonts w:hint="default" w:eastAsia="楷体_GB2312"/>
                <w:sz w:val="24"/>
                <w:szCs w:val="24"/>
                <w:lang w:eastAsia="zh-CN"/>
              </w:rPr>
              <w:t>（</w:t>
            </w:r>
            <w:r>
              <w:rPr>
                <w:rFonts w:hint="default" w:eastAsia="楷体_GB2312"/>
                <w:sz w:val="24"/>
                <w:szCs w:val="24"/>
              </w:rPr>
              <w:t>HJ 2026-2013</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催化燃烧法工业有机废气治理工程技术</w:t>
            </w:r>
            <w:r>
              <w:rPr>
                <w:rFonts w:hint="default" w:eastAsia="楷体_GB2312"/>
                <w:sz w:val="24"/>
                <w:szCs w:val="24"/>
                <w:lang w:eastAsia="zh-CN"/>
              </w:rPr>
              <w:t>（</w:t>
            </w:r>
            <w:r>
              <w:rPr>
                <w:rFonts w:hint="default" w:eastAsia="楷体_GB2312"/>
                <w:sz w:val="24"/>
                <w:szCs w:val="24"/>
              </w:rPr>
              <w:t>HJ2027-2013</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蓄热燃烧法工业有机废气治理工程技术规范</w:t>
            </w:r>
            <w:r>
              <w:rPr>
                <w:rFonts w:hint="default" w:eastAsia="楷体_GB2312"/>
                <w:sz w:val="24"/>
                <w:szCs w:val="24"/>
                <w:lang w:eastAsia="zh-CN"/>
              </w:rPr>
              <w:t>（</w:t>
            </w:r>
            <w:r>
              <w:rPr>
                <w:rFonts w:hint="default" w:eastAsia="楷体_GB2312"/>
                <w:sz w:val="24"/>
                <w:szCs w:val="24"/>
              </w:rPr>
              <w:t>HJ 1093-2020</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重点行业挥发性有机物综合治理方案</w:t>
            </w:r>
            <w:r>
              <w:rPr>
                <w:rFonts w:hint="default" w:eastAsia="楷体_GB2312"/>
                <w:sz w:val="24"/>
                <w:szCs w:val="24"/>
                <w:lang w:eastAsia="zh-CN"/>
              </w:rPr>
              <w:t>（</w:t>
            </w:r>
            <w:r>
              <w:rPr>
                <w:rFonts w:hint="default" w:eastAsia="楷体_GB2312"/>
                <w:sz w:val="24"/>
                <w:szCs w:val="24"/>
              </w:rPr>
              <w:t>环大气﹝2019﹞53号</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广东省生态环境厅办公室关于印发挥发性有机物重点监管企业VOCs管控台账清单的通知</w:t>
            </w:r>
            <w:r>
              <w:rPr>
                <w:rFonts w:hint="default" w:eastAsia="楷体_GB2312"/>
                <w:sz w:val="24"/>
                <w:szCs w:val="24"/>
                <w:lang w:eastAsia="zh-CN"/>
              </w:rPr>
              <w:t>（</w:t>
            </w:r>
            <w:r>
              <w:rPr>
                <w:rFonts w:hint="default" w:eastAsia="楷体_GB2312"/>
                <w:sz w:val="24"/>
                <w:szCs w:val="24"/>
              </w:rPr>
              <w:t>粤环办函〔2020〕19号</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广东省生态环境厅关于做好重点行业建设项目挥发性有机物总量指标管理工作的通知</w:t>
            </w:r>
            <w:r>
              <w:rPr>
                <w:rFonts w:hint="default" w:eastAsia="楷体_GB2312"/>
                <w:sz w:val="24"/>
                <w:szCs w:val="24"/>
                <w:lang w:eastAsia="zh-CN"/>
              </w:rPr>
              <w:t>（</w:t>
            </w:r>
            <w:r>
              <w:rPr>
                <w:rFonts w:hint="default" w:eastAsia="楷体_GB2312"/>
                <w:sz w:val="24"/>
                <w:szCs w:val="24"/>
              </w:rPr>
              <w:t>粤环发〔2019〕2号</w:t>
            </w:r>
            <w:r>
              <w:rPr>
                <w:rFonts w:hint="default" w:eastAsia="楷体_GB2312"/>
                <w:sz w:val="24"/>
                <w:szCs w:val="24"/>
                <w:lang w:eastAsia="zh-CN"/>
              </w:rPr>
              <w:t>）</w:t>
            </w:r>
          </w:p>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广东省生态环境厅关于印发重点行业挥发性有机物排放量计算方法的通知</w:t>
            </w:r>
            <w:r>
              <w:rPr>
                <w:rFonts w:hint="default" w:eastAsia="楷体_GB2312"/>
                <w:sz w:val="24"/>
                <w:szCs w:val="24"/>
                <w:lang w:eastAsia="zh-CN"/>
              </w:rPr>
              <w:t>（</w:t>
            </w:r>
            <w:r>
              <w:rPr>
                <w:rFonts w:hint="default" w:eastAsia="楷体_GB2312"/>
                <w:sz w:val="24"/>
                <w:szCs w:val="24"/>
              </w:rPr>
              <w:t>粤环函〔2019〕243号</w:t>
            </w:r>
            <w:r>
              <w:rPr>
                <w:rFonts w:hint="default" w:eastAsia="楷体_GB2312"/>
                <w:sz w:val="24"/>
                <w:szCs w:val="24"/>
                <w:lang w:eastAsia="zh-CN"/>
              </w:rPr>
              <w:t>）</w:t>
            </w:r>
          </w:p>
        </w:tc>
      </w:tr>
    </w:tbl>
    <w:p>
      <w:pPr>
        <w:ind w:firstLine="0" w:firstLineChars="0"/>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417" w:right="1134" w:bottom="1417" w:left="1134" w:header="851" w:footer="1020" w:gutter="0"/>
      <w:pgBorders>
        <w:top w:val="none" w:sz="0" w:space="0"/>
        <w:left w:val="none" w:sz="0" w:space="0"/>
        <w:bottom w:val="none" w:sz="0" w:space="0"/>
        <w:right w:val="none" w:sz="0" w:space="0"/>
      </w:pgBorders>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ind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226"/>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91E"/>
    <w:rsid w:val="000166F0"/>
    <w:rsid w:val="00022AA8"/>
    <w:rsid w:val="00027595"/>
    <w:rsid w:val="00027A81"/>
    <w:rsid w:val="0005404B"/>
    <w:rsid w:val="00055738"/>
    <w:rsid w:val="00055875"/>
    <w:rsid w:val="000B0C2B"/>
    <w:rsid w:val="000B3310"/>
    <w:rsid w:val="000C48E8"/>
    <w:rsid w:val="000E41AF"/>
    <w:rsid w:val="00105566"/>
    <w:rsid w:val="00125D37"/>
    <w:rsid w:val="0013019E"/>
    <w:rsid w:val="001323B0"/>
    <w:rsid w:val="00157549"/>
    <w:rsid w:val="00236577"/>
    <w:rsid w:val="00277B89"/>
    <w:rsid w:val="00293CD9"/>
    <w:rsid w:val="002C66AD"/>
    <w:rsid w:val="002E31F5"/>
    <w:rsid w:val="002E7EE5"/>
    <w:rsid w:val="00361CA9"/>
    <w:rsid w:val="00377C73"/>
    <w:rsid w:val="00396F0C"/>
    <w:rsid w:val="004349B1"/>
    <w:rsid w:val="0047191E"/>
    <w:rsid w:val="00503C9E"/>
    <w:rsid w:val="00522495"/>
    <w:rsid w:val="00536423"/>
    <w:rsid w:val="005615BB"/>
    <w:rsid w:val="005B7A0C"/>
    <w:rsid w:val="005F6BA7"/>
    <w:rsid w:val="006325A0"/>
    <w:rsid w:val="00651007"/>
    <w:rsid w:val="00663C74"/>
    <w:rsid w:val="006C087C"/>
    <w:rsid w:val="006F2EA6"/>
    <w:rsid w:val="007421A4"/>
    <w:rsid w:val="00752959"/>
    <w:rsid w:val="00795943"/>
    <w:rsid w:val="007D23B6"/>
    <w:rsid w:val="00816097"/>
    <w:rsid w:val="0083780A"/>
    <w:rsid w:val="00873A3D"/>
    <w:rsid w:val="00884AC4"/>
    <w:rsid w:val="008E651D"/>
    <w:rsid w:val="00922782"/>
    <w:rsid w:val="00963576"/>
    <w:rsid w:val="0097337D"/>
    <w:rsid w:val="00973FA8"/>
    <w:rsid w:val="009D689F"/>
    <w:rsid w:val="009E5EA8"/>
    <w:rsid w:val="00A03443"/>
    <w:rsid w:val="00A2243A"/>
    <w:rsid w:val="00A52DED"/>
    <w:rsid w:val="00A55412"/>
    <w:rsid w:val="00A5737C"/>
    <w:rsid w:val="00AA1EFC"/>
    <w:rsid w:val="00AB3041"/>
    <w:rsid w:val="00B35529"/>
    <w:rsid w:val="00B440DC"/>
    <w:rsid w:val="00B67996"/>
    <w:rsid w:val="00BA01B9"/>
    <w:rsid w:val="00BD4593"/>
    <w:rsid w:val="00BD7C0C"/>
    <w:rsid w:val="00C260E6"/>
    <w:rsid w:val="00C606E0"/>
    <w:rsid w:val="00C614B9"/>
    <w:rsid w:val="00C65285"/>
    <w:rsid w:val="00DF2F66"/>
    <w:rsid w:val="00DF70D0"/>
    <w:rsid w:val="00E33412"/>
    <w:rsid w:val="00EB7A8D"/>
    <w:rsid w:val="00ED5F0A"/>
    <w:rsid w:val="00F213D5"/>
    <w:rsid w:val="00F37EC1"/>
    <w:rsid w:val="00F6137F"/>
    <w:rsid w:val="00F63BA4"/>
    <w:rsid w:val="00FE3CE8"/>
    <w:rsid w:val="00FF47BB"/>
    <w:rsid w:val="03934CF2"/>
    <w:rsid w:val="06220789"/>
    <w:rsid w:val="06721460"/>
    <w:rsid w:val="0A5A4446"/>
    <w:rsid w:val="0C2A63F2"/>
    <w:rsid w:val="0C917E83"/>
    <w:rsid w:val="0C972AB7"/>
    <w:rsid w:val="10EB5A00"/>
    <w:rsid w:val="10EE63B6"/>
    <w:rsid w:val="11941676"/>
    <w:rsid w:val="1C5B0D80"/>
    <w:rsid w:val="1C7C6A45"/>
    <w:rsid w:val="20070E57"/>
    <w:rsid w:val="22AF5138"/>
    <w:rsid w:val="240E4219"/>
    <w:rsid w:val="24F758FE"/>
    <w:rsid w:val="25E2703E"/>
    <w:rsid w:val="274A7780"/>
    <w:rsid w:val="29167964"/>
    <w:rsid w:val="294235AD"/>
    <w:rsid w:val="2B091530"/>
    <w:rsid w:val="2BD43DD5"/>
    <w:rsid w:val="2D4F3729"/>
    <w:rsid w:val="2FE511D0"/>
    <w:rsid w:val="31957967"/>
    <w:rsid w:val="324F1464"/>
    <w:rsid w:val="324F6553"/>
    <w:rsid w:val="32AF4AAD"/>
    <w:rsid w:val="33CF551B"/>
    <w:rsid w:val="35445E6E"/>
    <w:rsid w:val="373F4455"/>
    <w:rsid w:val="38597F15"/>
    <w:rsid w:val="3A7167EE"/>
    <w:rsid w:val="3A763CA1"/>
    <w:rsid w:val="3BB1783E"/>
    <w:rsid w:val="3E315EDB"/>
    <w:rsid w:val="3E8C69C6"/>
    <w:rsid w:val="3EEB1D3A"/>
    <w:rsid w:val="438115CC"/>
    <w:rsid w:val="46C85118"/>
    <w:rsid w:val="47A85835"/>
    <w:rsid w:val="48A054F5"/>
    <w:rsid w:val="48A87221"/>
    <w:rsid w:val="4BB47963"/>
    <w:rsid w:val="4D642792"/>
    <w:rsid w:val="4E205263"/>
    <w:rsid w:val="4F531C13"/>
    <w:rsid w:val="50D012A8"/>
    <w:rsid w:val="51ED1F80"/>
    <w:rsid w:val="53A44696"/>
    <w:rsid w:val="53D61021"/>
    <w:rsid w:val="56880C3A"/>
    <w:rsid w:val="5A705F5C"/>
    <w:rsid w:val="5B8F4C55"/>
    <w:rsid w:val="5CBA137D"/>
    <w:rsid w:val="5CD01CE9"/>
    <w:rsid w:val="5E8553C1"/>
    <w:rsid w:val="5FE51351"/>
    <w:rsid w:val="64843E15"/>
    <w:rsid w:val="64AC5CB2"/>
    <w:rsid w:val="654970F3"/>
    <w:rsid w:val="692F07A4"/>
    <w:rsid w:val="6D934F09"/>
    <w:rsid w:val="6E6808CF"/>
    <w:rsid w:val="706B0A3D"/>
    <w:rsid w:val="70AB51F6"/>
    <w:rsid w:val="72700EAF"/>
    <w:rsid w:val="72D34048"/>
    <w:rsid w:val="741278FA"/>
    <w:rsid w:val="74DE7261"/>
    <w:rsid w:val="759A139F"/>
    <w:rsid w:val="75DA5F7F"/>
    <w:rsid w:val="77D663E1"/>
    <w:rsid w:val="7DB629DA"/>
    <w:rsid w:val="7EC65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link w:val="9"/>
    <w:semiHidden/>
    <w:unhideWhenUsed/>
    <w:qFormat/>
    <w:uiPriority w:val="0"/>
    <w:pPr>
      <w:spacing w:line="240" w:lineRule="auto"/>
      <w:ind w:firstLine="0" w:firstLineChars="0"/>
    </w:pPr>
    <w:rPr>
      <w:szCs w:val="20"/>
    </w:rPr>
  </w:style>
  <w:style w:type="paragraph" w:styleId="3">
    <w:name w:val="annotation text"/>
    <w:basedOn w:val="1"/>
    <w:qFormat/>
    <w:uiPriority w:val="0"/>
    <w:pPr>
      <w:jc w:val="left"/>
    </w:pPr>
  </w:style>
  <w:style w:type="paragraph" w:styleId="4">
    <w:name w:val="footer"/>
    <w:basedOn w:val="1"/>
    <w:link w:val="11"/>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题注 字符"/>
    <w:link w:val="2"/>
    <w:qFormat/>
    <w:locked/>
    <w:uiPriority w:val="0"/>
    <w:rPr>
      <w:rFonts w:ascii="Times New Roman" w:hAnsi="Times New Roman" w:eastAsia="宋体"/>
      <w:kern w:val="2"/>
      <w:sz w:val="24"/>
    </w:rPr>
  </w:style>
  <w:style w:type="character" w:customStyle="1" w:styleId="10">
    <w:name w:val="页眉 字符"/>
    <w:basedOn w:val="6"/>
    <w:link w:val="5"/>
    <w:qFormat/>
    <w:uiPriority w:val="0"/>
    <w:rPr>
      <w:kern w:val="2"/>
      <w:sz w:val="18"/>
      <w:szCs w:val="18"/>
    </w:rPr>
  </w:style>
  <w:style w:type="character" w:customStyle="1" w:styleId="11">
    <w:name w:val="页脚 字符"/>
    <w:basedOn w:val="6"/>
    <w:link w:val="4"/>
    <w:qFormat/>
    <w:uiPriority w:val="0"/>
    <w:rPr>
      <w:kern w:val="2"/>
      <w:sz w:val="18"/>
      <w:szCs w:val="18"/>
    </w:rPr>
  </w:style>
  <w:style w:type="paragraph" w:styleId="12">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567</Words>
  <Characters>3236</Characters>
  <Lines>26</Lines>
  <Paragraphs>7</Paragraphs>
  <TotalTime>6</TotalTime>
  <ScaleCrop>false</ScaleCrop>
  <LinksUpToDate>false</LinksUpToDate>
  <CharactersWithSpaces>3796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2021-01-26T01:21:00Z</dcterms:created>
  <dc:creator>Administrator</dc:creator>
  <cp:lastModifiedBy>刘佳</cp:lastModifiedBy>
  <cp:lastPrinted>2021-01-18T07:15:00Z</cp:lastPrinted>
  <dcterms:modified xsi:type="dcterms:W3CDTF">2021-07-01T08:52:33Z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0B163867CCDF4D0792FA26FBBB3005D0</vt:lpwstr>
  </property>
</Properties>
</file>