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bCs/>
          <w:sz w:val="36"/>
          <w:szCs w:val="44"/>
        </w:rPr>
      </w:pPr>
    </w:p>
    <w:p>
      <w:pPr>
        <w:jc w:val="center"/>
        <w:rPr>
          <w:rFonts w:hint="eastAsia" w:ascii="宋体" w:hAnsi="宋体" w:eastAsia="宋体" w:cs="宋体"/>
          <w:b/>
          <w:sz w:val="36"/>
          <w:szCs w:val="44"/>
          <w:lang w:val="en-US" w:eastAsia="zh-CN"/>
        </w:rPr>
      </w:pPr>
      <w:r>
        <w:rPr>
          <w:rFonts w:hint="eastAsia" w:ascii="Arial" w:hAnsi="Arial" w:eastAsia="宋体" w:cs="Arial"/>
          <w:b/>
          <w:sz w:val="36"/>
          <w:szCs w:val="44"/>
          <w:lang w:val="en-US" w:eastAsia="zh-CN"/>
        </w:rPr>
        <w:t>揭阳市林业局</w:t>
      </w:r>
      <w:r>
        <w:rPr>
          <w:rFonts w:hint="eastAsia" w:ascii="宋体" w:hAnsi="宋体" w:eastAsia="宋体" w:cs="宋体"/>
          <w:b/>
          <w:sz w:val="36"/>
          <w:szCs w:val="44"/>
          <w:lang w:val="en-US" w:eastAsia="zh-CN"/>
        </w:rPr>
        <w:t>2020</w:t>
      </w:r>
      <w:r>
        <w:rPr>
          <w:rFonts w:hint="eastAsia" w:ascii="宋体" w:hAnsi="宋体" w:eastAsia="宋体" w:cs="宋体"/>
          <w:b/>
          <w:sz w:val="36"/>
          <w:szCs w:val="44"/>
        </w:rPr>
        <w:t>年</w:t>
      </w:r>
      <w:r>
        <w:rPr>
          <w:rFonts w:hint="eastAsia" w:ascii="宋体" w:hAnsi="宋体" w:eastAsia="宋体" w:cs="宋体"/>
          <w:b/>
          <w:sz w:val="36"/>
          <w:szCs w:val="44"/>
          <w:lang w:val="en-US" w:eastAsia="zh-CN"/>
        </w:rPr>
        <w:t>涉农转移支付资金</w:t>
      </w:r>
      <w:bookmarkStart w:id="4" w:name="_GoBack"/>
      <w:bookmarkEnd w:id="4"/>
    </w:p>
    <w:p>
      <w:pPr>
        <w:jc w:val="center"/>
        <w:rPr>
          <w:rFonts w:ascii="仿宋_GB2312" w:hAnsi="华文中宋"/>
          <w:bCs/>
          <w:szCs w:val="32"/>
        </w:rPr>
      </w:pPr>
      <w:r>
        <w:rPr>
          <w:rFonts w:hint="eastAsia" w:ascii="宋体" w:hAnsi="宋体" w:eastAsia="宋体" w:cs="宋体"/>
          <w:b/>
          <w:sz w:val="36"/>
          <w:szCs w:val="44"/>
        </w:rPr>
        <w:t>绩效自评报告</w:t>
      </w:r>
    </w:p>
    <w:p>
      <w:pPr>
        <w:jc w:val="center"/>
        <w:rPr>
          <w:rFonts w:ascii="仿宋_GB2312"/>
          <w:szCs w:val="32"/>
        </w:rPr>
      </w:pPr>
    </w:p>
    <w:p>
      <w:pPr>
        <w:ind w:firstLine="600" w:firstLineChars="200"/>
        <w:rPr>
          <w:rFonts w:ascii="黑体" w:hAnsi="黑体" w:eastAsia="黑体" w:cs="黑体"/>
          <w:bCs/>
          <w:szCs w:val="32"/>
        </w:rPr>
      </w:pPr>
      <w:r>
        <w:rPr>
          <w:rFonts w:hint="eastAsia" w:ascii="黑体" w:hAnsi="黑体" w:eastAsia="黑体" w:cs="黑体"/>
          <w:bCs/>
          <w:szCs w:val="32"/>
        </w:rPr>
        <w:t>一、基本情况</w:t>
      </w:r>
    </w:p>
    <w:p>
      <w:pPr>
        <w:ind w:firstLine="602" w:firstLineChars="200"/>
        <w:outlineLvl w:val="0"/>
        <w:rPr>
          <w:rFonts w:hint="default" w:ascii="仿宋_GB2312"/>
          <w:szCs w:val="32"/>
          <w:lang w:val="en-US" w:eastAsia="zh-CN"/>
        </w:rPr>
      </w:pPr>
      <w:r>
        <w:rPr>
          <w:rFonts w:hint="eastAsia" w:ascii="仿宋_GB2312"/>
          <w:b/>
          <w:bCs/>
          <w:szCs w:val="32"/>
        </w:rPr>
        <w:t>（一）</w:t>
      </w:r>
      <w:r>
        <w:rPr>
          <w:rFonts w:hint="eastAsia" w:ascii="仿宋_GB2312"/>
          <w:b/>
          <w:bCs/>
          <w:szCs w:val="32"/>
          <w:lang w:val="en-US" w:eastAsia="zh-CN"/>
        </w:rPr>
        <w:t>项目资金</w:t>
      </w:r>
      <w:r>
        <w:rPr>
          <w:rFonts w:hint="eastAsia" w:ascii="仿宋_GB2312"/>
          <w:b/>
          <w:bCs/>
          <w:szCs w:val="32"/>
        </w:rPr>
        <w:t>概况。</w:t>
      </w:r>
      <w:r>
        <w:rPr>
          <w:rFonts w:hint="eastAsia" w:ascii="仿宋_GB2312"/>
          <w:szCs w:val="32"/>
          <w:lang w:val="en-US" w:eastAsia="zh-CN"/>
        </w:rPr>
        <w:t>2020年，我局</w:t>
      </w:r>
      <w:r>
        <w:rPr>
          <w:rFonts w:hint="eastAsia" w:ascii="仿宋_GB2312"/>
          <w:szCs w:val="32"/>
        </w:rPr>
        <w:t>按照突出重点项目、突出硬任务、突出成熟度、确保项目在202</w:t>
      </w:r>
      <w:r>
        <w:rPr>
          <w:rFonts w:hint="eastAsia" w:ascii="仿宋_GB2312"/>
          <w:szCs w:val="32"/>
          <w:lang w:val="en-US" w:eastAsia="zh-CN"/>
        </w:rPr>
        <w:t>0</w:t>
      </w:r>
      <w:r>
        <w:rPr>
          <w:rFonts w:hint="eastAsia" w:ascii="仿宋_GB2312"/>
          <w:szCs w:val="32"/>
        </w:rPr>
        <w:t>年形成实际支出的“三突出、一确保”原则，结合省林业局的区域重点布局要求及市委市政府工作要点，储备</w:t>
      </w:r>
      <w:r>
        <w:rPr>
          <w:rFonts w:hint="eastAsia" w:ascii="仿宋_GB2312"/>
          <w:szCs w:val="32"/>
          <w:lang w:val="en-US" w:eastAsia="zh-CN"/>
        </w:rPr>
        <w:t>我局</w:t>
      </w:r>
      <w:r>
        <w:rPr>
          <w:rFonts w:hint="eastAsia" w:ascii="仿宋_GB2312"/>
          <w:szCs w:val="32"/>
        </w:rPr>
        <w:t>项目库</w:t>
      </w:r>
      <w:r>
        <w:rPr>
          <w:rFonts w:hint="eastAsia" w:ascii="仿宋_GB2312"/>
          <w:szCs w:val="32"/>
          <w:lang w:eastAsia="zh-CN"/>
        </w:rPr>
        <w:t>。</w:t>
      </w:r>
      <w:r>
        <w:rPr>
          <w:rFonts w:hint="eastAsia" w:ascii="仿宋_GB2312"/>
          <w:szCs w:val="32"/>
          <w:lang w:val="en-US" w:eastAsia="zh-CN"/>
        </w:rPr>
        <w:t>年初市财政下达我局省级涉农资金（生态林业建设类）共计760万元。7月份，由于下属单位划转到县区调减50万元，实际我局2020年省级涉农资金共计710万元，都为非考核任务，主要包括林业发展补助7个项目共650万元，林业生态保护建设2个项目共45万元，其他涉农项目1个项目共15万元。</w:t>
      </w:r>
    </w:p>
    <w:p>
      <w:pPr>
        <w:ind w:firstLine="602" w:firstLineChars="200"/>
        <w:outlineLvl w:val="0"/>
        <w:rPr>
          <w:rFonts w:hint="eastAsia" w:ascii="仿宋_GB2312"/>
          <w:szCs w:val="32"/>
          <w:lang w:eastAsia="zh-CN"/>
        </w:rPr>
      </w:pPr>
      <w:r>
        <w:rPr>
          <w:rFonts w:hint="eastAsia" w:ascii="仿宋_GB2312"/>
          <w:b/>
          <w:bCs/>
          <w:szCs w:val="32"/>
        </w:rPr>
        <w:t>（二）整体绩效目标情况。</w:t>
      </w:r>
      <w:r>
        <w:rPr>
          <w:rFonts w:hint="eastAsia" w:ascii="仿宋_GB2312"/>
          <w:szCs w:val="32"/>
          <w:lang w:eastAsia="zh-CN"/>
        </w:rPr>
        <w:t>省级涉农资金的绩效目标按照《广东省涉农资金统筹整合管理办法（</w:t>
      </w:r>
      <w:r>
        <w:rPr>
          <w:rFonts w:hint="eastAsia" w:ascii="仿宋_GB2312"/>
          <w:szCs w:val="32"/>
          <w:lang w:val="en-US" w:eastAsia="zh-CN"/>
        </w:rPr>
        <w:t>2020年修订</w:t>
      </w:r>
      <w:r>
        <w:rPr>
          <w:rFonts w:hint="eastAsia" w:ascii="仿宋_GB2312"/>
          <w:szCs w:val="32"/>
          <w:lang w:eastAsia="zh-CN"/>
        </w:rPr>
        <w:t>）》的规定，设定了</w:t>
      </w:r>
      <w:r>
        <w:rPr>
          <w:rFonts w:hint="eastAsia" w:ascii="仿宋_GB2312"/>
          <w:szCs w:val="32"/>
          <w:lang w:val="en-US" w:eastAsia="zh-CN"/>
        </w:rPr>
        <w:t>四个整体绩效目标：一是提高市民森林防火意识，火灾有效处置率达100%。二是提高市民湿地保护意识和野生动植物保护意识，完成陆生野生动物本底调查，为保护陆生野生动物资源提供基础数据。三是通过揭阳市创建国家森林城市技术服务项目的配套实施，为我市科学、有序、高效推动创森工作提供良好的技术服务和保障。四是编制森林资源保护相关规划，为森林资源保护利用提供基础数据。开展保护区管理、保护与宣传，倡导保护自然环境和自然资源生态理念。</w:t>
      </w:r>
    </w:p>
    <w:p>
      <w:pPr>
        <w:ind w:firstLine="600" w:firstLineChars="200"/>
        <w:outlineLvl w:val="0"/>
        <w:rPr>
          <w:rFonts w:hint="eastAsia" w:ascii="黑体" w:hAnsi="黑体" w:eastAsia="黑体" w:cs="黑体"/>
          <w:szCs w:val="32"/>
          <w:lang w:eastAsia="zh-CN"/>
        </w:rPr>
      </w:pPr>
      <w:r>
        <w:rPr>
          <w:rFonts w:hint="eastAsia" w:ascii="黑体" w:hAnsi="黑体" w:eastAsia="黑体" w:cs="黑体"/>
          <w:szCs w:val="32"/>
          <w:lang w:eastAsia="zh-CN"/>
        </w:rPr>
        <w:t>二、综合评价结论</w:t>
      </w:r>
    </w:p>
    <w:p>
      <w:pPr>
        <w:ind w:firstLine="600" w:firstLineChars="200"/>
        <w:outlineLvl w:val="0"/>
        <w:rPr>
          <w:rFonts w:hint="eastAsia" w:ascii="仿宋_GB2312"/>
          <w:szCs w:val="32"/>
          <w:lang w:eastAsia="zh-CN"/>
        </w:rPr>
      </w:pPr>
      <w:r>
        <w:rPr>
          <w:rFonts w:hint="eastAsia" w:ascii="仿宋_GB2312"/>
          <w:szCs w:val="32"/>
          <w:lang w:eastAsia="zh-CN"/>
        </w:rPr>
        <w:t>从</w:t>
      </w:r>
      <w:r>
        <w:rPr>
          <w:rFonts w:hint="eastAsia" w:ascii="仿宋_GB2312"/>
          <w:szCs w:val="32"/>
          <w:lang w:val="en-US" w:eastAsia="zh-CN"/>
        </w:rPr>
        <w:t>2020年项目实施情况来看，我局十个项目，两个项目根据合同规定需在隔年才能付项目尾款，其他项目都已完成，整体绩效目标均达到，自评评价等次为“优”。</w:t>
      </w:r>
    </w:p>
    <w:p>
      <w:pPr>
        <w:ind w:firstLine="600" w:firstLineChars="200"/>
        <w:outlineLvl w:val="0"/>
        <w:rPr>
          <w:rFonts w:hint="eastAsia" w:ascii="黑体" w:hAnsi="黑体" w:eastAsia="黑体" w:cs="黑体"/>
          <w:szCs w:val="32"/>
          <w:lang w:eastAsia="zh-CN"/>
        </w:rPr>
      </w:pPr>
      <w:r>
        <w:rPr>
          <w:rFonts w:hint="eastAsia" w:ascii="黑体" w:hAnsi="黑体" w:eastAsia="黑体" w:cs="黑体"/>
          <w:szCs w:val="32"/>
          <w:lang w:eastAsia="zh-CN"/>
        </w:rPr>
        <w:t>三、绩效目标完成情况分析</w:t>
      </w:r>
    </w:p>
    <w:p>
      <w:pPr>
        <w:ind w:firstLine="602" w:firstLineChars="200"/>
        <w:outlineLvl w:val="0"/>
        <w:rPr>
          <w:rFonts w:hint="eastAsia" w:ascii="仿宋_GB2312"/>
          <w:szCs w:val="32"/>
          <w:lang w:eastAsia="zh-CN"/>
        </w:rPr>
      </w:pPr>
      <w:r>
        <w:rPr>
          <w:rFonts w:hint="eastAsia" w:ascii="楷体_GB2312" w:hAnsi="楷体_GB2312" w:eastAsia="楷体_GB2312" w:cs="楷体_GB2312"/>
          <w:b/>
          <w:bCs/>
          <w:szCs w:val="32"/>
          <w:lang w:eastAsia="zh-CN"/>
        </w:rPr>
        <w:t>（一）资金情况分析。</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省级涉农资金十个项目共计710万元，截止12月底支出541.94万元，资金支出率76%。2个项目根据合同需在隔年才能付项目尾款，其余8个项目均已完成，存在项目结余资金，项目完成率在当年度为100%（详见下表）。</w:t>
      </w:r>
    </w:p>
    <w:p>
      <w:pPr>
        <w:pStyle w:val="2"/>
        <w:jc w:val="righ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单位：万元</w:t>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29"/>
        <w:gridCol w:w="1137"/>
        <w:gridCol w:w="931"/>
        <w:gridCol w:w="1189"/>
        <w:gridCol w:w="144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序号</w:t>
            </w:r>
          </w:p>
        </w:tc>
        <w:tc>
          <w:tcPr>
            <w:tcW w:w="2129"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项目名称</w:t>
            </w:r>
          </w:p>
        </w:tc>
        <w:tc>
          <w:tcPr>
            <w:tcW w:w="1137"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政策任务</w:t>
            </w:r>
          </w:p>
        </w:tc>
        <w:tc>
          <w:tcPr>
            <w:tcW w:w="931"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项目下达金额</w:t>
            </w:r>
          </w:p>
        </w:tc>
        <w:tc>
          <w:tcPr>
            <w:tcW w:w="1189"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年底支出金额</w:t>
            </w:r>
          </w:p>
        </w:tc>
        <w:tc>
          <w:tcPr>
            <w:tcW w:w="1448"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项目当年度所需金额</w:t>
            </w:r>
          </w:p>
        </w:tc>
        <w:tc>
          <w:tcPr>
            <w:tcW w:w="1113" w:type="dxa"/>
            <w:vAlign w:val="center"/>
          </w:tcPr>
          <w:p>
            <w:pPr>
              <w:pStyle w:val="2"/>
              <w:ind w:left="0" w:leftChars="0" w:firstLine="0" w:firstLineChars="0"/>
              <w:jc w:val="center"/>
              <w:rPr>
                <w:rFonts w:hint="eastAsia"/>
                <w:sz w:val="21"/>
                <w:szCs w:val="21"/>
                <w:vertAlign w:val="baseline"/>
                <w:lang w:eastAsia="zh-CN"/>
              </w:rPr>
            </w:pPr>
            <w:r>
              <w:rPr>
                <w:rFonts w:hint="eastAsia"/>
                <w:sz w:val="21"/>
                <w:szCs w:val="21"/>
                <w:vertAlign w:val="baseline"/>
                <w:lang w:eastAsia="zh-CN"/>
              </w:rPr>
              <w:t>项目当年度完成率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合计</w:t>
            </w:r>
          </w:p>
        </w:tc>
        <w:tc>
          <w:tcPr>
            <w:tcW w:w="2129" w:type="dxa"/>
            <w:vAlign w:val="center"/>
          </w:tcPr>
          <w:p>
            <w:pPr>
              <w:pStyle w:val="2"/>
              <w:jc w:val="center"/>
              <w:rPr>
                <w:rFonts w:hint="eastAsia"/>
                <w:sz w:val="21"/>
                <w:szCs w:val="21"/>
                <w:vertAlign w:val="baseline"/>
                <w:lang w:eastAsia="zh-CN"/>
              </w:rPr>
            </w:pPr>
          </w:p>
        </w:tc>
        <w:tc>
          <w:tcPr>
            <w:tcW w:w="1137" w:type="dxa"/>
            <w:vAlign w:val="center"/>
          </w:tcPr>
          <w:p>
            <w:pPr>
              <w:pStyle w:val="2"/>
              <w:jc w:val="center"/>
              <w:rPr>
                <w:rFonts w:hint="eastAsia"/>
                <w:sz w:val="21"/>
                <w:szCs w:val="21"/>
                <w:vertAlign w:val="baseline"/>
                <w:lang w:eastAsia="zh-CN"/>
              </w:rPr>
            </w:pPr>
          </w:p>
        </w:tc>
        <w:tc>
          <w:tcPr>
            <w:tcW w:w="931" w:type="dxa"/>
            <w:vAlign w:val="center"/>
          </w:tcPr>
          <w:p>
            <w:pPr>
              <w:pStyle w:val="2"/>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710</w:t>
            </w:r>
          </w:p>
        </w:tc>
        <w:tc>
          <w:tcPr>
            <w:tcW w:w="1189" w:type="dxa"/>
            <w:vAlign w:val="center"/>
          </w:tcPr>
          <w:p>
            <w:pPr>
              <w:pStyle w:val="2"/>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541.94</w:t>
            </w:r>
          </w:p>
        </w:tc>
        <w:tc>
          <w:tcPr>
            <w:tcW w:w="1448" w:type="dxa"/>
            <w:vAlign w:val="center"/>
          </w:tcPr>
          <w:p>
            <w:pPr>
              <w:pStyle w:val="2"/>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541.94</w:t>
            </w:r>
          </w:p>
        </w:tc>
        <w:tc>
          <w:tcPr>
            <w:tcW w:w="1113" w:type="dxa"/>
            <w:vAlign w:val="center"/>
          </w:tcPr>
          <w:p>
            <w:pPr>
              <w:pStyle w:val="2"/>
              <w:ind w:left="0" w:leftChars="0" w:firstLine="0" w:firstLineChars="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5"/>
                <w:rFonts w:eastAsia="宋体"/>
                <w:sz w:val="21"/>
                <w:szCs w:val="21"/>
                <w:lang w:val="en-US" w:eastAsia="zh-CN" w:bidi="ar"/>
              </w:rPr>
              <w:t>-</w:t>
            </w:r>
            <w:r>
              <w:rPr>
                <w:rStyle w:val="16"/>
                <w:sz w:val="21"/>
                <w:szCs w:val="21"/>
                <w:lang w:val="en-US" w:eastAsia="zh-CN" w:bidi="ar"/>
              </w:rPr>
              <w:t>揭阳市林火远程视频监控系统建设</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200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153.20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153.20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2</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森林防灭火综合经费</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49.50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49.50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3</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森林防火经费</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10.00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10.00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4</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--揭阳市创建国家森林城市技术服务项目</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200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149.85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149.85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5</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湿地保护和恢复</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林业生态保护建设</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25</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21.18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21.18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6</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野生动植物保护管理</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林业生态保护建设</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20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20.00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20.00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7</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陆生野生动物本底调查</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90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89.20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89.20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8</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自然保护区保护和宣传</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20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11.87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11.87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9</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开展森林资源管理技术服务经费</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林业发展补助</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30</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26.10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26.10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10</w:t>
            </w:r>
          </w:p>
        </w:tc>
        <w:tc>
          <w:tcPr>
            <w:tcW w:w="2129"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涉农项目林业工作经费</w:t>
            </w:r>
          </w:p>
        </w:tc>
        <w:tc>
          <w:tcPr>
            <w:tcW w:w="1137" w:type="dxa"/>
            <w:vAlign w:val="center"/>
          </w:tcPr>
          <w:p>
            <w:pPr>
              <w:keepNext w:val="0"/>
              <w:keepLines w:val="0"/>
              <w:widowControl/>
              <w:suppressLineNumbers w:val="0"/>
              <w:jc w:val="center"/>
              <w:textAlignment w:val="center"/>
              <w:rPr>
                <w:rFonts w:hint="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其他涉农项目</w:t>
            </w:r>
          </w:p>
        </w:tc>
        <w:tc>
          <w:tcPr>
            <w:tcW w:w="931"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15</w:t>
            </w:r>
          </w:p>
        </w:tc>
        <w:tc>
          <w:tcPr>
            <w:tcW w:w="118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11.04 </w:t>
            </w:r>
          </w:p>
        </w:tc>
        <w:tc>
          <w:tcPr>
            <w:tcW w:w="144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11.04 </w:t>
            </w:r>
          </w:p>
        </w:tc>
        <w:tc>
          <w:tcPr>
            <w:tcW w:w="1113"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100%</w:t>
            </w:r>
          </w:p>
        </w:tc>
      </w:tr>
    </w:tbl>
    <w:p>
      <w:pPr>
        <w:pStyle w:val="2"/>
        <w:rPr>
          <w:rFonts w:hint="eastAsia"/>
          <w:lang w:eastAsia="zh-CN"/>
        </w:rPr>
      </w:pPr>
    </w:p>
    <w:p>
      <w:pPr>
        <w:numPr>
          <w:ilvl w:val="0"/>
          <w:numId w:val="1"/>
        </w:numPr>
        <w:ind w:firstLine="602" w:firstLineChars="200"/>
        <w:outlineLvl w:val="0"/>
        <w:rPr>
          <w:rFonts w:hint="eastAsia" w:ascii="仿宋_GB2312"/>
          <w:szCs w:val="32"/>
          <w:lang w:val="en-US" w:eastAsia="zh-CN"/>
        </w:rPr>
      </w:pPr>
      <w:r>
        <w:rPr>
          <w:rFonts w:hint="eastAsia" w:ascii="楷体_GB2312" w:hAnsi="楷体_GB2312" w:eastAsia="楷体_GB2312" w:cs="楷体_GB2312"/>
          <w:b/>
          <w:bCs/>
          <w:szCs w:val="32"/>
          <w:lang w:eastAsia="zh-CN"/>
        </w:rPr>
        <w:t>总体目标完成情况分析。</w:t>
      </w:r>
      <w:r>
        <w:rPr>
          <w:rFonts w:hint="eastAsia" w:ascii="仿宋_GB2312"/>
          <w:szCs w:val="32"/>
          <w:lang w:val="en-US" w:eastAsia="zh-CN"/>
        </w:rPr>
        <w:t>该涉农资金主要用途包括揭阳市林火远程视频监控系统建设、森林防灭火工作、揭阳市创建国家森林城市技术服务项目、湿地保护和恢复、野生动植物保护管理、陆生野生动物本底调查、自然保护区保护和宣传、开展森林资源管理技术服务经费等建设内容。2020年，总体目标基本完成。具体项目的绩效目标详见下表。</w:t>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964"/>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ind w:left="0" w:leftChars="0" w:firstLine="0" w:firstLineChars="0"/>
              <w:jc w:val="center"/>
              <w:rPr>
                <w:rFonts w:hint="eastAsia"/>
                <w:vertAlign w:val="baseline"/>
                <w:lang w:val="en-US" w:eastAsia="zh-CN"/>
              </w:rPr>
            </w:pPr>
            <w:r>
              <w:rPr>
                <w:rFonts w:hint="eastAsia" w:ascii="仿宋_GB2312"/>
                <w:szCs w:val="32"/>
                <w:lang w:val="en-US" w:eastAsia="zh-CN"/>
              </w:rPr>
              <w:t>序号</w:t>
            </w:r>
          </w:p>
        </w:tc>
        <w:tc>
          <w:tcPr>
            <w:tcW w:w="2964"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项目</w:t>
            </w:r>
          </w:p>
        </w:tc>
        <w:tc>
          <w:tcPr>
            <w:tcW w:w="4887" w:type="dxa"/>
          </w:tcPr>
          <w:p>
            <w:pPr>
              <w:pStyle w:val="2"/>
              <w:ind w:left="0" w:leftChars="0" w:firstLine="0" w:firstLineChars="0"/>
              <w:jc w:val="center"/>
              <w:rPr>
                <w:rFonts w:hint="eastAsia"/>
                <w:vertAlign w:val="baseline"/>
                <w:lang w:val="en-US" w:eastAsia="zh-CN"/>
              </w:rPr>
            </w:pPr>
            <w:r>
              <w:rPr>
                <w:rFonts w:hint="eastAsia"/>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5"/>
                <w:rFonts w:eastAsia="宋体"/>
                <w:sz w:val="21"/>
                <w:szCs w:val="21"/>
                <w:lang w:val="en-US" w:eastAsia="zh-CN" w:bidi="ar"/>
              </w:rPr>
              <w:t>-</w:t>
            </w:r>
            <w:r>
              <w:rPr>
                <w:rStyle w:val="16"/>
                <w:sz w:val="21"/>
                <w:szCs w:val="21"/>
                <w:lang w:val="en-US" w:eastAsia="zh-CN" w:bidi="ar"/>
              </w:rPr>
              <w:t>揭阳市林火远程视频监控系统建设</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通过实施该项目，进一步扩大林火视频监控覆盖面，提高森林火灾监测预警能力，更好保护森林资源。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2</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森林防灭火综合经费</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通过项目实施，更好提升森林防灭火综合能力，从而保护全市森林资源和绿色生态环境。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3</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森林防火经费</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提高市民森林防火意识，火灾有效处置率达100%。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4</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--揭阳市创建国家森林城市技术服务项目</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通过项目实施，为我市科学、有序、高效推动创森工作提供良好的技术服务和保障。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5</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湿地保护和恢复</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通过项目实施，使湿地保护意识深入人心，在全社会形成珍视湿地、关心湿地、爱护湿地的良好氛围。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6</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野生动植物保护管理</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通过项目实施，使保护野生动物的法律法规深入人心，在全社会形成自觉保护野生动物的良好氛围。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7</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陆生野生动物本底调查</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为保护提供基础数据，进而为制定野生动物资源保护发展方案、规划和调整国家、省重点保护野生动物名录提供依据。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8</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自然保护区保护和宣传</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开展保护区管理、保护与宣传，倡导保护自然环境和自然资源生态理念。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9</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森林植被恢复费</w:t>
            </w:r>
            <w:r>
              <w:rPr>
                <w:rStyle w:val="17"/>
                <w:rFonts w:eastAsia="宋体"/>
                <w:sz w:val="21"/>
                <w:szCs w:val="21"/>
                <w:lang w:val="en-US" w:eastAsia="zh-CN" w:bidi="ar"/>
              </w:rPr>
              <w:t>--</w:t>
            </w:r>
            <w:r>
              <w:rPr>
                <w:rStyle w:val="16"/>
                <w:sz w:val="21"/>
                <w:szCs w:val="21"/>
                <w:lang w:val="en-US" w:eastAsia="zh-CN" w:bidi="ar"/>
              </w:rPr>
              <w:t>开展森林资源管理技术服务经费</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编制森林资源保护相关规划，为森林资源保护利用提供基础数据。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10</w:t>
            </w:r>
          </w:p>
        </w:tc>
        <w:tc>
          <w:tcPr>
            <w:tcW w:w="2964" w:type="dxa"/>
            <w:vAlign w:val="center"/>
          </w:tcPr>
          <w:p>
            <w:pPr>
              <w:keepNext w:val="0"/>
              <w:keepLines w:val="0"/>
              <w:widowControl/>
              <w:suppressLineNumbers w:val="0"/>
              <w:jc w:val="left"/>
              <w:textAlignment w:val="center"/>
              <w:rPr>
                <w:rFonts w:hint="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涉农项目林业工作经费</w:t>
            </w:r>
          </w:p>
        </w:tc>
        <w:tc>
          <w:tcPr>
            <w:tcW w:w="4887" w:type="dxa"/>
            <w:vAlign w:val="center"/>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更好完成涉农统筹整合工作，提升林业部门工作能力。</w:t>
            </w:r>
          </w:p>
        </w:tc>
      </w:tr>
    </w:tbl>
    <w:p>
      <w:pPr>
        <w:pStyle w:val="2"/>
        <w:numPr>
          <w:ilvl w:val="0"/>
          <w:numId w:val="0"/>
        </w:numPr>
        <w:rPr>
          <w:rFonts w:hint="eastAsia"/>
          <w:lang w:eastAsia="zh-CN"/>
        </w:rPr>
      </w:pPr>
    </w:p>
    <w:p>
      <w:pPr>
        <w:ind w:firstLine="600" w:firstLineChars="200"/>
        <w:outlineLvl w:val="0"/>
        <w:rPr>
          <w:rFonts w:hint="eastAsia" w:ascii="黑体" w:hAnsi="黑体" w:eastAsia="黑体" w:cs="黑体"/>
          <w:szCs w:val="32"/>
          <w:lang w:eastAsia="zh-CN"/>
        </w:rPr>
      </w:pPr>
      <w:r>
        <w:rPr>
          <w:rFonts w:hint="eastAsia" w:ascii="黑体" w:hAnsi="黑体" w:eastAsia="黑体" w:cs="黑体"/>
          <w:szCs w:val="32"/>
          <w:lang w:eastAsia="zh-CN"/>
        </w:rPr>
        <w:t>四、发现的主要问题和改进措施</w:t>
      </w:r>
    </w:p>
    <w:p>
      <w:pPr>
        <w:ind w:firstLine="602" w:firstLineChars="200"/>
        <w:outlineLvl w:val="0"/>
        <w:rPr>
          <w:rFonts w:hint="eastAsia" w:ascii="楷体_GB2312" w:hAnsi="楷体_GB2312" w:eastAsia="楷体_GB2312" w:cs="楷体_GB2312"/>
          <w:b/>
          <w:bCs/>
          <w:szCs w:val="32"/>
          <w:lang w:eastAsia="zh-CN"/>
        </w:rPr>
      </w:pPr>
      <w:bookmarkStart w:id="0" w:name="_Toc22994"/>
      <w:bookmarkStart w:id="1" w:name="_Toc25198"/>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一）</w:t>
      </w:r>
      <w:r>
        <w:rPr>
          <w:rFonts w:hint="eastAsia" w:ascii="楷体_GB2312" w:hAnsi="楷体_GB2312" w:eastAsia="楷体_GB2312" w:cs="楷体_GB2312"/>
          <w:b/>
          <w:bCs/>
          <w:szCs w:val="32"/>
          <w:lang w:eastAsia="zh-CN"/>
        </w:rPr>
        <w:t>存在的问题</w:t>
      </w:r>
      <w:bookmarkEnd w:id="0"/>
      <w:bookmarkEnd w:id="1"/>
    </w:p>
    <w:p>
      <w:pPr>
        <w:ind w:firstLine="602" w:firstLineChars="200"/>
        <w:outlineLvl w:val="0"/>
        <w:rPr>
          <w:rFonts w:hint="eastAsia" w:ascii="仿宋_GB2312"/>
          <w:szCs w:val="32"/>
          <w:lang w:eastAsia="zh-CN"/>
        </w:rPr>
      </w:pPr>
      <w:r>
        <w:rPr>
          <w:rFonts w:hint="eastAsia" w:ascii="仿宋_GB2312"/>
          <w:b/>
          <w:bCs/>
          <w:szCs w:val="32"/>
          <w:lang w:eastAsia="zh-CN"/>
        </w:rPr>
        <w:t>1.入库项目提前储备不足。</w:t>
      </w:r>
      <w:r>
        <w:rPr>
          <w:rFonts w:hint="eastAsia" w:ascii="仿宋_GB2312"/>
          <w:szCs w:val="32"/>
          <w:lang w:eastAsia="zh-CN"/>
        </w:rPr>
        <w:t>项目申报</w:t>
      </w:r>
      <w:r>
        <w:rPr>
          <w:rFonts w:hint="eastAsia" w:ascii="仿宋_GB2312"/>
          <w:szCs w:val="32"/>
          <w:lang w:val="en-US" w:eastAsia="zh-CN"/>
        </w:rPr>
        <w:t>还</w:t>
      </w:r>
      <w:r>
        <w:rPr>
          <w:rFonts w:hint="eastAsia" w:ascii="仿宋_GB2312"/>
          <w:szCs w:val="32"/>
          <w:lang w:eastAsia="zh-CN"/>
        </w:rPr>
        <w:t>不</w:t>
      </w:r>
      <w:r>
        <w:rPr>
          <w:rFonts w:hint="eastAsia" w:ascii="仿宋_GB2312"/>
          <w:szCs w:val="32"/>
          <w:lang w:val="en-US" w:eastAsia="zh-CN"/>
        </w:rPr>
        <w:t>够</w:t>
      </w:r>
      <w:r>
        <w:rPr>
          <w:rFonts w:hint="eastAsia" w:ascii="仿宋_GB2312"/>
          <w:szCs w:val="32"/>
          <w:lang w:eastAsia="zh-CN"/>
        </w:rPr>
        <w:t>积极主动，申报重点不突出，造成项目储备不足，导致资金使用滞后。</w:t>
      </w:r>
    </w:p>
    <w:p>
      <w:pPr>
        <w:ind w:firstLine="602" w:firstLineChars="200"/>
        <w:outlineLvl w:val="0"/>
        <w:rPr>
          <w:rFonts w:hint="eastAsia" w:ascii="仿宋_GB2312"/>
          <w:szCs w:val="32"/>
          <w:lang w:eastAsia="zh-CN"/>
        </w:rPr>
      </w:pPr>
      <w:r>
        <w:rPr>
          <w:rFonts w:hint="eastAsia" w:ascii="仿宋_GB2312"/>
          <w:b/>
          <w:bCs/>
          <w:szCs w:val="32"/>
          <w:lang w:val="en-US" w:eastAsia="zh-CN"/>
        </w:rPr>
        <w:t>2</w:t>
      </w:r>
      <w:r>
        <w:rPr>
          <w:rFonts w:hint="eastAsia" w:ascii="仿宋_GB2312"/>
          <w:b/>
          <w:bCs/>
          <w:szCs w:val="32"/>
          <w:lang w:eastAsia="zh-CN"/>
        </w:rPr>
        <w:t>.资金支出率不高。</w:t>
      </w:r>
      <w:r>
        <w:rPr>
          <w:rFonts w:hint="eastAsia" w:ascii="仿宋_GB2312"/>
          <w:szCs w:val="32"/>
          <w:lang w:val="en-US" w:eastAsia="zh-CN"/>
        </w:rPr>
        <w:t>一</w:t>
      </w:r>
      <w:r>
        <w:rPr>
          <w:rFonts w:hint="eastAsia" w:ascii="仿宋_GB2312"/>
          <w:szCs w:val="32"/>
          <w:lang w:eastAsia="zh-CN"/>
        </w:rPr>
        <w:t>是林业行业招投标花费时间长，工程实施期限长，影响工程当年验收，影响该项资金的支出率；</w:t>
      </w:r>
      <w:r>
        <w:rPr>
          <w:rFonts w:hint="eastAsia" w:ascii="仿宋_GB2312"/>
          <w:szCs w:val="32"/>
          <w:lang w:val="en-US" w:eastAsia="zh-CN"/>
        </w:rPr>
        <w:t>二</w:t>
      </w:r>
      <w:r>
        <w:rPr>
          <w:rFonts w:hint="eastAsia" w:ascii="仿宋_GB2312"/>
          <w:szCs w:val="32"/>
          <w:lang w:eastAsia="zh-CN"/>
        </w:rPr>
        <w:t>是受疫情情况影响，</w:t>
      </w:r>
      <w:r>
        <w:rPr>
          <w:rFonts w:hint="eastAsia" w:ascii="仿宋_GB2312"/>
          <w:szCs w:val="32"/>
          <w:lang w:val="en-US" w:eastAsia="zh-CN"/>
        </w:rPr>
        <w:t>有些</w:t>
      </w:r>
      <w:r>
        <w:rPr>
          <w:rFonts w:hint="eastAsia" w:ascii="仿宋_GB2312"/>
          <w:szCs w:val="32"/>
          <w:lang w:eastAsia="zh-CN"/>
        </w:rPr>
        <w:t>项目实施单位因为疫情防控，</w:t>
      </w:r>
      <w:r>
        <w:rPr>
          <w:rFonts w:hint="eastAsia" w:ascii="仿宋_GB2312"/>
          <w:szCs w:val="32"/>
          <w:lang w:val="en-US" w:eastAsia="zh-CN"/>
        </w:rPr>
        <w:t>户外</w:t>
      </w:r>
      <w:r>
        <w:rPr>
          <w:rFonts w:hint="eastAsia" w:ascii="仿宋_GB2312"/>
          <w:szCs w:val="32"/>
          <w:lang w:eastAsia="zh-CN"/>
        </w:rPr>
        <w:t>工作一拖再拖，在工作进度和成效受到严重影响，延缓了项目实施进度。</w:t>
      </w:r>
    </w:p>
    <w:p>
      <w:pPr>
        <w:ind w:firstLine="602" w:firstLineChars="200"/>
        <w:outlineLvl w:val="0"/>
        <w:rPr>
          <w:rFonts w:hint="eastAsia" w:ascii="楷体_GB2312" w:hAnsi="楷体_GB2312" w:eastAsia="楷体_GB2312" w:cs="楷体_GB2312"/>
          <w:b/>
          <w:bCs/>
          <w:szCs w:val="32"/>
          <w:lang w:val="en-US" w:eastAsia="zh-CN"/>
        </w:rPr>
      </w:pPr>
      <w:bookmarkStart w:id="2" w:name="_Toc24084"/>
      <w:bookmarkStart w:id="3" w:name="_Toc26579"/>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二）</w:t>
      </w:r>
      <w:r>
        <w:rPr>
          <w:rFonts w:hint="eastAsia" w:ascii="楷体_GB2312" w:hAnsi="楷体_GB2312" w:eastAsia="楷体_GB2312" w:cs="楷体_GB2312"/>
          <w:b/>
          <w:bCs/>
          <w:szCs w:val="32"/>
          <w:lang w:eastAsia="zh-CN"/>
        </w:rPr>
        <w:t>改进</w:t>
      </w:r>
      <w:bookmarkEnd w:id="2"/>
      <w:r>
        <w:rPr>
          <w:rFonts w:hint="eastAsia" w:ascii="楷体_GB2312" w:hAnsi="楷体_GB2312" w:eastAsia="楷体_GB2312" w:cs="楷体_GB2312"/>
          <w:b/>
          <w:bCs/>
          <w:szCs w:val="32"/>
          <w:lang w:val="en-US" w:eastAsia="zh-CN"/>
        </w:rPr>
        <w:t>措施</w:t>
      </w:r>
    </w:p>
    <w:bookmarkEnd w:id="3"/>
    <w:p>
      <w:pPr>
        <w:ind w:firstLine="602" w:firstLineChars="200"/>
        <w:outlineLvl w:val="0"/>
        <w:rPr>
          <w:rFonts w:hint="eastAsia" w:ascii="仿宋_GB2312"/>
          <w:szCs w:val="32"/>
          <w:lang w:eastAsia="zh-CN"/>
        </w:rPr>
      </w:pPr>
      <w:r>
        <w:rPr>
          <w:rFonts w:hint="eastAsia" w:ascii="仿宋_GB2312"/>
          <w:b/>
          <w:bCs/>
          <w:szCs w:val="32"/>
          <w:lang w:eastAsia="zh-CN"/>
        </w:rPr>
        <w:t>1.针对入库项目提前储备不足的问题。</w:t>
      </w:r>
      <w:r>
        <w:rPr>
          <w:rFonts w:hint="eastAsia" w:ascii="仿宋_GB2312"/>
          <w:szCs w:val="32"/>
          <w:lang w:val="en-US" w:eastAsia="zh-CN"/>
        </w:rPr>
        <w:t>我局</w:t>
      </w:r>
      <w:r>
        <w:rPr>
          <w:rFonts w:hint="eastAsia" w:ascii="仿宋_GB2312"/>
          <w:szCs w:val="32"/>
          <w:lang w:eastAsia="zh-CN"/>
        </w:rPr>
        <w:t>将结合</w:t>
      </w:r>
      <w:r>
        <w:rPr>
          <w:rFonts w:hint="eastAsia" w:ascii="仿宋_GB2312"/>
          <w:szCs w:val="32"/>
          <w:lang w:val="en-US" w:eastAsia="zh-CN"/>
        </w:rPr>
        <w:t>实际</w:t>
      </w:r>
      <w:r>
        <w:rPr>
          <w:rFonts w:hint="eastAsia" w:ascii="仿宋_GB2312"/>
          <w:szCs w:val="32"/>
          <w:lang w:eastAsia="zh-CN"/>
        </w:rPr>
        <w:t>存在的突出问题，筛选和确定具体项目，提前做好前期研究、立项和论证等工作，建立市级林业资金项目储备库。积极申报省级专项资金，及时入库下达资金，有效避免“资金等项目”。强化资金全过程管理，切实提高资金项目的绩效水平。</w:t>
      </w:r>
    </w:p>
    <w:p>
      <w:pPr>
        <w:ind w:firstLine="602" w:firstLineChars="200"/>
        <w:outlineLvl w:val="0"/>
        <w:rPr>
          <w:rFonts w:hint="eastAsia" w:ascii="仿宋_GB2312"/>
          <w:szCs w:val="32"/>
          <w:lang w:eastAsia="zh-CN"/>
        </w:rPr>
      </w:pPr>
      <w:r>
        <w:rPr>
          <w:rFonts w:hint="eastAsia" w:ascii="仿宋_GB2312"/>
          <w:b/>
          <w:bCs/>
          <w:szCs w:val="32"/>
          <w:lang w:val="en-US" w:eastAsia="zh-CN"/>
        </w:rPr>
        <w:t>2</w:t>
      </w:r>
      <w:r>
        <w:rPr>
          <w:rFonts w:hint="eastAsia" w:ascii="仿宋_GB2312"/>
          <w:b/>
          <w:bCs/>
          <w:szCs w:val="32"/>
          <w:lang w:eastAsia="zh-CN"/>
        </w:rPr>
        <w:t>.针对资金支出率不高问题。</w:t>
      </w:r>
      <w:r>
        <w:rPr>
          <w:rFonts w:hint="eastAsia" w:ascii="仿宋_GB2312"/>
          <w:szCs w:val="32"/>
          <w:lang w:eastAsia="zh-CN"/>
        </w:rPr>
        <w:t>一是建立健全有关管理机制，加快资金使用进度；二是疫情稳定后加快项目推进速度，争取把进度赶上，保证项目顺利完成。</w:t>
      </w:r>
    </w:p>
    <w:p>
      <w:pPr>
        <w:ind w:firstLine="600" w:firstLineChars="200"/>
        <w:outlineLvl w:val="0"/>
        <w:rPr>
          <w:rFonts w:hint="eastAsia" w:ascii="黑体" w:hAnsi="黑体" w:eastAsia="黑体" w:cs="黑体"/>
          <w:szCs w:val="32"/>
          <w:lang w:eastAsia="zh-CN"/>
        </w:rPr>
      </w:pPr>
      <w:r>
        <w:rPr>
          <w:rFonts w:hint="eastAsia" w:ascii="黑体" w:hAnsi="黑体" w:eastAsia="黑体" w:cs="黑体"/>
          <w:szCs w:val="32"/>
          <w:lang w:eastAsia="zh-CN"/>
        </w:rPr>
        <w:t>五、绩效自评结果拟应用和公开情况</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我局自评结果已在林业政府网站公开。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黑体" w:hAnsi="黑体" w:eastAsia="黑体" w:cs="黑体"/>
          <w:szCs w:val="32"/>
          <w:lang w:eastAsia="zh-CN"/>
        </w:rPr>
      </w:pPr>
      <w:r>
        <w:rPr>
          <w:rFonts w:hint="eastAsia" w:ascii="黑体" w:hAnsi="黑体" w:eastAsia="黑体" w:cs="黑体"/>
          <w:szCs w:val="32"/>
          <w:lang w:eastAsia="zh-CN"/>
        </w:rPr>
        <w:t>六、绩效自评工作开展情况</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根据《广东省涉农资金统筹整合领导小组办公室关于印发省级涉农资金统筹整合工作指引的通知》精神，我局认真组织有关科室做好2020年省级涉农转移支付资金(生态林业建设类)绩效目标评价。</w:t>
      </w:r>
      <w:r>
        <w:rPr>
          <w:rFonts w:hint="eastAsia" w:ascii="仿宋_GB2312" w:hAnsi="仿宋_GB2312" w:eastAsia="仿宋_GB2312" w:cs="仿宋_GB2312"/>
          <w:b/>
          <w:bCs/>
          <w:sz w:val="32"/>
          <w:szCs w:val="32"/>
          <w:lang w:val="en-US" w:eastAsia="zh-CN"/>
        </w:rPr>
        <w:t>一是提高认识，加强领导。</w:t>
      </w:r>
      <w:r>
        <w:rPr>
          <w:rFonts w:hint="eastAsia" w:ascii="仿宋_GB2312" w:hAnsi="仿宋_GB2312" w:eastAsia="仿宋_GB2312" w:cs="仿宋_GB2312"/>
          <w:sz w:val="32"/>
          <w:szCs w:val="32"/>
          <w:lang w:val="en-US" w:eastAsia="zh-CN"/>
        </w:rPr>
        <w:t>认真学习党中央《全面实施绩效管理》的重大部署和省委省政府《关于全面实施预算绩效管理的若干意见》等有关规定，提高对绩效评价工作重要性的认识，加强对绩效评价的组织领导，切实做好省级涉农转移支付资金(生态林业建设类)绩效目标评价工作。</w:t>
      </w:r>
      <w:r>
        <w:rPr>
          <w:rFonts w:hint="eastAsia" w:ascii="仿宋_GB2312" w:hAnsi="仿宋_GB2312" w:eastAsia="仿宋_GB2312" w:cs="仿宋_GB2312"/>
          <w:b/>
          <w:bCs/>
          <w:sz w:val="32"/>
          <w:szCs w:val="32"/>
          <w:lang w:val="en-US" w:eastAsia="zh-CN"/>
        </w:rPr>
        <w:t>二是落实责任，确保质量。</w:t>
      </w:r>
      <w:r>
        <w:rPr>
          <w:rFonts w:hint="eastAsia" w:ascii="仿宋_GB2312" w:hAnsi="仿宋_GB2312" w:eastAsia="仿宋_GB2312" w:cs="仿宋_GB2312"/>
          <w:sz w:val="32"/>
          <w:szCs w:val="32"/>
          <w:lang w:val="en-US" w:eastAsia="zh-CN"/>
        </w:rPr>
        <w:t>按照“谁支出、谁负责”的原则，落实办公室作为牵头部门和专人负责绩效评价工作，由各业务科室根据年初在市县项目库录入的绩效目标和项目的实际开展情况先做自评工作，切实履行绩效主体责任，确保工作质量。</w:t>
      </w:r>
      <w:r>
        <w:rPr>
          <w:rFonts w:hint="eastAsia" w:ascii="仿宋_GB2312" w:hAnsi="仿宋_GB2312" w:eastAsia="仿宋_GB2312" w:cs="仿宋_GB2312"/>
          <w:b/>
          <w:bCs/>
          <w:sz w:val="32"/>
          <w:szCs w:val="32"/>
          <w:lang w:val="en-US" w:eastAsia="zh-CN"/>
        </w:rPr>
        <w:t>三是集体讨论，形成报告。</w:t>
      </w:r>
      <w:r>
        <w:rPr>
          <w:rFonts w:hint="eastAsia" w:ascii="仿宋_GB2312" w:hAnsi="仿宋_GB2312" w:eastAsia="仿宋_GB2312" w:cs="仿宋_GB2312"/>
          <w:sz w:val="32"/>
          <w:szCs w:val="32"/>
          <w:lang w:val="en-US" w:eastAsia="zh-CN"/>
        </w:rPr>
        <w:t>由办公室汇总并把关各业务科室上报的自评报告，提交领导班子审定，形成我局2020年省级涉农转移支付资金绩效自评报告，确保绩效自评报告真实、准确、科学。</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绩效自评工作中，存在两点问题，一是绩效目标与预算编制不够紧密，二是个别绩效目标的设置不够科学。今后我局将进一步学习绩效指标库，加强业务积累，做到科学设定绩效目标，确保绩效目标的有效实现。</w:t>
      </w:r>
    </w:p>
    <w:p>
      <w:pPr>
        <w:ind w:firstLine="600" w:firstLineChars="200"/>
        <w:outlineLvl w:val="0"/>
        <w:rPr>
          <w:rFonts w:hint="eastAsia" w:ascii="黑体" w:hAnsi="黑体" w:eastAsia="黑体" w:cs="黑体"/>
          <w:szCs w:val="32"/>
          <w:lang w:eastAsia="zh-CN"/>
        </w:rPr>
      </w:pPr>
      <w:r>
        <w:rPr>
          <w:rFonts w:hint="eastAsia" w:ascii="黑体" w:hAnsi="黑体" w:eastAsia="黑体" w:cs="黑体"/>
          <w:szCs w:val="32"/>
          <w:lang w:eastAsia="zh-CN"/>
        </w:rPr>
        <w:t>七、其他需要说明的问题</w:t>
      </w:r>
    </w:p>
    <w:p>
      <w:pPr>
        <w:ind w:firstLine="600" w:firstLineChars="200"/>
        <w:outlineLvl w:val="0"/>
        <w:rPr>
          <w:rFonts w:hint="eastAsia" w:ascii="仿宋_GB2312"/>
          <w:szCs w:val="32"/>
          <w:lang w:eastAsia="zh-CN"/>
        </w:rPr>
      </w:pPr>
      <w:r>
        <w:rPr>
          <w:rFonts w:hint="eastAsia" w:ascii="仿宋_GB2312"/>
          <w:szCs w:val="32"/>
          <w:lang w:val="en-US" w:eastAsia="zh-CN"/>
        </w:rPr>
        <w:t>无</w:t>
      </w:r>
      <w:r>
        <w:rPr>
          <w:rFonts w:hint="eastAsia" w:ascii="仿宋_GB2312"/>
          <w:szCs w:val="32"/>
          <w:lang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54531"/>
    <w:multiLevelType w:val="singleLevel"/>
    <w:tmpl w:val="60D5453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20084"/>
    <w:rsid w:val="000732DA"/>
    <w:rsid w:val="00075CDC"/>
    <w:rsid w:val="000B1E8F"/>
    <w:rsid w:val="00103D16"/>
    <w:rsid w:val="00164D84"/>
    <w:rsid w:val="001D628A"/>
    <w:rsid w:val="00250053"/>
    <w:rsid w:val="00287C3C"/>
    <w:rsid w:val="0039432D"/>
    <w:rsid w:val="003C6374"/>
    <w:rsid w:val="00415F7C"/>
    <w:rsid w:val="004531B5"/>
    <w:rsid w:val="00785AF7"/>
    <w:rsid w:val="007A1DC2"/>
    <w:rsid w:val="008A20F2"/>
    <w:rsid w:val="00AA2B82"/>
    <w:rsid w:val="00CC152C"/>
    <w:rsid w:val="00D63908"/>
    <w:rsid w:val="00DD09A2"/>
    <w:rsid w:val="00DD16E3"/>
    <w:rsid w:val="00ED6D53"/>
    <w:rsid w:val="00F437B4"/>
    <w:rsid w:val="00F57F82"/>
    <w:rsid w:val="00F75963"/>
    <w:rsid w:val="00FA357A"/>
    <w:rsid w:val="02C86339"/>
    <w:rsid w:val="037D0BC8"/>
    <w:rsid w:val="08300C09"/>
    <w:rsid w:val="0845082D"/>
    <w:rsid w:val="08F56346"/>
    <w:rsid w:val="096A663E"/>
    <w:rsid w:val="09E965F2"/>
    <w:rsid w:val="0A87714B"/>
    <w:rsid w:val="0A905AD8"/>
    <w:rsid w:val="0FFFAAC1"/>
    <w:rsid w:val="11D7196B"/>
    <w:rsid w:val="13766F06"/>
    <w:rsid w:val="139840D3"/>
    <w:rsid w:val="143E091F"/>
    <w:rsid w:val="14865FC8"/>
    <w:rsid w:val="150C2DB0"/>
    <w:rsid w:val="153F28FF"/>
    <w:rsid w:val="1593337B"/>
    <w:rsid w:val="1ACE4B69"/>
    <w:rsid w:val="1CE94882"/>
    <w:rsid w:val="1E761F05"/>
    <w:rsid w:val="1FC7205C"/>
    <w:rsid w:val="228B3D05"/>
    <w:rsid w:val="25FE8923"/>
    <w:rsid w:val="286D5E37"/>
    <w:rsid w:val="303F4DEF"/>
    <w:rsid w:val="33334824"/>
    <w:rsid w:val="38EF7AD8"/>
    <w:rsid w:val="3ADC175C"/>
    <w:rsid w:val="3C5E2926"/>
    <w:rsid w:val="3D2575C6"/>
    <w:rsid w:val="3DBBD6B4"/>
    <w:rsid w:val="3E1672E6"/>
    <w:rsid w:val="415F08D8"/>
    <w:rsid w:val="433B52D2"/>
    <w:rsid w:val="44E2230F"/>
    <w:rsid w:val="450C1C22"/>
    <w:rsid w:val="46C51BA4"/>
    <w:rsid w:val="46F9107C"/>
    <w:rsid w:val="473501F5"/>
    <w:rsid w:val="48B51347"/>
    <w:rsid w:val="49580FD8"/>
    <w:rsid w:val="4A55216A"/>
    <w:rsid w:val="4AA10042"/>
    <w:rsid w:val="4FDB78F1"/>
    <w:rsid w:val="4FE0696A"/>
    <w:rsid w:val="4FE6105E"/>
    <w:rsid w:val="517A4120"/>
    <w:rsid w:val="51FD19E1"/>
    <w:rsid w:val="55293BDA"/>
    <w:rsid w:val="55673508"/>
    <w:rsid w:val="57FCC004"/>
    <w:rsid w:val="59595A6F"/>
    <w:rsid w:val="599330CA"/>
    <w:rsid w:val="599742FC"/>
    <w:rsid w:val="5B0D23FC"/>
    <w:rsid w:val="5C8D0D2D"/>
    <w:rsid w:val="5CBD6FA3"/>
    <w:rsid w:val="5DB076C2"/>
    <w:rsid w:val="5F76F0C1"/>
    <w:rsid w:val="60D5009F"/>
    <w:rsid w:val="628D35BC"/>
    <w:rsid w:val="649F7B2E"/>
    <w:rsid w:val="660721C9"/>
    <w:rsid w:val="661E6C75"/>
    <w:rsid w:val="67F75FF5"/>
    <w:rsid w:val="681D4831"/>
    <w:rsid w:val="68AF0E36"/>
    <w:rsid w:val="692E4B19"/>
    <w:rsid w:val="69513EF7"/>
    <w:rsid w:val="6BF3256F"/>
    <w:rsid w:val="6CE7018A"/>
    <w:rsid w:val="6DDA7BE9"/>
    <w:rsid w:val="6E3E3F2D"/>
    <w:rsid w:val="715B2F02"/>
    <w:rsid w:val="71FD24E6"/>
    <w:rsid w:val="76A548F2"/>
    <w:rsid w:val="77113B5E"/>
    <w:rsid w:val="7765772E"/>
    <w:rsid w:val="77867685"/>
    <w:rsid w:val="77F04540"/>
    <w:rsid w:val="781F36B6"/>
    <w:rsid w:val="790627AD"/>
    <w:rsid w:val="7ADC59FA"/>
    <w:rsid w:val="7BB71159"/>
    <w:rsid w:val="7CD836C4"/>
    <w:rsid w:val="7D7E1B59"/>
    <w:rsid w:val="7DBDD65E"/>
    <w:rsid w:val="7DDD794F"/>
    <w:rsid w:val="7FED9F9F"/>
    <w:rsid w:val="9FFF3766"/>
    <w:rsid w:val="B7F7950F"/>
    <w:rsid w:val="BECF1CFC"/>
    <w:rsid w:val="CADDA160"/>
    <w:rsid w:val="D7FBE5FA"/>
    <w:rsid w:val="DFDF27BD"/>
    <w:rsid w:val="F57B6F99"/>
    <w:rsid w:val="F7DFB8FF"/>
    <w:rsid w:val="FA7DCE76"/>
    <w:rsid w:val="FAEFC359"/>
    <w:rsid w:val="FB5ECFCA"/>
    <w:rsid w:val="FEAF114B"/>
    <w:rsid w:val="FEDC2866"/>
    <w:rsid w:val="FFC601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szCs w:val="20"/>
    </w:rPr>
  </w:style>
  <w:style w:type="paragraph" w:styleId="4">
    <w:name w:val="heading 2"/>
    <w:basedOn w:val="1"/>
    <w:next w:val="1"/>
    <w:qFormat/>
    <w:uiPriority w:val="0"/>
    <w:pPr>
      <w:keepNext/>
      <w:keepLines/>
      <w:spacing w:beforeLines="0" w:beforeAutospacing="0" w:afterLines="0" w:afterAutospacing="0" w:line="360" w:lineRule="auto"/>
      <w:ind w:firstLine="1040" w:firstLineChars="200"/>
      <w:outlineLvl w:val="1"/>
    </w:pPr>
    <w:rPr>
      <w:rFonts w:ascii="Arial" w:hAnsi="Arial" w:eastAsia="楷体"/>
      <w:b/>
      <w:kern w:val="0"/>
      <w:sz w:val="20"/>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5"/>
    <w:qFormat/>
    <w:uiPriority w:val="99"/>
    <w:pPr>
      <w:widowControl w:val="0"/>
      <w:ind w:firstLine="200" w:firstLineChars="200"/>
      <w:jc w:val="both"/>
    </w:pPr>
    <w:rPr>
      <w:rFonts w:ascii="Calibri" w:hAnsi="Calibri" w:eastAsia="宋体" w:cs="Times New Roman"/>
      <w:kern w:val="2"/>
      <w:sz w:val="24"/>
      <w:szCs w:val="22"/>
      <w:lang w:val="en-US" w:eastAsia="zh-CN" w:bidi="ar-SA"/>
    </w:rPr>
  </w:style>
  <w:style w:type="paragraph" w:styleId="5">
    <w:name w:val="Balloon Text"/>
    <w:basedOn w:val="1"/>
    <w:link w:val="13"/>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basedOn w:val="10"/>
    <w:link w:val="6"/>
    <w:qFormat/>
    <w:uiPriority w:val="99"/>
    <w:rPr>
      <w:rFonts w:eastAsia="仿宋_GB2312"/>
      <w:kern w:val="2"/>
      <w:sz w:val="18"/>
      <w:szCs w:val="18"/>
    </w:rPr>
  </w:style>
  <w:style w:type="character" w:customStyle="1" w:styleId="12">
    <w:name w:val="页眉 Char"/>
    <w:basedOn w:val="10"/>
    <w:link w:val="7"/>
    <w:qFormat/>
    <w:uiPriority w:val="0"/>
    <w:rPr>
      <w:rFonts w:eastAsia="仿宋_GB2312"/>
      <w:kern w:val="2"/>
      <w:sz w:val="18"/>
      <w:szCs w:val="18"/>
    </w:rPr>
  </w:style>
  <w:style w:type="character" w:customStyle="1" w:styleId="13">
    <w:name w:val="批注框文本 Char"/>
    <w:basedOn w:val="10"/>
    <w:link w:val="5"/>
    <w:qFormat/>
    <w:uiPriority w:val="0"/>
    <w:rPr>
      <w:rFonts w:eastAsia="仿宋_GB2312"/>
      <w:kern w:val="2"/>
      <w:sz w:val="18"/>
      <w:szCs w:val="18"/>
    </w:rPr>
  </w:style>
  <w:style w:type="character" w:customStyle="1" w:styleId="14">
    <w:name w:val="标题 1 Char"/>
    <w:link w:val="3"/>
    <w:qFormat/>
    <w:uiPriority w:val="0"/>
    <w:rPr>
      <w:b/>
      <w:kern w:val="44"/>
      <w:sz w:val="44"/>
      <w:szCs w:val="20"/>
    </w:rPr>
  </w:style>
  <w:style w:type="character" w:customStyle="1" w:styleId="15">
    <w:name w:val="font01"/>
    <w:basedOn w:val="10"/>
    <w:qFormat/>
    <w:uiPriority w:val="0"/>
    <w:rPr>
      <w:rFonts w:hint="default" w:ascii="Times New Roman" w:hAnsi="Times New Roman" w:cs="Times New Roman"/>
      <w:color w:val="000000"/>
      <w:sz w:val="20"/>
      <w:szCs w:val="20"/>
      <w:u w:val="none"/>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2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Words>
  <Characters>511</Characters>
  <Lines>4</Lines>
  <Paragraphs>1</Paragraphs>
  <TotalTime>37</TotalTime>
  <ScaleCrop>false</ScaleCrop>
  <LinksUpToDate>false</LinksUpToDate>
  <CharactersWithSpaces>599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2011-03-03T08:16:00Z</dcterms:created>
  <dc:creator>lhn</dc:creator>
  <cp:lastModifiedBy>Administrator</cp:lastModifiedBy>
  <cp:lastPrinted>2021-06-25T08:56:00Z</cp:lastPrinted>
  <dcterms:modified xsi:type="dcterms:W3CDTF">2021-06-25T09:37:29Z</dcterms:modified>
  <dc:title>财政支出绩效评价报告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7E40F0F6C8D345EE8E1C4807B87E0EFE</vt:lpwstr>
  </property>
</Properties>
</file>