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2021年省级打好污染防治攻坚战资金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生态环境监测网建设与运维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任务清单</w:t>
      </w:r>
    </w:p>
    <w:tbl>
      <w:tblPr>
        <w:tblStyle w:val="5"/>
        <w:tblW w:w="14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615"/>
        <w:gridCol w:w="1170"/>
        <w:gridCol w:w="1035"/>
        <w:gridCol w:w="1335"/>
        <w:gridCol w:w="1050"/>
        <w:gridCol w:w="870"/>
        <w:gridCol w:w="840"/>
        <w:gridCol w:w="5100"/>
        <w:gridCol w:w="705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生态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环境监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测执法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建设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生态环境监测网建设与运维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年生态环境监测常规监测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、排污单位自行监测抽测、驻市环境监测站仪器设备购置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业务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约束性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工作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不超过项目投资总额。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1.完成180个水环境监测点位监测，8个水站基础保障;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2.完成2020年57个土壤点位样品分析测试和2021年70个土壤点位例行监测;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3.完成辖区地下水质量考核点位水质监测洗井采样、样品保存及送检环节质控;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4.抽测排污企业45家次;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5.协助完成粤东海域海水质量监测;完成1个海滩垃圾的监测;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6.购置驻市环境监测站仪器设备。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年底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生态环境执法及应急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任务清单</w:t>
      </w:r>
    </w:p>
    <w:tbl>
      <w:tblPr>
        <w:tblStyle w:val="5"/>
        <w:tblW w:w="14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735"/>
        <w:gridCol w:w="1140"/>
        <w:gridCol w:w="1182"/>
        <w:gridCol w:w="3483"/>
        <w:gridCol w:w="555"/>
        <w:gridCol w:w="900"/>
        <w:gridCol w:w="1005"/>
        <w:gridCol w:w="2325"/>
        <w:gridCol w:w="105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531" w:rightChars="-253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304" w:rightChars="145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生态环境监测执法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生态环境执法及应急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根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据《关于印发＜生态环境保护综合行政执法装备标准化建设指导标准(2020年版)＞的通知》(环办执法〔202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〕35号)要求，加强揭阳市执法能力建设，提升环境执法水平，适应生态环境建设形势发展需要，为保护揭阳市生态环境安全提供执法保障。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指导性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任务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bidi="ar"/>
              </w:rPr>
              <w:t>补助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bidi="ar"/>
              </w:rPr>
              <w:t>不超过项目投资总额。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完成3辆执法车辆的更新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304" w:rightChars="14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水污染防治和省内外流域生态补偿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资金任务清单</w:t>
      </w:r>
    </w:p>
    <w:tbl>
      <w:tblPr>
        <w:tblStyle w:val="5"/>
        <w:tblW w:w="14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739"/>
        <w:gridCol w:w="1151"/>
        <w:gridCol w:w="1040"/>
        <w:gridCol w:w="3055"/>
        <w:gridCol w:w="811"/>
        <w:gridCol w:w="1048"/>
        <w:gridCol w:w="859"/>
        <w:gridCol w:w="3086"/>
        <w:gridCol w:w="830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污染防治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水污染防治和省内外流域生态补偿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支持省级水污染防治资金项目储备库内项目，确保练江青洋山桥国考断面水质明显改善，确保高质量完成入河排污口排查和水生态环境调查任务。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指导性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任务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财政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补助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  <w:t>不超过项目投资总额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、支持重点流域水污染防治(250万元);2、入河排污ロ调查与评估(300万元);3、水生态环境调查与评估(450万元)。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年底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  <w:t>近岸海域污染防治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  <w:t>任务清单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139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647"/>
        <w:gridCol w:w="748"/>
        <w:gridCol w:w="1394"/>
        <w:gridCol w:w="3914"/>
        <w:gridCol w:w="925"/>
        <w:gridCol w:w="1025"/>
        <w:gridCol w:w="840"/>
        <w:gridCol w:w="1800"/>
        <w:gridCol w:w="915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惠来县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近岸海域污染防治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根据《水污染防治行动计划》《近岸海域污染防治方案》以及生态环境部对海洋生态环境保护“十四五”规划的要求，提高靖海镇资深湾海岸带生态环境，建设美丽海湾，改善海洋生态环境。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海岸带生态修复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底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</w:tr>
    </w:tbl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大气污染防治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资金任务清单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3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615"/>
        <w:gridCol w:w="1170"/>
        <w:gridCol w:w="1035"/>
        <w:gridCol w:w="4215"/>
        <w:gridCol w:w="765"/>
        <w:gridCol w:w="645"/>
        <w:gridCol w:w="840"/>
        <w:gridCol w:w="2715"/>
        <w:gridCol w:w="66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大气污染防治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用于大气污染防治相关方面，重点用于移动源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监控、省控重点VOCs企业监控、重点区域监控，以及国控站点周边污染源进行摸排，强化污染天气应对，改善空气质量，PM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浓度达到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国家二级标准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柴油车遥感监测年度监控覆盖率50％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省控重点VOC企业监控覆盖率10％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重点区域监控覆盖率10％。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揭阳大南海石化工业区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大气污染防治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用于大气污染防治相关方面，重点用于移动源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监控、省控重点VOCs企业监控、重点区域监控，以及国控站点周边污染源进行摸排，强化污染天气应对，改善空气质量，PM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浓度达到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国家二级标准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柴油车遥感监测年度监控覆盖率50％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省控重点VOC企业监控覆盖率10％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重点区域监控覆盖率10％。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土壤和地下水污染防治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资金任务清单</w:t>
      </w:r>
    </w:p>
    <w:tbl>
      <w:tblPr>
        <w:tblStyle w:val="5"/>
        <w:tblW w:w="13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615"/>
        <w:gridCol w:w="1170"/>
        <w:gridCol w:w="1035"/>
        <w:gridCol w:w="2085"/>
        <w:gridCol w:w="765"/>
        <w:gridCol w:w="645"/>
        <w:gridCol w:w="840"/>
        <w:gridCol w:w="4861"/>
        <w:gridCol w:w="66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土壤和地下水污染防治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1、加强土壤污染重点监管单位周边土壤监测。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2、完善地下水“双源”清单，开展“双源”环境状调查评估。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1、完成本市2017-2019年公布的重点监管单位(不少于12家)周边土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壤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及地下水环境监测，为环境执法和风险预警提供支撑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2、补充完善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揭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阳市地下水“双源”清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单。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对不少于12个污染源或饮用水源及周边地下水基础环境状况进行调查评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估。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碳达峰、碳中和等应对气候变化事务资金任务清单</w:t>
      </w:r>
    </w:p>
    <w:p>
      <w:pPr>
        <w:pStyle w:val="2"/>
        <w:rPr>
          <w:rFonts w:hint="eastAsia"/>
        </w:rPr>
      </w:pPr>
    </w:p>
    <w:tbl>
      <w:tblPr>
        <w:tblStyle w:val="5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614"/>
        <w:gridCol w:w="710"/>
        <w:gridCol w:w="1212"/>
        <w:gridCol w:w="3630"/>
        <w:gridCol w:w="776"/>
        <w:gridCol w:w="691"/>
        <w:gridCol w:w="1114"/>
        <w:gridCol w:w="2694"/>
        <w:gridCol w:w="917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应对气候变化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碳达峰、碳中和等应对气候变化事务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开展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温室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气体清单编制，摸清底数，开展先行地市碳达峰研究工作和低碳试点示范工程，为全省实现碳达峰提供基础。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财政补助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1.开展温室气体清单编制，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清底数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年底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生态环境宣传教育资金任务清单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3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647"/>
        <w:gridCol w:w="748"/>
        <w:gridCol w:w="1394"/>
        <w:gridCol w:w="3539"/>
        <w:gridCol w:w="925"/>
        <w:gridCol w:w="1025"/>
        <w:gridCol w:w="840"/>
        <w:gridCol w:w="2205"/>
        <w:gridCol w:w="915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生态环境监督管理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生态环境宣传教育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购买第三方服务，进一步做好“两微”公众号的运维工作;在揭阳日报、揭阳电视台等本地传统媒体刊登专题报道;在微信、微博开展网络宣传;策划开屐系列线上线下宣传活动;加强环境宣教能力培训和法律法规培训;征订生态环境宣传资料;采购宣教设备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不超过项目投资总额。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购买第三方服务、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媒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体专题报道，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微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信、微博发布信息，开展线上或线下宣传活动、志愿服务活动，订阅《环境》杂志500份等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底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大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46F1"/>
    <w:rsid w:val="03981C36"/>
    <w:rsid w:val="052503DC"/>
    <w:rsid w:val="094D57F5"/>
    <w:rsid w:val="0E082FC6"/>
    <w:rsid w:val="0F737A2C"/>
    <w:rsid w:val="14BC7FA4"/>
    <w:rsid w:val="19483D6E"/>
    <w:rsid w:val="1AF26088"/>
    <w:rsid w:val="1D060692"/>
    <w:rsid w:val="1F866087"/>
    <w:rsid w:val="20371EAF"/>
    <w:rsid w:val="233D7495"/>
    <w:rsid w:val="236069DA"/>
    <w:rsid w:val="24F708DD"/>
    <w:rsid w:val="257D6C71"/>
    <w:rsid w:val="2A5A236B"/>
    <w:rsid w:val="2D123C54"/>
    <w:rsid w:val="2F3824D2"/>
    <w:rsid w:val="30092C73"/>
    <w:rsid w:val="30156EF0"/>
    <w:rsid w:val="34B73543"/>
    <w:rsid w:val="378A28F1"/>
    <w:rsid w:val="3BD42F64"/>
    <w:rsid w:val="40B40464"/>
    <w:rsid w:val="40E15F11"/>
    <w:rsid w:val="41A11B0D"/>
    <w:rsid w:val="42CA3470"/>
    <w:rsid w:val="45B918B7"/>
    <w:rsid w:val="46BD60D5"/>
    <w:rsid w:val="47231615"/>
    <w:rsid w:val="49FC25D7"/>
    <w:rsid w:val="4A5212A9"/>
    <w:rsid w:val="4AFF7A9D"/>
    <w:rsid w:val="4B6B59C4"/>
    <w:rsid w:val="4C8B5006"/>
    <w:rsid w:val="4D3A2159"/>
    <w:rsid w:val="4ED847C7"/>
    <w:rsid w:val="511D70E6"/>
    <w:rsid w:val="533044FB"/>
    <w:rsid w:val="53C82B62"/>
    <w:rsid w:val="544534E9"/>
    <w:rsid w:val="55A706E5"/>
    <w:rsid w:val="560B61E6"/>
    <w:rsid w:val="579C43BC"/>
    <w:rsid w:val="58CC41AB"/>
    <w:rsid w:val="59C5230F"/>
    <w:rsid w:val="5A0216F8"/>
    <w:rsid w:val="5BDA13D8"/>
    <w:rsid w:val="5DE77C03"/>
    <w:rsid w:val="5EA72E05"/>
    <w:rsid w:val="60555316"/>
    <w:rsid w:val="6162241C"/>
    <w:rsid w:val="62204DCB"/>
    <w:rsid w:val="63334A1E"/>
    <w:rsid w:val="63D756F6"/>
    <w:rsid w:val="64CE05CB"/>
    <w:rsid w:val="65480AB0"/>
    <w:rsid w:val="67FC726F"/>
    <w:rsid w:val="69CD32E7"/>
    <w:rsid w:val="69D94D9D"/>
    <w:rsid w:val="6AF47ED5"/>
    <w:rsid w:val="6AFC6BB7"/>
    <w:rsid w:val="6B1E4D31"/>
    <w:rsid w:val="6B73397A"/>
    <w:rsid w:val="6CBC13BF"/>
    <w:rsid w:val="6F101018"/>
    <w:rsid w:val="71FC60FA"/>
    <w:rsid w:val="728A7298"/>
    <w:rsid w:val="7349426B"/>
    <w:rsid w:val="7A4043C0"/>
    <w:rsid w:val="7D8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51"/>
    <w:basedOn w:val="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2019-07-17T07:48:00Z</cp:lastPrinted>
  <dcterms:modified xsi:type="dcterms:W3CDTF">2021-03-04T02:04:51Z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