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附件1</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仿宋_GB2312" w:hAnsi="仿宋_GB2312" w:eastAsia="仿宋_GB2312" w:cs="仿宋_GB2312"/>
          <w:kern w:val="2"/>
          <w:sz w:val="32"/>
          <w:szCs w:val="32"/>
          <w:lang w:val="en-US" w:eastAsia="zh-CN" w:bidi="ar-SA"/>
        </w:rPr>
      </w:pPr>
      <w:r>
        <w:rPr>
          <w:rFonts w:hint="default" w:ascii="宋体" w:hAnsi="宋体" w:eastAsia="宋体" w:cs="宋体"/>
          <w:i w:val="0"/>
          <w:color w:val="auto"/>
          <w:kern w:val="0"/>
          <w:sz w:val="32"/>
          <w:szCs w:val="32"/>
          <w:u w:val="none"/>
          <w:lang w:val="en-US" w:eastAsia="zh-CN" w:bidi="ar"/>
        </w:rPr>
        <w:t>20</w:t>
      </w:r>
      <w:r>
        <w:rPr>
          <w:rFonts w:hint="eastAsia" w:ascii="宋体" w:hAnsi="宋体" w:eastAsia="宋体" w:cs="宋体"/>
          <w:i w:val="0"/>
          <w:color w:val="auto"/>
          <w:kern w:val="0"/>
          <w:sz w:val="32"/>
          <w:szCs w:val="32"/>
          <w:u w:val="none"/>
          <w:lang w:val="en-US" w:eastAsia="zh-CN" w:bidi="ar"/>
        </w:rPr>
        <w:t>20</w:t>
      </w:r>
      <w:r>
        <w:rPr>
          <w:rFonts w:hint="default" w:ascii="宋体" w:hAnsi="宋体" w:eastAsia="宋体" w:cs="宋体"/>
          <w:i w:val="0"/>
          <w:color w:val="auto"/>
          <w:kern w:val="0"/>
          <w:sz w:val="32"/>
          <w:szCs w:val="32"/>
          <w:u w:val="none"/>
          <w:lang w:val="en-US" w:eastAsia="zh-CN" w:bidi="ar"/>
        </w:rPr>
        <w:t>年中央</w:t>
      </w:r>
      <w:r>
        <w:rPr>
          <w:rFonts w:hint="eastAsia" w:ascii="宋体" w:hAnsi="宋体" w:eastAsia="宋体" w:cs="宋体"/>
          <w:i w:val="0"/>
          <w:color w:val="auto"/>
          <w:kern w:val="0"/>
          <w:sz w:val="32"/>
          <w:szCs w:val="32"/>
          <w:u w:val="none"/>
          <w:lang w:val="en-US" w:eastAsia="zh-CN" w:bidi="ar"/>
        </w:rPr>
        <w:t>财政水</w:t>
      </w:r>
      <w:r>
        <w:rPr>
          <w:rFonts w:hint="default" w:ascii="宋体" w:hAnsi="宋体" w:eastAsia="宋体" w:cs="宋体"/>
          <w:i w:val="0"/>
          <w:color w:val="auto"/>
          <w:kern w:val="0"/>
          <w:sz w:val="32"/>
          <w:szCs w:val="32"/>
          <w:u w:val="none"/>
          <w:lang w:val="en-US" w:eastAsia="zh-CN" w:bidi="ar"/>
        </w:rPr>
        <w:t>污染防治资金</w:t>
      </w:r>
      <w:r>
        <w:rPr>
          <w:rFonts w:hint="eastAsia" w:ascii="宋体" w:hAnsi="宋体" w:eastAsia="宋体" w:cs="宋体"/>
          <w:i w:val="0"/>
          <w:color w:val="auto"/>
          <w:kern w:val="0"/>
          <w:sz w:val="32"/>
          <w:szCs w:val="32"/>
          <w:u w:val="none"/>
          <w:lang w:val="en-US" w:eastAsia="zh-CN" w:bidi="ar"/>
        </w:rPr>
        <w:t>（第二批）</w:t>
      </w:r>
      <w:r>
        <w:rPr>
          <w:rFonts w:hint="default" w:ascii="宋体" w:hAnsi="宋体" w:eastAsia="宋体" w:cs="宋体"/>
          <w:i w:val="0"/>
          <w:color w:val="auto"/>
          <w:kern w:val="0"/>
          <w:sz w:val="32"/>
          <w:szCs w:val="32"/>
          <w:u w:val="none"/>
          <w:lang w:val="en-US" w:eastAsia="zh-CN" w:bidi="ar"/>
        </w:rPr>
        <w:t>安排计划</w:t>
      </w:r>
      <w:r>
        <w:rPr>
          <w:rFonts w:hint="eastAsia" w:ascii="宋体" w:hAnsi="宋体" w:eastAsia="宋体" w:cs="宋体"/>
          <w:i w:val="0"/>
          <w:color w:val="auto"/>
          <w:kern w:val="0"/>
          <w:sz w:val="32"/>
          <w:szCs w:val="32"/>
          <w:u w:val="none"/>
          <w:lang w:val="en-US" w:eastAsia="zh-CN" w:bidi="ar"/>
        </w:rPr>
        <w:t xml:space="preserve">总表 </w:t>
      </w:r>
      <w:r>
        <w:rPr>
          <w:rFonts w:hint="eastAsia" w:ascii="仿宋_GB2312" w:hAnsi="仿宋_GB2312" w:eastAsia="仿宋_GB2312" w:cs="仿宋_GB2312"/>
          <w:kern w:val="2"/>
          <w:sz w:val="32"/>
          <w:szCs w:val="32"/>
          <w:lang w:val="en-US" w:eastAsia="zh-CN" w:bidi="ar-SA"/>
        </w:rPr>
        <w:t>（粤财资环〔2020〕83号）</w:t>
      </w: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i w:val="0"/>
          <w:color w:val="auto"/>
          <w:kern w:val="0"/>
          <w:sz w:val="32"/>
          <w:szCs w:val="32"/>
          <w:u w:val="none"/>
          <w:lang w:val="en-US" w:eastAsia="zh-CN" w:bidi="ar"/>
        </w:rPr>
      </w:pPr>
      <w:r>
        <w:rPr>
          <w:rFonts w:hint="eastAsia" w:ascii="仿宋_GB2312" w:hAnsi="仿宋_GB2312" w:eastAsia="仿宋_GB2312" w:cs="仿宋_GB2312"/>
          <w:kern w:val="2"/>
          <w:sz w:val="32"/>
          <w:szCs w:val="32"/>
          <w:lang w:val="en-US" w:eastAsia="zh-CN" w:bidi="ar-SA"/>
        </w:rPr>
        <w:t xml:space="preserve">                                                           </w:t>
      </w:r>
      <w:r>
        <w:rPr>
          <w:rFonts w:hint="eastAsia" w:ascii="宋体" w:hAnsi="宋体" w:eastAsia="宋体" w:cs="宋体"/>
          <w:i w:val="0"/>
          <w:color w:val="auto"/>
          <w:kern w:val="0"/>
          <w:sz w:val="32"/>
          <w:szCs w:val="32"/>
          <w:u w:val="none"/>
          <w:lang w:val="en-US" w:eastAsia="zh-CN" w:bidi="ar"/>
        </w:rPr>
        <w:t xml:space="preserve">   单位：万元</w:t>
      </w:r>
    </w:p>
    <w:tbl>
      <w:tblPr>
        <w:tblStyle w:val="7"/>
        <w:tblpPr w:leftFromText="180" w:rightFromText="180" w:vertAnchor="text" w:horzAnchor="page" w:tblpX="1811" w:tblpY="249"/>
        <w:tblOverlap w:val="never"/>
        <w:tblW w:w="128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062"/>
        <w:gridCol w:w="3046"/>
        <w:gridCol w:w="3046"/>
        <w:gridCol w:w="16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37" w:hRule="atLeast"/>
        </w:trPr>
        <w:tc>
          <w:tcPr>
            <w:tcW w:w="506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bCs/>
                <w:i w:val="0"/>
                <w:color w:val="auto"/>
                <w:kern w:val="0"/>
                <w:sz w:val="28"/>
                <w:szCs w:val="28"/>
                <w:u w:val="none"/>
                <w:lang w:val="en-US" w:eastAsia="zh-CN" w:bidi="ar"/>
              </w:rPr>
            </w:pPr>
            <w:r>
              <w:rPr>
                <w:rFonts w:hint="eastAsia" w:ascii="宋体" w:hAnsi="宋体" w:eastAsia="宋体" w:cs="宋体"/>
                <w:b/>
                <w:bCs/>
                <w:i w:val="0"/>
                <w:color w:val="auto"/>
                <w:kern w:val="0"/>
                <w:sz w:val="28"/>
                <w:szCs w:val="28"/>
                <w:u w:val="none"/>
                <w:lang w:val="en-US" w:eastAsia="zh-CN" w:bidi="ar"/>
              </w:rPr>
              <w:t>资金用途</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bCs/>
                <w:i w:val="0"/>
                <w:color w:val="auto"/>
                <w:kern w:val="0"/>
                <w:sz w:val="28"/>
                <w:szCs w:val="28"/>
                <w:u w:val="none"/>
                <w:lang w:val="en-US" w:eastAsia="zh-CN" w:bidi="ar"/>
              </w:rPr>
            </w:pPr>
            <w:r>
              <w:rPr>
                <w:rFonts w:hint="eastAsia" w:ascii="宋体" w:hAnsi="宋体" w:eastAsia="宋体" w:cs="宋体"/>
                <w:b/>
                <w:bCs/>
                <w:i w:val="0"/>
                <w:color w:val="auto"/>
                <w:kern w:val="0"/>
                <w:sz w:val="28"/>
                <w:szCs w:val="28"/>
                <w:u w:val="none"/>
                <w:lang w:val="en-US" w:eastAsia="zh-CN" w:bidi="ar"/>
              </w:rPr>
              <w:t>上级下达资金</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bCs/>
                <w:i w:val="0"/>
                <w:color w:val="auto"/>
                <w:kern w:val="0"/>
                <w:sz w:val="28"/>
                <w:szCs w:val="28"/>
                <w:u w:val="none"/>
                <w:lang w:val="en-US" w:eastAsia="zh-CN" w:bidi="ar"/>
              </w:rPr>
            </w:pPr>
            <w:r>
              <w:rPr>
                <w:rFonts w:hint="eastAsia" w:ascii="宋体" w:hAnsi="宋体" w:eastAsia="宋体" w:cs="宋体"/>
                <w:b/>
                <w:bCs/>
                <w:i w:val="0"/>
                <w:color w:val="auto"/>
                <w:kern w:val="0"/>
                <w:sz w:val="28"/>
                <w:szCs w:val="28"/>
                <w:u w:val="none"/>
                <w:lang w:val="en-US" w:eastAsia="zh-CN" w:bidi="ar"/>
              </w:rPr>
              <w:t>本次下达资金</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eastAsia" w:ascii="宋体" w:hAnsi="宋体" w:eastAsia="宋体" w:cs="宋体"/>
                <w:b/>
                <w:bCs/>
                <w:i w:val="0"/>
                <w:color w:val="auto"/>
                <w:kern w:val="0"/>
                <w:sz w:val="28"/>
                <w:szCs w:val="28"/>
                <w:u w:val="none"/>
                <w:lang w:val="en-US" w:eastAsia="zh-CN" w:bidi="ar"/>
              </w:rPr>
            </w:pPr>
            <w:r>
              <w:rPr>
                <w:rFonts w:hint="eastAsia" w:ascii="宋体" w:hAnsi="宋体" w:eastAsia="宋体" w:cs="宋体"/>
                <w:b/>
                <w:bCs/>
                <w:i w:val="0"/>
                <w:color w:val="auto"/>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128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2020年中央财政水污染防治资金（第二批）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trPr>
        <w:tc>
          <w:tcPr>
            <w:tcW w:w="12819"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r>
              <w:rPr>
                <w:rFonts w:hint="default" w:ascii="宋体" w:hAnsi="宋体" w:eastAsia="宋体" w:cs="宋体"/>
                <w:i w:val="0"/>
                <w:color w:val="auto"/>
                <w:kern w:val="0"/>
                <w:sz w:val="24"/>
                <w:szCs w:val="24"/>
                <w:u w:val="none"/>
                <w:lang w:val="en-US" w:eastAsia="zh-CN" w:bidi="ar"/>
              </w:rPr>
              <w:t>重点流域污染整治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4" w:hRule="atLeast"/>
        </w:trPr>
        <w:tc>
          <w:tcPr>
            <w:tcW w:w="506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i w:val="0"/>
                <w:color w:val="auto"/>
                <w:kern w:val="0"/>
                <w:sz w:val="24"/>
                <w:szCs w:val="24"/>
                <w:u w:val="none"/>
                <w:lang w:val="en-US" w:eastAsia="zh-CN" w:bidi="ar"/>
              </w:rPr>
              <w:t>榕江、练江流域（普宁段）水环境整治</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10000</w:t>
            </w:r>
          </w:p>
        </w:tc>
        <w:tc>
          <w:tcPr>
            <w:tcW w:w="304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b w:val="0"/>
                <w:bCs/>
                <w:i w:val="0"/>
                <w:color w:val="auto"/>
                <w:kern w:val="0"/>
                <w:sz w:val="24"/>
                <w:szCs w:val="24"/>
                <w:u w:val="none"/>
                <w:lang w:val="en-US" w:eastAsia="zh-CN" w:bidi="ar"/>
              </w:rPr>
            </w:pPr>
            <w:r>
              <w:rPr>
                <w:rFonts w:hint="eastAsia" w:ascii="宋体" w:hAnsi="宋体" w:eastAsia="宋体" w:cs="宋体"/>
                <w:b w:val="0"/>
                <w:bCs/>
                <w:i w:val="0"/>
                <w:color w:val="000000"/>
                <w:kern w:val="0"/>
                <w:sz w:val="24"/>
                <w:szCs w:val="24"/>
                <w:u w:val="none"/>
                <w:lang w:val="en-US" w:eastAsia="zh-CN" w:bidi="ar"/>
              </w:rPr>
              <w:t>10000</w:t>
            </w:r>
          </w:p>
        </w:tc>
        <w:tc>
          <w:tcPr>
            <w:tcW w:w="166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left"/>
              <w:textAlignment w:val="center"/>
              <w:outlineLvl w:val="9"/>
              <w:rPr>
                <w:rFonts w:hint="eastAsia" w:ascii="宋体" w:hAnsi="宋体" w:eastAsia="宋体" w:cs="宋体"/>
                <w:i w:val="0"/>
                <w:color w:val="auto"/>
                <w:kern w:val="0"/>
                <w:sz w:val="24"/>
                <w:szCs w:val="24"/>
                <w:u w:val="no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default" w:ascii="宋体" w:hAnsi="宋体" w:eastAsia="宋体" w:cs="宋体"/>
          <w:i w:val="0"/>
          <w:color w:val="auto"/>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40" w:lineRule="atLeast"/>
        <w:ind w:left="0" w:leftChars="0" w:right="0" w:rightChars="0" w:firstLine="0" w:firstLineChars="0"/>
        <w:jc w:val="center"/>
        <w:textAlignment w:val="center"/>
        <w:outlineLvl w:val="9"/>
        <w:rPr>
          <w:rFonts w:hint="default" w:ascii="宋体" w:hAnsi="宋体" w:eastAsia="宋体" w:cs="宋体"/>
          <w:i w:val="0"/>
          <w:color w:val="auto"/>
          <w:kern w:val="0"/>
          <w:sz w:val="24"/>
          <w:szCs w:val="24"/>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left"/>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附件2</w:t>
      </w:r>
    </w:p>
    <w:p>
      <w:pPr>
        <w:jc w:val="center"/>
        <w:rPr>
          <w:rFonts w:hint="eastAsia" w:ascii="宋体" w:hAnsi="宋体" w:eastAsia="宋体" w:cs="宋体"/>
          <w:i w:val="0"/>
          <w:color w:val="auto"/>
          <w:kern w:val="0"/>
          <w:sz w:val="32"/>
          <w:szCs w:val="32"/>
          <w:u w:val="none"/>
          <w:lang w:val="en-US" w:eastAsia="zh-CN" w:bidi="ar"/>
        </w:rPr>
      </w:pPr>
      <w:r>
        <w:rPr>
          <w:rFonts w:hint="eastAsia" w:ascii="宋体" w:hAnsi="宋体" w:eastAsia="宋体" w:cs="宋体"/>
          <w:i w:val="0"/>
          <w:color w:val="auto"/>
          <w:kern w:val="0"/>
          <w:sz w:val="32"/>
          <w:szCs w:val="32"/>
          <w:u w:val="none"/>
          <w:lang w:val="en-US" w:eastAsia="zh-CN" w:bidi="ar"/>
        </w:rPr>
        <w:t>2020年中央财政水污染防治资金（第二批）</w:t>
      </w:r>
      <w:r>
        <w:rPr>
          <w:rFonts w:hint="default" w:ascii="宋体" w:hAnsi="宋体" w:eastAsia="宋体" w:cs="宋体"/>
          <w:i w:val="0"/>
          <w:color w:val="auto"/>
          <w:kern w:val="0"/>
          <w:sz w:val="32"/>
          <w:szCs w:val="32"/>
          <w:u w:val="none"/>
          <w:lang w:val="en-US" w:eastAsia="zh-CN" w:bidi="ar"/>
        </w:rPr>
        <w:t>安排计划</w:t>
      </w:r>
    </w:p>
    <w:tbl>
      <w:tblPr>
        <w:tblStyle w:val="7"/>
        <w:tblW w:w="12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24"/>
        <w:gridCol w:w="3080"/>
        <w:gridCol w:w="2835"/>
        <w:gridCol w:w="2085"/>
        <w:gridCol w:w="195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trPr>
        <w:tc>
          <w:tcPr>
            <w:tcW w:w="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序号</w:t>
            </w:r>
          </w:p>
        </w:tc>
        <w:tc>
          <w:tcPr>
            <w:tcW w:w="3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2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单位名称</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区县（市直单位）</w:t>
            </w:r>
          </w:p>
        </w:tc>
        <w:tc>
          <w:tcPr>
            <w:tcW w:w="1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拟补助资金（万元）</w:t>
            </w:r>
          </w:p>
        </w:tc>
        <w:tc>
          <w:tcPr>
            <w:tcW w:w="24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2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30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283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208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195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c>
          <w:tcPr>
            <w:tcW w:w="240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12" w:hRule="atLeast"/>
        </w:trPr>
        <w:tc>
          <w:tcPr>
            <w:tcW w:w="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3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1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c>
          <w:tcPr>
            <w:tcW w:w="24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1" w:hRule="atLeast"/>
        </w:trPr>
        <w:tc>
          <w:tcPr>
            <w:tcW w:w="1287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2020年中央财政水污染防治资金（第二批）10000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1"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占陇污水处理厂及配套管网工程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18"/>
                <w:szCs w:val="18"/>
                <w:u w:val="none"/>
                <w:lang w:val="en-US" w:eastAsia="zh-CN" w:bidi="ar"/>
              </w:rPr>
              <w:t>普宁市城市管理和综合执法局</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普宁市</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原中央库储备库项目，2015年已补助2000万元中央资金，被财厅收回1200万元。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揭阳市榕城区榕江北河支流（部分）水环境治理工程</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揭阳市榕城区农业农村局</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bookmarkStart w:id="0" w:name="_GoBack"/>
            <w:bookmarkEnd w:id="0"/>
            <w:r>
              <w:rPr>
                <w:rFonts w:hint="eastAsia" w:ascii="宋体" w:hAnsi="宋体" w:eastAsia="宋体" w:cs="宋体"/>
                <w:i w:val="0"/>
                <w:color w:val="000000"/>
                <w:kern w:val="0"/>
                <w:sz w:val="20"/>
                <w:szCs w:val="20"/>
                <w:u w:val="none"/>
                <w:lang w:val="en-US" w:eastAsia="zh-CN" w:bidi="ar"/>
              </w:rPr>
              <w:t>榕城区</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中央库储备库入库项目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9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揭阳古城水系水体综合治理工程项目</w:t>
            </w:r>
          </w:p>
        </w:tc>
        <w:tc>
          <w:tcPr>
            <w:tcW w:w="28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揭阳古城建设投资发展有限公司</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榕城区</w:t>
            </w: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中央库储备库入库项目，已补助400万元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3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合计</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10000</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bl>
    <w:p>
      <w:pPr>
        <w:jc w:val="center"/>
        <w:rPr>
          <w:rFonts w:hint="default" w:ascii="文鼎小标宋简" w:hAnsi="文鼎小标宋简" w:eastAsia="文鼎小标宋简" w:cs="文鼎小标宋简"/>
          <w:i w:val="0"/>
          <w:color w:val="000000"/>
          <w:kern w:val="0"/>
          <w:sz w:val="28"/>
          <w:szCs w:val="28"/>
          <w:u w:val="none"/>
          <w:lang w:val="en-US" w:eastAsia="zh-CN" w:bidi="ar"/>
        </w:rPr>
      </w:pPr>
    </w:p>
    <w:p>
      <w:pPr>
        <w:jc w:val="left"/>
        <w:rPr>
          <w:rFonts w:hint="default" w:ascii="文鼎小标宋简" w:hAnsi="文鼎小标宋简" w:eastAsia="文鼎小标宋简" w:cs="文鼎小标宋简"/>
          <w:i w:val="0"/>
          <w:color w:val="000000"/>
          <w:kern w:val="0"/>
          <w:sz w:val="28"/>
          <w:szCs w:val="28"/>
          <w:u w:val="none"/>
          <w:lang w:val="en-US" w:eastAsia="zh-CN" w:bidi="ar"/>
        </w:rPr>
      </w:pPr>
      <w:r>
        <w:rPr>
          <w:rFonts w:hint="eastAsia" w:ascii="文鼎小标宋简" w:hAnsi="文鼎小标宋简" w:eastAsia="文鼎小标宋简" w:cs="文鼎小标宋简"/>
          <w:i w:val="0"/>
          <w:color w:val="000000"/>
          <w:kern w:val="0"/>
          <w:sz w:val="28"/>
          <w:szCs w:val="28"/>
          <w:u w:val="none"/>
          <w:lang w:val="en-US" w:eastAsia="zh-CN" w:bidi="ar"/>
        </w:rPr>
        <w:t>附件3</w:t>
      </w:r>
    </w:p>
    <w:p>
      <w:pPr>
        <w:jc w:val="center"/>
        <w:rPr>
          <w:rFonts w:hint="eastAsia" w:ascii="文鼎小标宋简" w:hAnsi="文鼎小标宋简" w:eastAsia="文鼎小标宋简" w:cs="文鼎小标宋简"/>
          <w:i w:val="0"/>
          <w:color w:val="000000"/>
          <w:kern w:val="0"/>
          <w:sz w:val="28"/>
          <w:szCs w:val="28"/>
          <w:u w:val="none"/>
          <w:lang w:val="en-US" w:eastAsia="zh-CN" w:bidi="ar"/>
        </w:rPr>
      </w:pPr>
      <w:r>
        <w:rPr>
          <w:rFonts w:hint="eastAsia" w:ascii="宋体" w:hAnsi="宋体" w:eastAsia="宋体" w:cs="宋体"/>
          <w:i w:val="0"/>
          <w:color w:val="auto"/>
          <w:kern w:val="0"/>
          <w:sz w:val="32"/>
          <w:szCs w:val="32"/>
          <w:u w:val="none"/>
          <w:lang w:val="en-US" w:eastAsia="zh-CN" w:bidi="ar"/>
        </w:rPr>
        <w:t>2020年中央财政水污染防治资金（第二批）任务清单</w:t>
      </w:r>
    </w:p>
    <w:tbl>
      <w:tblPr>
        <w:tblStyle w:val="7"/>
        <w:tblW w:w="137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86"/>
        <w:gridCol w:w="682"/>
        <w:gridCol w:w="1186"/>
        <w:gridCol w:w="1275"/>
        <w:gridCol w:w="1065"/>
        <w:gridCol w:w="5625"/>
        <w:gridCol w:w="690"/>
        <w:gridCol w:w="795"/>
        <w:gridCol w:w="88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i w:val="0"/>
                <w:color w:val="000000"/>
                <w:sz w:val="22"/>
                <w:szCs w:val="22"/>
                <w:u w:val="none"/>
              </w:rPr>
            </w:pPr>
            <w:r>
              <w:rPr>
                <w:rFonts w:hint="eastAsia" w:ascii="文鼎小标宋简" w:hAnsi="文鼎小标宋简" w:eastAsia="文鼎小标宋简" w:cs="文鼎小标宋简"/>
                <w:i w:val="0"/>
                <w:color w:val="000000"/>
                <w:kern w:val="0"/>
                <w:sz w:val="28"/>
                <w:szCs w:val="28"/>
                <w:u w:val="none"/>
                <w:lang w:val="en-US" w:eastAsia="zh-CN" w:bidi="ar"/>
              </w:rPr>
              <w:br w:type="page"/>
            </w:r>
            <w:r>
              <w:rPr>
                <w:rFonts w:hint="eastAsia" w:ascii="宋体" w:hAnsi="宋体" w:eastAsia="宋体" w:cs="宋体"/>
                <w:b/>
                <w:i w:val="0"/>
                <w:color w:val="000000"/>
                <w:kern w:val="0"/>
                <w:sz w:val="22"/>
                <w:szCs w:val="22"/>
                <w:u w:val="none"/>
                <w:lang w:val="en-US" w:eastAsia="zh-CN" w:bidi="ar"/>
              </w:rPr>
              <w:t>序号</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地区或部门</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资金投入方向</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工作任务名称</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补助资金</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（万元）</w:t>
            </w:r>
          </w:p>
        </w:tc>
        <w:tc>
          <w:tcPr>
            <w:tcW w:w="5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Style w:val="8"/>
                <w:lang w:val="en-US" w:eastAsia="zh-CN" w:bidi="ar"/>
              </w:rPr>
              <w:t>任务要求/绩效目标</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任务性质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实施方式</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实施标准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1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普宁市</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重点流域污染整治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榕江、练江流域（普宁段）水环境整治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6000</w:t>
            </w:r>
          </w:p>
        </w:tc>
        <w:tc>
          <w:tcPr>
            <w:tcW w:w="5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围绕国家、省和市明确的水污染防治目标，紧扣《广东省2019年水污染防治攻坚战工作方案》《揭阳市贯彻落实省污染防治攻坚战指挥部2020年第1号令暨决战决胜污染防治攻坚的实施方案》确定的重点攻坚国、省考断面的达标攻坚，用于2020年水污染防治中央项目储备库入库项目，支持榕江、练江流域环境基础设施建设、农村污水处理设施建设、环境监管能力建设等重点流域水污染防治，大力推动榕江北河龙石国考断面及练江揭汕交界青洋山桥断面水质消除劣V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指导性任务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不超过项目投资总额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2020年底前开工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15" w:hRule="atLeast"/>
        </w:trPr>
        <w:tc>
          <w:tcPr>
            <w:tcW w:w="6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榕城区</w:t>
            </w:r>
          </w:p>
        </w:tc>
        <w:tc>
          <w:tcPr>
            <w:tcW w:w="11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重点流域污染整治</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榕江、练江流域（普宁段）水环境整治</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4000</w:t>
            </w:r>
          </w:p>
        </w:tc>
        <w:tc>
          <w:tcPr>
            <w:tcW w:w="56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围绕国家、省和市明确的水污染防治目标，紧扣《广东省2019年水污染防治攻坚战工作方案》《揭阳市贯彻落实省污染防治攻坚战指挥部2020年第1号令暨决战决胜污染防治攻坚的实施方案》确定的重点攻坚国、省考断面的达标攻坚，用于2020年水污染防治中央项目储备库入库项目，支持榕江、练江流域环境基础设施建设、农村污水处理设施建设、环境监管能力建设等重点流域水污染防治，大力推动榕江北河龙石国考断面及练江揭汕交界青洋山桥断面水质消除劣V类。</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指导性任务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财政补助</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不超过项目投资总额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2020年底前开工</w:t>
            </w:r>
          </w:p>
        </w:tc>
      </w:tr>
    </w:tbl>
    <w:p>
      <w:pPr>
        <w:pStyle w:val="2"/>
        <w:rPr>
          <w:rFonts w:hint="eastAsia" w:ascii="文鼎小标宋简" w:hAnsi="文鼎小标宋简" w:eastAsia="文鼎小标宋简" w:cs="文鼎小标宋简"/>
          <w:i w:val="0"/>
          <w:color w:val="000000"/>
          <w:kern w:val="0"/>
          <w:sz w:val="28"/>
          <w:szCs w:val="28"/>
          <w:u w:val="none"/>
          <w:lang w:val="en-US" w:eastAsia="zh-CN" w:bidi="ar"/>
        </w:rPr>
      </w:pPr>
    </w:p>
    <w:p>
      <w:pPr>
        <w:pStyle w:val="2"/>
        <w:rPr>
          <w:rFonts w:hint="eastAsia" w:ascii="文鼎小标宋简" w:hAnsi="文鼎小标宋简" w:eastAsia="文鼎小标宋简" w:cs="文鼎小标宋简"/>
          <w:i w:val="0"/>
          <w:color w:val="000000"/>
          <w:kern w:val="0"/>
          <w:sz w:val="28"/>
          <w:szCs w:val="28"/>
          <w:u w:val="none"/>
          <w:lang w:val="en-US" w:eastAsia="zh-CN" w:bidi="ar"/>
        </w:rPr>
      </w:pPr>
    </w:p>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文鼎小标宋简">
    <w:panose1 w:val="02010609010101010101"/>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文鼎小标宋简">
    <w:panose1 w:val="02010609010101010101"/>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文鼎CS大宋">
    <w:panose1 w:val="02010609010101010101"/>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Microsoft YaHei UI">
    <w:altName w:val="宋体"/>
    <w:panose1 w:val="020B0503020204020204"/>
    <w:charset w:val="86"/>
    <w:family w:val="swiss"/>
    <w:pitch w:val="default"/>
    <w:sig w:usb0="00000000" w:usb1="00000000" w:usb2="00000016" w:usb3="00000000" w:csb0="0004001F" w:csb1="00000000"/>
  </w:font>
  <w:font w:name="方正姚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2000019F" w:csb1="00000000"/>
  </w:font>
  <w:font w:name="Cambria Math">
    <w:panose1 w:val="02040503050406030204"/>
    <w:charset w:val="00"/>
    <w:family w:val="roman"/>
    <w:pitch w:val="default"/>
    <w:sig w:usb0="E00002FF" w:usb1="420024FF" w:usb2="00000000" w:usb3="00000000" w:csb0="2000019F" w:csb1="00000000"/>
  </w:font>
  <w:font w:name="Menlo">
    <w:altName w:val="仿宋_GB2312"/>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85296"/>
    <w:rsid w:val="074274F9"/>
    <w:rsid w:val="08533246"/>
    <w:rsid w:val="0B563720"/>
    <w:rsid w:val="110E5C89"/>
    <w:rsid w:val="14026437"/>
    <w:rsid w:val="14BC7FA4"/>
    <w:rsid w:val="15E064B0"/>
    <w:rsid w:val="16DE3D1C"/>
    <w:rsid w:val="174C4BF6"/>
    <w:rsid w:val="18224FE1"/>
    <w:rsid w:val="19FC7846"/>
    <w:rsid w:val="1D060692"/>
    <w:rsid w:val="1FF44442"/>
    <w:rsid w:val="28EB29D4"/>
    <w:rsid w:val="30092C73"/>
    <w:rsid w:val="30156EF0"/>
    <w:rsid w:val="36A66E3D"/>
    <w:rsid w:val="3857794D"/>
    <w:rsid w:val="3E3C16DD"/>
    <w:rsid w:val="424C21F3"/>
    <w:rsid w:val="452D3AA9"/>
    <w:rsid w:val="4AC310E5"/>
    <w:rsid w:val="4AE278A8"/>
    <w:rsid w:val="4B0F71C4"/>
    <w:rsid w:val="4ED847C7"/>
    <w:rsid w:val="51025C8A"/>
    <w:rsid w:val="52754DD3"/>
    <w:rsid w:val="53C82B62"/>
    <w:rsid w:val="55BA6025"/>
    <w:rsid w:val="560B61E6"/>
    <w:rsid w:val="57DC3FC5"/>
    <w:rsid w:val="58CC41AB"/>
    <w:rsid w:val="5B701922"/>
    <w:rsid w:val="5CCA638C"/>
    <w:rsid w:val="5EF70AB1"/>
    <w:rsid w:val="67861E35"/>
    <w:rsid w:val="67FC726F"/>
    <w:rsid w:val="69C05070"/>
    <w:rsid w:val="6AFC6BB7"/>
    <w:rsid w:val="6EB16792"/>
    <w:rsid w:val="6F101018"/>
    <w:rsid w:val="7218728F"/>
    <w:rsid w:val="728A7298"/>
    <w:rsid w:val="7A4043C0"/>
    <w:rsid w:val="7B3C0C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Times New Roman"/>
      <w:sz w:val="30"/>
      <w:szCs w:val="22"/>
    </w:rPr>
  </w:style>
  <w:style w:type="character" w:styleId="4">
    <w:name w:val="Strong"/>
    <w:basedOn w:val="3"/>
    <w:qFormat/>
    <w:uiPriority w:val="0"/>
    <w:rPr>
      <w:b/>
    </w:rPr>
  </w:style>
  <w:style w:type="character" w:styleId="5">
    <w:name w:val="FollowedHyperlink"/>
    <w:basedOn w:val="3"/>
    <w:qFormat/>
    <w:uiPriority w:val="0"/>
    <w:rPr>
      <w:color w:val="383838"/>
      <w:u w:val="none"/>
    </w:rPr>
  </w:style>
  <w:style w:type="character" w:styleId="6">
    <w:name w:val="Hyperlink"/>
    <w:basedOn w:val="3"/>
    <w:qFormat/>
    <w:uiPriority w:val="0"/>
    <w:rPr>
      <w:color w:val="383838"/>
      <w:u w:val="none"/>
    </w:rPr>
  </w:style>
  <w:style w:type="character" w:customStyle="1" w:styleId="8">
    <w:name w:val="font31"/>
    <w:basedOn w:val="3"/>
    <w:qFormat/>
    <w:uiPriority w:val="0"/>
    <w:rPr>
      <w:rFonts w:hint="eastAsia" w:ascii="宋体" w:hAnsi="宋体" w:eastAsia="宋体" w:cs="宋体"/>
      <w:b/>
      <w:color w:val="000000"/>
      <w:sz w:val="22"/>
      <w:szCs w:val="22"/>
      <w:u w:val="none"/>
    </w:rPr>
  </w:style>
  <w:style w:type="character" w:customStyle="1" w:styleId="9">
    <w:name w:val="font21"/>
    <w:basedOn w:val="3"/>
    <w:qFormat/>
    <w:uiPriority w:val="0"/>
    <w:rPr>
      <w:rFonts w:hint="eastAsia" w:ascii="宋体" w:hAnsi="宋体" w:eastAsia="宋体" w:cs="宋体"/>
      <w:color w:val="000000"/>
      <w:sz w:val="18"/>
      <w:szCs w:val="18"/>
      <w:u w:val="none"/>
    </w:rPr>
  </w:style>
  <w:style w:type="character" w:customStyle="1" w:styleId="10">
    <w:name w:val="font1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黄伟杰</cp:lastModifiedBy>
  <cp:lastPrinted>2020-10-15T03:24:32Z</cp:lastPrinted>
  <dcterms:modified xsi:type="dcterms:W3CDTF">2020-10-15T03:24:58Z</dcterms:modified>
  <dc:title>2018年中央财政土壤污染防治专项资金安排计划</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