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heme="minorEastAsia" w:hAnsiTheme="minorEastAsia" w:eastAsiaTheme="minorEastAsia"/>
          <w:b/>
          <w:sz w:val="30"/>
          <w:szCs w:val="30"/>
        </w:rPr>
      </w:pPr>
      <w:bookmarkStart w:id="0" w:name="OLE_LINK22"/>
      <w:r>
        <w:rPr>
          <w:rFonts w:hint="eastAsia" w:asciiTheme="minorEastAsia" w:hAnsiTheme="minorEastAsia" w:eastAsiaTheme="minorEastAsia"/>
          <w:b/>
          <w:sz w:val="30"/>
          <w:szCs w:val="30"/>
        </w:rPr>
        <w:t>《揭阳市危险化学品禁止、限制和控制目录（试行版）》</w:t>
      </w:r>
      <w:bookmarkStart w:id="1" w:name="_GoBack"/>
      <w:bookmarkEnd w:id="1"/>
      <w:r>
        <w:rPr>
          <w:rFonts w:hint="eastAsia" w:asciiTheme="minorEastAsia" w:hAnsiTheme="minorEastAsia" w:eastAsiaTheme="minorEastAsia"/>
          <w:b/>
          <w:sz w:val="30"/>
          <w:szCs w:val="30"/>
        </w:rPr>
        <w:t>意见修改说明表</w:t>
      </w:r>
    </w:p>
    <w:bookmarkEnd w:id="0"/>
    <w:tbl>
      <w:tblPr>
        <w:tblStyle w:val="5"/>
        <w:tblW w:w="1449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846"/>
        <w:gridCol w:w="2122"/>
        <w:gridCol w:w="3735"/>
        <w:gridCol w:w="19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12"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序号</w:t>
            </w:r>
          </w:p>
        </w:tc>
        <w:tc>
          <w:tcPr>
            <w:tcW w:w="5846" w:type="dxa"/>
            <w:tcBorders>
              <w:top w:val="single" w:color="auto" w:sz="12" w:space="0"/>
              <w:left w:val="single" w:color="auto" w:sz="4" w:space="0"/>
              <w:bottom w:val="single" w:color="auto" w:sz="4" w:space="0"/>
              <w:right w:val="single" w:color="auto" w:sz="4" w:space="0"/>
            </w:tcBorders>
            <w:vAlign w:val="center"/>
          </w:tcPr>
          <w:p>
            <w:pPr>
              <w:adjustRightInd w:val="0"/>
              <w:jc w:val="center"/>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专家意见</w:t>
            </w:r>
          </w:p>
        </w:tc>
        <w:tc>
          <w:tcPr>
            <w:tcW w:w="2122" w:type="dxa"/>
            <w:tcBorders>
              <w:top w:val="single" w:color="auto" w:sz="12" w:space="0"/>
              <w:left w:val="single" w:color="auto" w:sz="4" w:space="0"/>
              <w:bottom w:val="single" w:color="auto" w:sz="4" w:space="0"/>
              <w:right w:val="single" w:color="auto" w:sz="4" w:space="0"/>
            </w:tcBorders>
            <w:vAlign w:val="center"/>
          </w:tcPr>
          <w:p>
            <w:pPr>
              <w:adjustRightInd w:val="0"/>
              <w:jc w:val="center"/>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是否</w:t>
            </w:r>
          </w:p>
          <w:p>
            <w:pPr>
              <w:adjustRightInd w:val="0"/>
              <w:jc w:val="center"/>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修改</w:t>
            </w:r>
          </w:p>
        </w:tc>
        <w:tc>
          <w:tcPr>
            <w:tcW w:w="3735" w:type="dxa"/>
            <w:tcBorders>
              <w:top w:val="single" w:color="auto" w:sz="12" w:space="0"/>
              <w:left w:val="single" w:color="auto" w:sz="4" w:space="0"/>
              <w:bottom w:val="single" w:color="auto" w:sz="4" w:space="0"/>
              <w:right w:val="single" w:color="auto" w:sz="4" w:space="0"/>
            </w:tcBorders>
            <w:vAlign w:val="center"/>
          </w:tcPr>
          <w:p>
            <w:pPr>
              <w:adjustRightInd w:val="0"/>
              <w:jc w:val="center"/>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修改结果或未采纳原因</w:t>
            </w:r>
          </w:p>
        </w:tc>
        <w:tc>
          <w:tcPr>
            <w:tcW w:w="1970" w:type="dxa"/>
            <w:tcBorders>
              <w:top w:val="single" w:color="auto" w:sz="12" w:space="0"/>
              <w:left w:val="single" w:color="auto" w:sz="4" w:space="0"/>
              <w:bottom w:val="single" w:color="auto" w:sz="4" w:space="0"/>
              <w:right w:val="single" w:color="auto" w:sz="12" w:space="0"/>
            </w:tcBorders>
            <w:vAlign w:val="center"/>
          </w:tcPr>
          <w:p>
            <w:pPr>
              <w:adjustRightInd w:val="0"/>
              <w:ind w:firstLine="0"/>
              <w:rPr>
                <w:rFonts w:asciiTheme="minorEastAsia" w:hAnsiTheme="minorEastAsia" w:eastAsiaTheme="minorEastAsia"/>
                <w:b/>
                <w:bCs/>
                <w:snapToGrid w:val="0"/>
                <w:color w:val="000000"/>
                <w:szCs w:val="21"/>
              </w:rPr>
            </w:pPr>
            <w:r>
              <w:rPr>
                <w:rFonts w:hint="eastAsia" w:asciiTheme="minorEastAsia" w:hAnsiTheme="minorEastAsia" w:eastAsiaTheme="minorEastAsia"/>
                <w:b/>
                <w:bCs/>
                <w:snapToGrid w:val="0"/>
                <w:color w:val="000000"/>
                <w:szCs w:val="21"/>
              </w:rPr>
              <w:t>修改内容参见页码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一</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专家组</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rPr>
                <w:rFonts w:ascii="宋体" w:hAnsi="宋体" w:cs="宋体"/>
                <w:sz w:val="24"/>
              </w:rPr>
            </w:pP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ind w:firstLine="0"/>
              <w:rPr>
                <w:rFonts w:ascii="宋体" w:hAnsi="宋体" w:cs="宋体"/>
                <w:sz w:val="24"/>
              </w:rPr>
            </w:pPr>
            <w:r>
              <w:rPr>
                <w:rFonts w:hint="eastAsia" w:ascii="宋体" w:hAnsi="宋体" w:cs="宋体"/>
                <w:sz w:val="24"/>
              </w:rPr>
              <w:t>补充编制依据、编制说明</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已补充编制说明，编制说明里面有编制依据</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明确适用范围</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已增加，适用于除港口码头区域以外的揭阳市行政区域</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3</w:t>
            </w:r>
          </w:p>
        </w:tc>
        <w:tc>
          <w:tcPr>
            <w:tcW w:w="5846" w:type="dxa"/>
            <w:tcBorders>
              <w:top w:val="single" w:color="auto" w:sz="4" w:space="0"/>
              <w:left w:val="single" w:color="auto" w:sz="4" w:space="0"/>
              <w:bottom w:val="single" w:color="auto" w:sz="4" w:space="0"/>
              <w:right w:val="single" w:color="auto" w:sz="4" w:space="0"/>
            </w:tcBorders>
            <w:vAlign w:val="center"/>
          </w:tcPr>
          <w:p>
            <w:pPr>
              <w:ind w:firstLine="0"/>
              <w:rPr>
                <w:rFonts w:ascii="宋体" w:hAnsi="宋体" w:cs="宋体"/>
                <w:sz w:val="24"/>
              </w:rPr>
            </w:pPr>
            <w:r>
              <w:rPr>
                <w:rFonts w:hint="eastAsia" w:ascii="宋体" w:hAnsi="宋体" w:cs="宋体"/>
                <w:sz w:val="24"/>
              </w:rPr>
              <w:t>与会单位及专家提出的其他意见</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见各单位及专家意见</w:t>
            </w:r>
          </w:p>
        </w:tc>
        <w:tc>
          <w:tcPr>
            <w:tcW w:w="1970" w:type="dxa"/>
            <w:tcBorders>
              <w:top w:val="single" w:color="auto" w:sz="4" w:space="0"/>
              <w:left w:val="single" w:color="auto" w:sz="4" w:space="0"/>
              <w:bottom w:val="single" w:color="auto" w:sz="4" w:space="0"/>
              <w:right w:val="single" w:color="auto" w:sz="12" w:space="0"/>
            </w:tcBorders>
            <w:vAlign w:val="center"/>
          </w:tcPr>
          <w:p>
            <w:pPr>
              <w:spacing w:line="360" w:lineRule="auto"/>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二</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黄元</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jc w:val="cente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snapToGrid w:val="0"/>
                <w:color w:val="000000"/>
                <w:szCs w:val="21"/>
              </w:rPr>
            </w:pPr>
            <w:r>
              <w:rPr>
                <w:rFonts w:hint="eastAsia" w:asciiTheme="minorEastAsia" w:hAnsiTheme="minorEastAsia" w:eastAsiaTheme="minorEastAsia"/>
                <w:snapToGrid w:val="0"/>
                <w:color w:val="000000"/>
                <w:szCs w:val="21"/>
              </w:rPr>
              <w:t>1</w:t>
            </w:r>
          </w:p>
        </w:tc>
        <w:tc>
          <w:tcPr>
            <w:tcW w:w="5846" w:type="dxa"/>
            <w:tcBorders>
              <w:top w:val="single" w:color="auto" w:sz="4" w:space="0"/>
              <w:left w:val="single" w:color="auto" w:sz="4" w:space="0"/>
              <w:bottom w:val="single" w:color="auto" w:sz="4" w:space="0"/>
              <w:right w:val="single" w:color="auto" w:sz="4" w:space="0"/>
            </w:tcBorders>
            <w:vAlign w:val="center"/>
          </w:tcPr>
          <w:p>
            <w:pPr>
              <w:spacing w:line="312" w:lineRule="auto"/>
              <w:ind w:firstLine="0"/>
              <w:rPr>
                <w:rFonts w:ascii="宋体" w:hAnsi="宋体" w:cs="宋体"/>
                <w:sz w:val="24"/>
              </w:rPr>
            </w:pPr>
            <w:r>
              <w:rPr>
                <w:rFonts w:hint="eastAsia" w:ascii="宋体" w:hAnsi="宋体" w:cs="宋体"/>
                <w:sz w:val="24"/>
              </w:rPr>
              <w:t>补充主要编制的依据。</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已纳入编制说明</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Theme="minorEastAsia" w:hAnsiTheme="minorEastAsia" w:eastAsiaTheme="minorEastAsia"/>
                <w:snapToGrid w:val="0"/>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snapToGrid w:val="0"/>
                <w:color w:val="000000"/>
                <w:szCs w:val="21"/>
              </w:rPr>
            </w:pPr>
            <w:r>
              <w:rPr>
                <w:rFonts w:hint="eastAsia" w:asciiTheme="minorEastAsia" w:hAnsiTheme="minorEastAsia" w:eastAsiaTheme="minorEastAsia"/>
                <w:snapToGrid w:val="0"/>
                <w:color w:val="000000"/>
                <w:szCs w:val="21"/>
              </w:rPr>
              <w:t>2</w:t>
            </w:r>
          </w:p>
        </w:tc>
        <w:tc>
          <w:tcPr>
            <w:tcW w:w="5846" w:type="dxa"/>
            <w:tcBorders>
              <w:top w:val="single" w:color="auto" w:sz="4" w:space="0"/>
              <w:left w:val="single" w:color="auto" w:sz="4" w:space="0"/>
              <w:bottom w:val="single" w:color="auto" w:sz="4" w:space="0"/>
              <w:right w:val="single" w:color="auto" w:sz="4" w:space="0"/>
            </w:tcBorders>
            <w:vAlign w:val="center"/>
          </w:tcPr>
          <w:p>
            <w:pPr>
              <w:spacing w:line="312" w:lineRule="auto"/>
              <w:ind w:firstLine="0"/>
              <w:rPr>
                <w:rFonts w:ascii="宋体" w:hAnsi="宋体" w:cs="宋体"/>
                <w:sz w:val="24"/>
              </w:rPr>
            </w:pPr>
            <w:r>
              <w:rPr>
                <w:rFonts w:hint="eastAsia" w:ascii="宋体" w:hAnsi="宋体" w:cs="宋体"/>
                <w:sz w:val="24"/>
              </w:rPr>
              <w:t>补充适用的范围，有效的时间。</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jc w:val="left"/>
              <w:rPr>
                <w:rFonts w:ascii="宋体" w:hAnsi="宋体" w:cs="宋体"/>
                <w:sz w:val="24"/>
              </w:rPr>
            </w:pPr>
            <w:r>
              <w:rPr>
                <w:rFonts w:hint="eastAsia" w:ascii="宋体" w:hAnsi="宋体" w:cs="宋体"/>
                <w:sz w:val="24"/>
              </w:rPr>
              <w:t>已增加，适用于除港口码头区域以外的揭阳市行政区域；试用期1年</w:t>
            </w:r>
          </w:p>
        </w:tc>
        <w:tc>
          <w:tcPr>
            <w:tcW w:w="1970" w:type="dxa"/>
            <w:tcBorders>
              <w:top w:val="single" w:color="auto" w:sz="4" w:space="0"/>
              <w:left w:val="single" w:color="auto" w:sz="4" w:space="0"/>
              <w:bottom w:val="single" w:color="auto" w:sz="4" w:space="0"/>
              <w:right w:val="single" w:color="auto" w:sz="12" w:space="0"/>
            </w:tcBorders>
            <w:vAlign w:val="center"/>
          </w:tcPr>
          <w:p>
            <w:pPr>
              <w:ind w:firstLine="0"/>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snapToGrid w:val="0"/>
                <w:color w:val="000000"/>
                <w:szCs w:val="21"/>
              </w:rPr>
            </w:pPr>
            <w:r>
              <w:rPr>
                <w:rFonts w:hint="eastAsia" w:asciiTheme="minorEastAsia" w:hAnsiTheme="minorEastAsia" w:eastAsiaTheme="minorEastAsia"/>
                <w:snapToGrid w:val="0"/>
                <w:color w:val="000000"/>
                <w:szCs w:val="21"/>
              </w:rPr>
              <w:t>3</w:t>
            </w:r>
          </w:p>
        </w:tc>
        <w:tc>
          <w:tcPr>
            <w:tcW w:w="5846" w:type="dxa"/>
            <w:tcBorders>
              <w:top w:val="single" w:color="auto" w:sz="4" w:space="0"/>
              <w:left w:val="single" w:color="auto" w:sz="4" w:space="0"/>
              <w:bottom w:val="single" w:color="auto" w:sz="4" w:space="0"/>
              <w:right w:val="single" w:color="auto" w:sz="4" w:space="0"/>
            </w:tcBorders>
            <w:vAlign w:val="center"/>
          </w:tcPr>
          <w:p>
            <w:pPr>
              <w:spacing w:line="312" w:lineRule="auto"/>
              <w:ind w:firstLine="0"/>
              <w:rPr>
                <w:rFonts w:ascii="宋体" w:hAnsi="宋体" w:cs="宋体"/>
                <w:sz w:val="24"/>
              </w:rPr>
            </w:pPr>
            <w:r>
              <w:rPr>
                <w:rFonts w:hint="eastAsia" w:ascii="宋体" w:hAnsi="宋体" w:cs="宋体"/>
                <w:sz w:val="24"/>
              </w:rPr>
              <w:t>工业气体如氧、氮、氩、氨等危险化学品除外。建议将氨去掉，换成二氧化碳。氨是中心城区限制和控制部分。</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部分</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已增加二氧化碳。限制和控制部分为正面清单形式，部分冷库使用氨制冷。</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snapToGrid w:val="0"/>
                <w:color w:val="000000"/>
                <w:szCs w:val="21"/>
              </w:rPr>
            </w:pPr>
            <w:r>
              <w:rPr>
                <w:rFonts w:hint="eastAsia" w:asciiTheme="minorEastAsia" w:hAnsiTheme="minorEastAsia" w:eastAsiaTheme="minorEastAsia"/>
                <w:snapToGrid w:val="0"/>
                <w:color w:val="000000"/>
                <w:szCs w:val="21"/>
              </w:rPr>
              <w:t>4</w:t>
            </w:r>
          </w:p>
        </w:tc>
        <w:tc>
          <w:tcPr>
            <w:tcW w:w="5846" w:type="dxa"/>
            <w:tcBorders>
              <w:top w:val="single" w:color="auto" w:sz="4" w:space="0"/>
              <w:left w:val="single" w:color="auto" w:sz="4" w:space="0"/>
              <w:bottom w:val="single" w:color="auto" w:sz="4" w:space="0"/>
              <w:right w:val="single" w:color="auto" w:sz="4" w:space="0"/>
            </w:tcBorders>
            <w:vAlign w:val="center"/>
          </w:tcPr>
          <w:p>
            <w:pPr>
              <w:spacing w:line="312" w:lineRule="auto"/>
              <w:ind w:firstLine="0"/>
              <w:rPr>
                <w:rFonts w:ascii="宋体" w:hAnsi="宋体" w:cs="宋体"/>
                <w:sz w:val="24"/>
              </w:rPr>
            </w:pPr>
            <w:r>
              <w:rPr>
                <w:rFonts w:hint="eastAsia" w:ascii="宋体" w:hAnsi="宋体" w:cs="宋体"/>
                <w:sz w:val="24"/>
              </w:rPr>
              <w:t xml:space="preserve">化学试剂总质量不能超过2吨。2吨的依据来自何处，此量过大。 </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spacing w:line="500" w:lineRule="exact"/>
              <w:ind w:firstLine="0"/>
              <w:rPr>
                <w:rFonts w:ascii="宋体" w:hAnsi="宋体" w:cs="宋体"/>
                <w:sz w:val="24"/>
              </w:rPr>
            </w:pPr>
            <w:r>
              <w:rPr>
                <w:rFonts w:hint="eastAsia" w:ascii="宋体" w:hAnsi="宋体" w:cs="宋体"/>
                <w:sz w:val="24"/>
              </w:rPr>
              <w:t>删除单一品种存放量不能超过200千克，总质量不能超过2吨。增加：气体不大于50升气瓶</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Theme="minorEastAsia" w:hAnsiTheme="minorEastAsia" w:eastAsiaTheme="minorEastAsia"/>
                <w:snapToGrid w:val="0"/>
                <w:color w:val="000000"/>
                <w:szCs w:val="21"/>
              </w:rPr>
            </w:pPr>
            <w:r>
              <w:rPr>
                <w:rFonts w:hint="eastAsia" w:asciiTheme="minorEastAsia" w:hAnsiTheme="minorEastAsia" w:eastAsiaTheme="minorEastAsia"/>
                <w:snapToGrid w:val="0"/>
                <w:color w:val="000000"/>
                <w:szCs w:val="21"/>
              </w:rPr>
              <w:t>5</w:t>
            </w:r>
          </w:p>
        </w:tc>
        <w:tc>
          <w:tcPr>
            <w:tcW w:w="5846" w:type="dxa"/>
            <w:tcBorders>
              <w:top w:val="single" w:color="auto" w:sz="4" w:space="0"/>
              <w:left w:val="single" w:color="auto" w:sz="4" w:space="0"/>
              <w:bottom w:val="single" w:color="auto" w:sz="4" w:space="0"/>
              <w:right w:val="single" w:color="auto" w:sz="4" w:space="0"/>
            </w:tcBorders>
            <w:vAlign w:val="center"/>
          </w:tcPr>
          <w:p>
            <w:pPr>
              <w:spacing w:line="312" w:lineRule="auto"/>
              <w:ind w:firstLine="0"/>
              <w:rPr>
                <w:rFonts w:ascii="宋体" w:hAnsi="宋体" w:cs="宋体"/>
                <w:sz w:val="24"/>
              </w:rPr>
            </w:pPr>
            <w:r>
              <w:rPr>
                <w:rFonts w:hint="eastAsia" w:ascii="宋体" w:hAnsi="宋体" w:cs="宋体"/>
                <w:sz w:val="24"/>
              </w:rPr>
              <w:t>建议作一个说明，禁止目录将国际公约、国内法规要求禁止、严格限制中的农药部分全部列入禁止生产目录；将国际公约、国内法规要求禁止、严格限制中氰化合物、汞、铅、砷、铬、镉化合物中的剧毒化学品全部列入禁止生产目录；将《广东省危险化学品安全监管“十三五”规划》中要求的“光气”列入禁止生产目录；将《各类监控化学品名录》（工业和信息化部52号令）中哪一类的危险化学品列入禁止生产目录；将《易制爆化学品名录》中哪类化学品列入禁止生产目录；将《产业结构调整指导目录（2019年本）》（《市场准入负面清单草案（试点版）》）中 “淘汰类”、“落后产品”中的部分危险化学品列入禁止生产目录。这样条理性强。限制和控制目录也是类似。</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rPr>
                <w:rFonts w:ascii="宋体" w:hAnsi="宋体" w:cs="宋体"/>
                <w:sz w:val="24"/>
              </w:rPr>
            </w:pPr>
            <w:r>
              <w:rPr>
                <w:rFonts w:hint="eastAsia" w:ascii="宋体" w:hAnsi="宋体" w:cs="宋体"/>
                <w:sz w:val="24"/>
              </w:rPr>
              <w:t>已增加编制说明</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spacing w:line="360" w:lineRule="auto"/>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三</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马小明</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rPr>
                <w:rFonts w:ascii="宋体" w:hAnsi="宋体" w:cs="宋体"/>
                <w:sz w:val="24"/>
              </w:rPr>
            </w:pP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ind w:firstLine="0"/>
              <w:rPr>
                <w:rFonts w:ascii="宋体" w:hAnsi="宋体" w:cs="宋体"/>
                <w:sz w:val="24"/>
              </w:rPr>
            </w:pPr>
            <w:r>
              <w:rPr>
                <w:rFonts w:hint="eastAsia" w:ascii="宋体" w:hAnsi="宋体" w:cs="宋体"/>
                <w:sz w:val="24"/>
              </w:rPr>
              <w:t>禁止限制控制危险化学品名称应尽量考虑行业发展过程中上下游产品的衔接关系</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已征求中石化广东公司意见</w:t>
            </w:r>
          </w:p>
        </w:tc>
        <w:tc>
          <w:tcPr>
            <w:tcW w:w="1970" w:type="dxa"/>
            <w:tcBorders>
              <w:top w:val="single" w:color="auto" w:sz="4" w:space="0"/>
              <w:left w:val="single" w:color="auto" w:sz="4" w:space="0"/>
              <w:bottom w:val="single" w:color="auto" w:sz="4" w:space="0"/>
              <w:right w:val="single" w:color="auto" w:sz="12" w:space="0"/>
            </w:tcBorders>
            <w:vAlign w:val="center"/>
          </w:tcPr>
          <w:p>
            <w:pPr>
              <w:pStyle w:val="2"/>
              <w:shd w:val="clear" w:color="auto" w:fill="FFFFFF"/>
              <w:spacing w:before="250" w:beforeAutospacing="0"/>
              <w:rPr>
                <w:rFonts w:ascii="宋体" w:hAnsi="宋体" w:eastAsia="仿宋_GB2312" w:cs="宋体"/>
                <w:color w:val="auto"/>
                <w:sz w:val="24"/>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在非中心城区限控方面，建议预留产品上下游扩展的空间，如汽油、氢、石脑油、LPG</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否</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非中心城区限控（揭阳大南海工业园）里面所列是正面清单，是允许生产、储存、使用、经营的。汽油、氢、石脑油、石油气等已列入揭阳大南海工业园限制和控制部分。</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3</w:t>
            </w:r>
          </w:p>
        </w:tc>
        <w:tc>
          <w:tcPr>
            <w:tcW w:w="5846" w:type="dxa"/>
            <w:tcBorders>
              <w:top w:val="single" w:color="auto" w:sz="4" w:space="0"/>
              <w:left w:val="single" w:color="auto" w:sz="4" w:space="0"/>
              <w:bottom w:val="single" w:color="auto" w:sz="4" w:space="0"/>
              <w:right w:val="single" w:color="auto" w:sz="4" w:space="0"/>
            </w:tcBorders>
            <w:vAlign w:val="center"/>
          </w:tcPr>
          <w:p>
            <w:pPr>
              <w:ind w:firstLine="0"/>
              <w:rPr>
                <w:rFonts w:ascii="宋体" w:hAnsi="宋体" w:cs="宋体"/>
                <w:sz w:val="24"/>
              </w:rPr>
            </w:pPr>
            <w:r>
              <w:rPr>
                <w:rFonts w:hint="eastAsia" w:ascii="宋体" w:hAnsi="宋体" w:cs="宋体"/>
                <w:sz w:val="24"/>
              </w:rPr>
              <w:t>明确中心城区与非中心城区的范围</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已明确，非中心城区指揭阳大南海工业园，中心城区指除揭阳大南海工业园之外的其他区域。</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四</w:t>
            </w:r>
          </w:p>
        </w:tc>
        <w:tc>
          <w:tcPr>
            <w:tcW w:w="13673" w:type="dxa"/>
            <w:gridSpan w:val="4"/>
            <w:tcBorders>
              <w:top w:val="single" w:color="auto" w:sz="4" w:space="0"/>
              <w:left w:val="single" w:color="auto" w:sz="4" w:space="0"/>
              <w:bottom w:val="single" w:color="auto" w:sz="4" w:space="0"/>
              <w:right w:val="single" w:color="auto" w:sz="12" w:space="0"/>
            </w:tcBorders>
            <w:vAlign w:val="center"/>
          </w:tcPr>
          <w:p>
            <w:pPr>
              <w:adjustRightInd w:val="0"/>
              <w:ind w:firstLine="0"/>
              <w:jc w:val="left"/>
              <w:rPr>
                <w:rFonts w:ascii="宋体" w:hAnsi="宋体" w:cs="宋体"/>
                <w:sz w:val="24"/>
              </w:rPr>
            </w:pPr>
            <w:r>
              <w:rPr>
                <w:rFonts w:hint="eastAsia" w:ascii="宋体" w:hAnsi="宋体" w:cs="宋体"/>
                <w:sz w:val="24"/>
              </w:rPr>
              <w:t>黄沿波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ind w:firstLine="0"/>
              <w:rPr>
                <w:rFonts w:ascii="宋体" w:hAnsi="宋体" w:cs="宋体"/>
                <w:sz w:val="24"/>
              </w:rPr>
            </w:pPr>
            <w:r>
              <w:rPr>
                <w:rFonts w:hint="eastAsia" w:ascii="宋体" w:hAnsi="宋体" w:cs="宋体"/>
                <w:sz w:val="24"/>
              </w:rPr>
              <w:t>完善禁止限制控制目录的介绍说明、试用期、控制版本或批次</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已增加《目录》的编制说明，明确试用期为1年，版本为试用版</w:t>
            </w:r>
          </w:p>
        </w:tc>
        <w:tc>
          <w:tcPr>
            <w:tcW w:w="1970" w:type="dxa"/>
            <w:tcBorders>
              <w:top w:val="single" w:color="auto" w:sz="4" w:space="0"/>
              <w:left w:val="single" w:color="auto" w:sz="4" w:space="0"/>
              <w:bottom w:val="single" w:color="auto" w:sz="4" w:space="0"/>
              <w:right w:val="single" w:color="auto" w:sz="12" w:space="0"/>
            </w:tcBorders>
            <w:vAlign w:val="center"/>
          </w:tcPr>
          <w:p>
            <w:pPr>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建议在正式发布实施前向社会发布征求意见稿，并根据相关企业、单位的意见进行完善</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拟再次向社会征求意见</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五</w:t>
            </w:r>
          </w:p>
        </w:tc>
        <w:tc>
          <w:tcPr>
            <w:tcW w:w="13673" w:type="dxa"/>
            <w:gridSpan w:val="4"/>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r>
              <w:rPr>
                <w:rFonts w:hint="eastAsia" w:ascii="宋体" w:hAnsi="宋体" w:cs="宋体"/>
                <w:sz w:val="24"/>
              </w:rPr>
              <w:t>陈丽芬</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P4,1.8运输环节管理，建议补充危险化学品运输车辆不得进入本市禁止运行区域；</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已增加</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r>
              <w:rPr>
                <w:rFonts w:hint="eastAsia" w:ascii="宋体" w:hAnsi="宋体" w:cs="宋体"/>
                <w:sz w:val="24"/>
              </w:rPr>
              <w:t>第1.8节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补充对工业园管理、加强化工园区安全风险管控，每三年开展一次区域定量风险评估；</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rPr>
                <w:rFonts w:ascii="宋体" w:hAnsi="宋体" w:cs="宋体"/>
                <w:sz w:val="24"/>
              </w:rPr>
            </w:pPr>
            <w:r>
              <w:rPr>
                <w:rFonts w:hint="eastAsia" w:ascii="宋体" w:hAnsi="宋体" w:cs="宋体"/>
                <w:sz w:val="24"/>
              </w:rPr>
              <w:t>已补充</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r>
              <w:rPr>
                <w:rFonts w:hint="eastAsia" w:ascii="宋体" w:hAnsi="宋体" w:cs="宋体"/>
                <w:sz w:val="24"/>
              </w:rPr>
              <w:t>见1.11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3</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建议补充本目录的有效期</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rPr>
                <w:rFonts w:ascii="宋体" w:hAnsi="宋体" w:cs="宋体"/>
                <w:sz w:val="24"/>
              </w:rPr>
            </w:pPr>
            <w:r>
              <w:rPr>
                <w:rFonts w:hint="eastAsia" w:ascii="宋体" w:hAnsi="宋体" w:cs="宋体"/>
                <w:sz w:val="24"/>
              </w:rPr>
              <w:t>已补充，试用期1年</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六</w:t>
            </w:r>
          </w:p>
        </w:tc>
        <w:tc>
          <w:tcPr>
            <w:tcW w:w="13673" w:type="dxa"/>
            <w:gridSpan w:val="4"/>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r>
              <w:rPr>
                <w:rFonts w:hint="eastAsia" w:ascii="宋体" w:hAnsi="宋体" w:cs="宋体"/>
                <w:sz w:val="24"/>
              </w:rPr>
              <w:t>刘保卫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应增加编排目录</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否</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广州、深圳、佛山、上海等均没有目录，均为分开编排</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运用范围应明确</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适用于除港口码头区域以外的揭阳市行政区域</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3</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增加编制依据</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增加的编制说明里面有编制依据</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4</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建议增加术语、定义</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增加在正文第4部分，比如</w:t>
            </w:r>
            <w:r>
              <w:rPr>
                <w:rFonts w:ascii="宋体" w:hAnsi="宋体" w:cs="宋体"/>
                <w:sz w:val="24"/>
              </w:rPr>
              <w:t>“两重点一重大</w:t>
            </w:r>
            <w:r>
              <w:rPr>
                <w:rFonts w:hint="eastAsia" w:ascii="宋体" w:hAnsi="宋体" w:cs="宋体"/>
                <w:sz w:val="24"/>
              </w:rPr>
              <w:t>”、危险化学品重大危险源</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ind w:firstLine="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4490" w:type="dxa"/>
            <w:gridSpan w:val="5"/>
            <w:tcBorders>
              <w:top w:val="single" w:color="auto" w:sz="4" w:space="0"/>
              <w:left w:val="single" w:color="auto" w:sz="12" w:space="0"/>
              <w:bottom w:val="single" w:color="auto" w:sz="4" w:space="0"/>
              <w:right w:val="single" w:color="auto" w:sz="12" w:space="0"/>
            </w:tcBorders>
            <w:vAlign w:val="center"/>
          </w:tcPr>
          <w:p>
            <w:pPr>
              <w:adjustRightInd w:val="0"/>
              <w:jc w:val="center"/>
              <w:rPr>
                <w:rFonts w:ascii="宋体" w:hAnsi="宋体" w:cs="宋体"/>
                <w:sz w:val="24"/>
              </w:rPr>
            </w:pPr>
            <w:r>
              <w:rPr>
                <w:rFonts w:hint="eastAsia" w:ascii="宋体" w:hAnsi="宋体" w:cs="宋体"/>
                <w:sz w:val="24"/>
              </w:rPr>
              <w:t>榕城区应急管理局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P6页，“3限制和控制部分”，3.1《目录》中</w:t>
            </w:r>
            <w:r>
              <w:rPr>
                <w:rFonts w:ascii="宋体" w:hAnsi="宋体" w:cs="宋体"/>
                <w:sz w:val="24"/>
              </w:rPr>
              <w:t>……</w:t>
            </w:r>
            <w:r>
              <w:rPr>
                <w:rFonts w:hint="eastAsia" w:ascii="宋体" w:hAnsi="宋体" w:cs="宋体"/>
                <w:sz w:val="24"/>
              </w:rPr>
              <w:t>储存，建议加上“经营”</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rPr>
                <w:rFonts w:ascii="宋体" w:hAnsi="宋体" w:cs="宋体"/>
                <w:sz w:val="24"/>
              </w:rPr>
            </w:pPr>
            <w:r>
              <w:rPr>
                <w:rFonts w:hint="eastAsia" w:ascii="宋体" w:hAnsi="宋体" w:cs="宋体"/>
                <w:sz w:val="24"/>
              </w:rPr>
              <w:t>已修改为“中心城区限制和控制部分”所列危险化学品，在中心城区区域只允许使用（含使用配套的储存）、运输、经营（不含仓储）。（现有的生产、储存企业或装置除外）；</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4490" w:type="dxa"/>
            <w:gridSpan w:val="5"/>
            <w:tcBorders>
              <w:top w:val="single" w:color="auto" w:sz="4" w:space="0"/>
              <w:left w:val="single" w:color="auto" w:sz="12" w:space="0"/>
              <w:bottom w:val="single" w:color="auto" w:sz="4" w:space="0"/>
              <w:right w:val="single" w:color="auto" w:sz="12" w:space="0"/>
            </w:tcBorders>
            <w:vAlign w:val="center"/>
          </w:tcPr>
          <w:p>
            <w:pPr>
              <w:adjustRightInd w:val="0"/>
              <w:jc w:val="center"/>
              <w:rPr>
                <w:rFonts w:ascii="宋体" w:hAnsi="宋体" w:cs="宋体"/>
                <w:sz w:val="24"/>
              </w:rPr>
            </w:pPr>
            <w:r>
              <w:rPr>
                <w:rFonts w:hint="eastAsia" w:ascii="宋体" w:hAnsi="宋体" w:cs="宋体"/>
                <w:sz w:val="24"/>
              </w:rPr>
              <w:t>揭东区应急管理局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P6,3.1《目录》中“中心城区限制和控制部分”所列危险化学品，在中心城区区域只允许生产、使用、运输、储存；可以生产、使用、运输、储存，为什么不允许经营。这涉及行政审批的，请明确。</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已修改为“中心城区限制和控制部分”所列危险化学品，在中心城区区域只允许使用（含使用配套的储存）、运输、经营（不含仓储）。（现有的生产、储存企业或装置除外）；</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4490" w:type="dxa"/>
            <w:gridSpan w:val="5"/>
            <w:tcBorders>
              <w:top w:val="single" w:color="auto" w:sz="4" w:space="0"/>
              <w:left w:val="single" w:color="auto" w:sz="12" w:space="0"/>
              <w:bottom w:val="single" w:color="auto" w:sz="4" w:space="0"/>
              <w:right w:val="single" w:color="auto" w:sz="12" w:space="0"/>
            </w:tcBorders>
            <w:vAlign w:val="center"/>
          </w:tcPr>
          <w:p>
            <w:pPr>
              <w:adjustRightInd w:val="0"/>
              <w:jc w:val="center"/>
              <w:rPr>
                <w:rFonts w:ascii="宋体" w:hAnsi="宋体" w:cs="宋体"/>
                <w:sz w:val="24"/>
              </w:rPr>
            </w:pPr>
            <w:r>
              <w:rPr>
                <w:rFonts w:hint="eastAsia" w:ascii="宋体" w:hAnsi="宋体" w:cs="宋体"/>
                <w:sz w:val="24"/>
              </w:rPr>
              <w:t>揭阳大南海石化工业区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中石化炼油一体化项目是大南海石化工业园的龙头产业，而中石油广东石化公司又是项目投资主体，是否需要征求中石油广东石化公司的意见建议，来完善化工行业安全发展规划和禁限控危险化学品目录</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中石油广东石化公司对《目录》反馈意见“使用禁止部分的2-仲丁基-4,6-二硝基酚”，已将其从“禁止部分”调整至“非中心城区限制和控制”。</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2019年，根据揭府纪要[2019]49号精神，大南海石化工业区已将社会管理职能移交给惠来县，相应的属地规划和职能范围也发生改变，请编制单位与市及区管委会相关职能部门对接，保证信息的有效性和对称性，以便精确地制定规划及目录</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已对接</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4490" w:type="dxa"/>
            <w:gridSpan w:val="5"/>
            <w:tcBorders>
              <w:top w:val="single" w:color="auto" w:sz="4" w:space="0"/>
              <w:left w:val="single" w:color="auto" w:sz="12" w:space="0"/>
              <w:bottom w:val="single" w:color="auto" w:sz="4" w:space="0"/>
              <w:right w:val="single" w:color="auto" w:sz="12" w:space="0"/>
            </w:tcBorders>
            <w:vAlign w:val="center"/>
          </w:tcPr>
          <w:p>
            <w:pPr>
              <w:adjustRightInd w:val="0"/>
              <w:jc w:val="center"/>
              <w:rPr>
                <w:rFonts w:ascii="宋体" w:hAnsi="宋体" w:cs="宋体"/>
                <w:sz w:val="24"/>
              </w:rPr>
            </w:pPr>
            <w:r>
              <w:rPr>
                <w:rFonts w:hint="eastAsia" w:ascii="宋体" w:hAnsi="宋体" w:cs="宋体"/>
                <w:sz w:val="24"/>
              </w:rPr>
              <w:t>广东石化公司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17" w:type="dxa"/>
            <w:tcBorders>
              <w:top w:val="single" w:color="auto" w:sz="4" w:space="0"/>
              <w:left w:val="single" w:color="auto" w:sz="12"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1</w:t>
            </w:r>
          </w:p>
        </w:tc>
        <w:tc>
          <w:tcPr>
            <w:tcW w:w="5846"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根据《揭阳市禁止、限制和控制危险化学品目录（试行）（征求意见稿）》涉及的危险化学品管理要求，我公司重点针对附件1全市禁止部分中230项危险化学品组织核对排查，具体情况如下：</w:t>
            </w:r>
          </w:p>
          <w:p>
            <w:pPr>
              <w:adjustRightInd w:val="0"/>
              <w:ind w:firstLine="0"/>
              <w:rPr>
                <w:rFonts w:ascii="宋体" w:hAnsi="宋体" w:cs="宋体"/>
                <w:sz w:val="24"/>
              </w:rPr>
            </w:pPr>
            <w:r>
              <w:rPr>
                <w:rFonts w:hint="eastAsia" w:ascii="宋体" w:hAnsi="宋体" w:cs="宋体"/>
                <w:sz w:val="24"/>
              </w:rPr>
              <w:t>1．广东石化公司化工生产一部苯乙烯装置使用“全市禁止部分第230项”2-仲丁基-4,6-二硝基酚（别名二硝基仲丁基苯酚；4,6-二硝基-2-仲丁基苯酚；地乐酚；英文缩写DNBP）作为苯乙烯生产过程阻聚剂，主要加入到脱氢液中送到苯乙烯精馏塔，防止苯乙烯生产过程由于高温造成的聚合。每年用量工艺包要求不少于220吨。</w:t>
            </w:r>
          </w:p>
          <w:p>
            <w:pPr>
              <w:adjustRightInd w:val="0"/>
              <w:ind w:firstLine="0"/>
              <w:rPr>
                <w:rFonts w:ascii="宋体" w:hAnsi="宋体" w:cs="宋体"/>
                <w:sz w:val="24"/>
              </w:rPr>
            </w:pPr>
            <w:r>
              <w:rPr>
                <w:rFonts w:hint="eastAsia" w:ascii="宋体" w:hAnsi="宋体" w:cs="宋体"/>
                <w:sz w:val="24"/>
              </w:rPr>
              <w:t>建议将DNBP从“全市禁止”改为“非中心城区限制和控制”。</w:t>
            </w:r>
          </w:p>
        </w:tc>
        <w:tc>
          <w:tcPr>
            <w:tcW w:w="2122"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宋体" w:hAnsi="宋体" w:cs="宋体"/>
                <w:sz w:val="24"/>
              </w:rPr>
            </w:pPr>
            <w:r>
              <w:rPr>
                <w:rFonts w:hint="eastAsia" w:ascii="宋体" w:hAnsi="宋体" w:cs="宋体"/>
                <w:sz w:val="24"/>
              </w:rPr>
              <w:t>是</w:t>
            </w:r>
          </w:p>
        </w:tc>
        <w:tc>
          <w:tcPr>
            <w:tcW w:w="3735" w:type="dxa"/>
            <w:tcBorders>
              <w:top w:val="single" w:color="auto" w:sz="4" w:space="0"/>
              <w:left w:val="single" w:color="auto" w:sz="4" w:space="0"/>
              <w:bottom w:val="single" w:color="auto" w:sz="4" w:space="0"/>
              <w:right w:val="single" w:color="auto" w:sz="4" w:space="0"/>
            </w:tcBorders>
            <w:vAlign w:val="center"/>
          </w:tcPr>
          <w:p>
            <w:pPr>
              <w:adjustRightInd w:val="0"/>
              <w:ind w:firstLine="0"/>
              <w:rPr>
                <w:rFonts w:ascii="宋体" w:hAnsi="宋体" w:cs="宋体"/>
                <w:sz w:val="24"/>
              </w:rPr>
            </w:pPr>
            <w:r>
              <w:rPr>
                <w:rFonts w:hint="eastAsia" w:ascii="宋体" w:hAnsi="宋体" w:cs="宋体"/>
                <w:sz w:val="24"/>
              </w:rPr>
              <w:t>已将DNBP从禁止部分删除，加入非中心城区限制和控制中序号1025</w:t>
            </w:r>
          </w:p>
        </w:tc>
        <w:tc>
          <w:tcPr>
            <w:tcW w:w="1970" w:type="dxa"/>
            <w:tcBorders>
              <w:top w:val="single" w:color="auto" w:sz="4" w:space="0"/>
              <w:left w:val="single" w:color="auto" w:sz="4" w:space="0"/>
              <w:bottom w:val="single" w:color="auto" w:sz="4" w:space="0"/>
              <w:right w:val="single" w:color="auto" w:sz="12" w:space="0"/>
            </w:tcBorders>
            <w:vAlign w:val="center"/>
          </w:tcPr>
          <w:p>
            <w:pPr>
              <w:adjustRightInd w:val="0"/>
              <w:rPr>
                <w:rFonts w:ascii="宋体" w:hAnsi="宋体" w:cs="宋体"/>
                <w:sz w:val="24"/>
              </w:rPr>
            </w:pPr>
          </w:p>
        </w:tc>
      </w:tr>
    </w:tbl>
    <w:p>
      <w:pPr>
        <w:rPr>
          <w:rFonts w:ascii="宋体" w:hAnsi="宋体" w:cs="宋体"/>
          <w:sz w:val="24"/>
        </w:rPr>
      </w:pPr>
    </w:p>
    <w:p>
      <w:pPr>
        <w:spacing w:line="360" w:lineRule="auto"/>
        <w:ind w:firstLine="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12DC"/>
    <w:rsid w:val="0001060E"/>
    <w:rsid w:val="00090D68"/>
    <w:rsid w:val="000B073C"/>
    <w:rsid w:val="000E3F34"/>
    <w:rsid w:val="001465D2"/>
    <w:rsid w:val="001E5ABC"/>
    <w:rsid w:val="00265CA4"/>
    <w:rsid w:val="002820DB"/>
    <w:rsid w:val="002A0D72"/>
    <w:rsid w:val="002B4989"/>
    <w:rsid w:val="00315A65"/>
    <w:rsid w:val="004625CF"/>
    <w:rsid w:val="00483A9E"/>
    <w:rsid w:val="004932E3"/>
    <w:rsid w:val="006100CE"/>
    <w:rsid w:val="00665AEF"/>
    <w:rsid w:val="007357DE"/>
    <w:rsid w:val="00747B00"/>
    <w:rsid w:val="008107F8"/>
    <w:rsid w:val="00862235"/>
    <w:rsid w:val="00874129"/>
    <w:rsid w:val="008B2654"/>
    <w:rsid w:val="009216CB"/>
    <w:rsid w:val="009E213A"/>
    <w:rsid w:val="00A32F94"/>
    <w:rsid w:val="00A47C6D"/>
    <w:rsid w:val="00A60D4E"/>
    <w:rsid w:val="00A90D13"/>
    <w:rsid w:val="00AD521B"/>
    <w:rsid w:val="00B65472"/>
    <w:rsid w:val="00BA59F9"/>
    <w:rsid w:val="00BC006A"/>
    <w:rsid w:val="00BE21A3"/>
    <w:rsid w:val="00C54ED2"/>
    <w:rsid w:val="00C668DB"/>
    <w:rsid w:val="00C75033"/>
    <w:rsid w:val="00CB6B42"/>
    <w:rsid w:val="00CE74A7"/>
    <w:rsid w:val="00D061DD"/>
    <w:rsid w:val="00D23857"/>
    <w:rsid w:val="00D65FA4"/>
    <w:rsid w:val="00D93C1E"/>
    <w:rsid w:val="00DB0048"/>
    <w:rsid w:val="00EA12DC"/>
    <w:rsid w:val="00EC18E3"/>
    <w:rsid w:val="00F60945"/>
    <w:rsid w:val="00F9646C"/>
    <w:rsid w:val="00FB0AF9"/>
    <w:rsid w:val="00FC075C"/>
    <w:rsid w:val="00FC5262"/>
    <w:rsid w:val="48A36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snapToGrid w:val="0"/>
      <w:spacing w:line="480" w:lineRule="exact"/>
      <w:ind w:firstLine="567"/>
      <w:jc w:val="both"/>
    </w:pPr>
    <w:rPr>
      <w:rFonts w:ascii="Arial" w:hAnsi="Arial" w:eastAsia="仿宋_GB2312" w:cs="Times New Roman"/>
      <w:kern w:val="2"/>
      <w:sz w:val="28"/>
      <w:szCs w:val="20"/>
      <w:lang w:val="en-US" w:eastAsia="zh-CN" w:bidi="ar-SA"/>
    </w:rPr>
  </w:style>
  <w:style w:type="paragraph" w:styleId="2">
    <w:name w:val="heading 1"/>
    <w:basedOn w:val="1"/>
    <w:next w:val="1"/>
    <w:link w:val="9"/>
    <w:qFormat/>
    <w:uiPriority w:val="0"/>
    <w:pPr>
      <w:keepNext/>
      <w:overflowPunct/>
      <w:snapToGrid/>
      <w:spacing w:before="100" w:beforeAutospacing="1" w:line="440" w:lineRule="exact"/>
      <w:ind w:firstLine="0"/>
      <w:jc w:val="center"/>
      <w:outlineLvl w:val="0"/>
    </w:pPr>
    <w:rPr>
      <w:rFonts w:ascii="Times New Roman" w:hAnsi="Times New Roman" w:eastAsia="黑体"/>
      <w:color w:val="000000" w:themeColor="text1"/>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uiPriority w:val="99"/>
    <w:pPr>
      <w:tabs>
        <w:tab w:val="center" w:pos="4153"/>
        <w:tab w:val="right" w:pos="8306"/>
      </w:tabs>
      <w:overflowPunct/>
      <w:spacing w:line="240" w:lineRule="auto"/>
      <w:ind w:firstLine="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overflowPunct/>
      <w:spacing w:line="240" w:lineRule="auto"/>
      <w:ind w:firstLine="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1 Char"/>
    <w:basedOn w:val="6"/>
    <w:link w:val="2"/>
    <w:qFormat/>
    <w:uiPriority w:val="0"/>
    <w:rPr>
      <w:rFonts w:ascii="Times New Roman" w:hAnsi="Times New Roman" w:eastAsia="黑体" w:cs="Times New Roman"/>
      <w:color w:val="000000" w:themeColor="text1"/>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355</Words>
  <Characters>2028</Characters>
  <Lines>16</Lines>
  <Paragraphs>4</Paragraphs>
  <TotalTime>4484</TotalTime>
  <ScaleCrop>false</ScaleCrop>
  <LinksUpToDate>false</LinksUpToDate>
  <CharactersWithSpaces>2379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2020-07-24T07:20:00Z</dcterms:created>
  <dc:creator>张文勋zwx</dc:creator>
  <cp:lastModifiedBy>Jp1367221339</cp:lastModifiedBy>
  <dcterms:modified xsi:type="dcterms:W3CDTF">2020-08-18T01:57:35Z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