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Times New Roman" w:hAnsi="Times New Roman"/>
          <w:b/>
          <w:caps w:val="0"/>
          <w:sz w:val="52"/>
          <w:szCs w:val="32"/>
          <w:lang w:val="en-US" w:eastAsia="zh-CN"/>
        </w:rPr>
      </w:pPr>
      <w:bookmarkStart w:id="0" w:name="_Toc496692913"/>
      <w:bookmarkStart w:id="1" w:name="_Toc496692912"/>
      <w:bookmarkStart w:id="2" w:name="_Toc515973115"/>
      <w:bookmarkStart w:id="3" w:name="_Toc528830407"/>
      <w:bookmarkStart w:id="4" w:name="_Toc357078795"/>
      <w:bookmarkStart w:id="5" w:name="_Toc506218853"/>
    </w:p>
    <w:p>
      <w:pPr>
        <w:ind w:firstLine="0" w:firstLineChars="0"/>
        <w:jc w:val="center"/>
        <w:rPr>
          <w:rFonts w:hint="eastAsia" w:ascii="Times New Roman" w:hAnsi="Times New Roman"/>
          <w:b/>
          <w:caps w:val="0"/>
          <w:sz w:val="52"/>
          <w:szCs w:val="32"/>
          <w:lang w:val="en-US" w:eastAsia="zh-CN"/>
        </w:rPr>
      </w:pPr>
    </w:p>
    <w:p>
      <w:pPr>
        <w:ind w:firstLine="0" w:firstLineChars="0"/>
        <w:jc w:val="center"/>
        <w:rPr>
          <w:rFonts w:hint="eastAsia" w:ascii="Times New Roman" w:hAnsi="Times New Roman"/>
          <w:b/>
          <w:caps w:val="0"/>
          <w:sz w:val="44"/>
          <w:szCs w:val="44"/>
          <w:lang w:val="en-US" w:eastAsia="zh-CN"/>
        </w:rPr>
      </w:pPr>
    </w:p>
    <w:p>
      <w:pPr>
        <w:ind w:firstLine="0" w:firstLineChars="0"/>
        <w:jc w:val="center"/>
        <w:rPr>
          <w:rFonts w:ascii="Times New Roman" w:hAnsi="Times New Roman"/>
          <w:b/>
          <w:caps w:val="0"/>
          <w:sz w:val="44"/>
          <w:szCs w:val="44"/>
        </w:rPr>
      </w:pPr>
      <w:r>
        <w:rPr>
          <w:rFonts w:hint="eastAsia" w:ascii="Times New Roman" w:hAnsi="Times New Roman"/>
          <w:b/>
          <w:caps w:val="0"/>
          <w:sz w:val="44"/>
          <w:szCs w:val="44"/>
          <w:lang w:val="en-US" w:eastAsia="zh-CN"/>
        </w:rPr>
        <w:t>揭阳</w:t>
      </w:r>
      <w:r>
        <w:rPr>
          <w:rFonts w:hint="eastAsia" w:ascii="Times New Roman" w:hAnsi="Times New Roman"/>
          <w:b/>
          <w:caps w:val="0"/>
          <w:sz w:val="44"/>
          <w:szCs w:val="44"/>
        </w:rPr>
        <w:t>市部分乡镇</w:t>
      </w:r>
      <w:r>
        <w:rPr>
          <w:rFonts w:hint="eastAsia" w:ascii="Times New Roman" w:hAnsi="Times New Roman"/>
          <w:b/>
          <w:caps w:val="0"/>
          <w:sz w:val="44"/>
          <w:szCs w:val="44"/>
          <w:lang w:val="en-US" w:eastAsia="zh-CN"/>
        </w:rPr>
        <w:t>及以下集中式</w:t>
      </w:r>
      <w:r>
        <w:rPr>
          <w:rFonts w:hint="eastAsia" w:ascii="Times New Roman" w:hAnsi="Times New Roman"/>
          <w:b/>
          <w:caps w:val="0"/>
          <w:spacing w:val="3"/>
          <w:w w:val="93"/>
          <w:sz w:val="44"/>
          <w:szCs w:val="44"/>
        </w:rPr>
        <w:t>饮用水水源</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b/>
          <w:caps w:val="0"/>
          <w:sz w:val="44"/>
          <w:szCs w:val="44"/>
        </w:rPr>
      </w:pPr>
      <w:r>
        <w:rPr>
          <w:rFonts w:ascii="Times New Roman" w:hAnsi="Times New Roman"/>
          <w:b/>
          <w:caps w:val="0"/>
          <w:sz w:val="44"/>
          <w:szCs w:val="44"/>
        </w:rPr>
        <w:t xml:space="preserve">                   </w:t>
      </w:r>
      <w:r>
        <w:rPr>
          <w:rFonts w:hint="eastAsia" w:ascii="Times New Roman" w:hAnsi="Times New Roman"/>
          <w:b/>
          <w:caps w:val="0"/>
          <w:sz w:val="44"/>
          <w:szCs w:val="44"/>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b/>
          <w:caps w:val="0"/>
          <w:sz w:val="44"/>
          <w:szCs w:val="44"/>
        </w:rPr>
      </w:pPr>
      <w:r>
        <w:rPr>
          <w:rFonts w:hint="eastAsia" w:ascii="Times New Roman" w:hAnsi="Times New Roman"/>
          <w:b/>
          <w:caps w:val="0"/>
          <w:sz w:val="44"/>
          <w:szCs w:val="44"/>
        </w:rPr>
        <w:t xml:space="preserve"> </w:t>
      </w:r>
      <w:bookmarkStart w:id="6" w:name="_Hlk26794110"/>
      <w:r>
        <w:rPr>
          <w:rFonts w:hint="eastAsia" w:ascii="Times New Roman" w:hAnsi="Times New Roman"/>
          <w:b/>
          <w:caps w:val="0"/>
          <w:sz w:val="44"/>
          <w:szCs w:val="44"/>
        </w:rPr>
        <w:t>保护区划定可行性研究</w:t>
      </w:r>
      <w:bookmarkEnd w:id="6"/>
      <w:r>
        <w:rPr>
          <w:rFonts w:hint="eastAsia" w:ascii="Times New Roman" w:hAnsi="Times New Roman"/>
          <w:b/>
          <w:caps w:val="0"/>
          <w:sz w:val="44"/>
          <w:szCs w:val="44"/>
        </w:rPr>
        <w:t>报告</w:t>
      </w:r>
    </w:p>
    <w:p>
      <w:pPr>
        <w:ind w:firstLine="0" w:firstLineChars="0"/>
        <w:jc w:val="center"/>
        <w:rPr>
          <w:rFonts w:hint="eastAsia" w:ascii="Times New Roman" w:hAnsi="Times New Roman"/>
          <w:b/>
          <w:caps w:val="0"/>
          <w:sz w:val="44"/>
          <w:szCs w:val="44"/>
        </w:rPr>
      </w:pPr>
      <w:r>
        <w:rPr>
          <w:rFonts w:ascii="Times New Roman" w:hAnsi="Times New Roman"/>
          <w:caps w:val="0"/>
          <w:sz w:val="44"/>
          <w:szCs w:val="44"/>
        </w:rPr>
        <w:t xml:space="preserve">        </w:t>
      </w:r>
      <w:r>
        <w:rPr>
          <w:rFonts w:hint="eastAsia" w:ascii="Times New Roman" w:hAnsi="Times New Roman"/>
          <w:b/>
          <w:caps w:val="0"/>
          <w:sz w:val="44"/>
          <w:szCs w:val="44"/>
        </w:rPr>
        <w:t xml:space="preserve">                    </w:t>
      </w:r>
    </w:p>
    <w:p>
      <w:pPr>
        <w:ind w:firstLine="0" w:firstLineChars="0"/>
        <w:jc w:val="center"/>
        <w:rPr>
          <w:rFonts w:hint="eastAsia" w:ascii="Times New Roman" w:hAnsi="Times New Roman"/>
          <w:b/>
          <w:caps w:val="0"/>
          <w:sz w:val="44"/>
          <w:szCs w:val="44"/>
        </w:rPr>
      </w:pPr>
      <w:r>
        <w:rPr>
          <w:rFonts w:hint="eastAsia" w:ascii="Times New Roman" w:hAnsi="Times New Roman"/>
          <w:b/>
          <w:caps w:val="0"/>
          <w:sz w:val="44"/>
          <w:szCs w:val="44"/>
          <w:lang w:eastAsia="zh-CN"/>
        </w:rPr>
        <w:t>（</w:t>
      </w:r>
      <w:r>
        <w:rPr>
          <w:rFonts w:hint="eastAsia" w:ascii="Times New Roman" w:hAnsi="Times New Roman"/>
          <w:b/>
          <w:caps w:val="0"/>
          <w:sz w:val="44"/>
          <w:szCs w:val="44"/>
          <w:lang w:val="en-US" w:eastAsia="zh-CN"/>
        </w:rPr>
        <w:t>简本</w:t>
      </w:r>
      <w:r>
        <w:rPr>
          <w:rFonts w:hint="eastAsia" w:ascii="Times New Roman" w:hAnsi="Times New Roman"/>
          <w:b/>
          <w:caps w:val="0"/>
          <w:sz w:val="44"/>
          <w:szCs w:val="44"/>
          <w:lang w:eastAsia="zh-CN"/>
        </w:rPr>
        <w:t>）</w:t>
      </w:r>
    </w:p>
    <w:p>
      <w:pPr>
        <w:tabs>
          <w:tab w:val="left" w:pos="16401"/>
          <w:tab w:val="left" w:pos="16614"/>
        </w:tabs>
        <w:ind w:left="0" w:leftChars="0" w:firstLine="0" w:firstLineChars="0"/>
        <w:jc w:val="left"/>
        <w:rPr>
          <w:rFonts w:ascii="Times New Roman" w:hAnsi="Times New Roman"/>
          <w:caps w:val="0"/>
          <w:sz w:val="44"/>
          <w:szCs w:val="44"/>
        </w:rPr>
      </w:pPr>
    </w:p>
    <w:p>
      <w:pPr>
        <w:tabs>
          <w:tab w:val="left" w:pos="16401"/>
          <w:tab w:val="left" w:pos="16614"/>
        </w:tabs>
        <w:ind w:left="0" w:leftChars="0" w:firstLine="0" w:firstLineChars="0"/>
        <w:jc w:val="left"/>
        <w:rPr>
          <w:rFonts w:ascii="Times New Roman" w:hAnsi="Times New Roman"/>
          <w:caps w:val="0"/>
          <w:sz w:val="44"/>
          <w:szCs w:val="44"/>
        </w:rPr>
      </w:pPr>
    </w:p>
    <w:p>
      <w:pPr>
        <w:pStyle w:val="2"/>
      </w:pPr>
    </w:p>
    <w:p>
      <w:pPr>
        <w:tabs>
          <w:tab w:val="left" w:pos="16401"/>
          <w:tab w:val="left" w:pos="16614"/>
        </w:tabs>
        <w:jc w:val="left"/>
        <w:rPr>
          <w:rFonts w:hint="eastAsia" w:ascii="Times New Roman" w:hAnsi="Times New Roman" w:eastAsia="宋体"/>
          <w:b/>
          <w:caps w:val="0"/>
          <w:sz w:val="36"/>
          <w:szCs w:val="36"/>
          <w:lang w:val="en-US" w:eastAsia="zh-CN"/>
        </w:rPr>
      </w:pPr>
      <w:r>
        <w:rPr>
          <w:rFonts w:ascii="Times New Roman" w:hAnsi="Times New Roman"/>
          <w:caps w:val="0"/>
          <w:sz w:val="44"/>
          <w:szCs w:val="44"/>
        </w:rPr>
        <w:t xml:space="preserve">               </w:t>
      </w:r>
      <w:r>
        <w:rPr>
          <w:rFonts w:ascii="Times New Roman" w:hAnsi="Times New Roman" w:eastAsia="宋体"/>
          <w:b/>
          <w:sz w:val="56"/>
          <w:szCs w:val="44"/>
        </w:rPr>
        <w:t xml:space="preserve">    </w:t>
      </w:r>
    </w:p>
    <w:p>
      <w:pPr>
        <w:tabs>
          <w:tab w:val="left" w:pos="16401"/>
          <w:tab w:val="left" w:pos="16614"/>
        </w:tabs>
        <w:ind w:left="0" w:leftChars="0" w:firstLine="0" w:firstLineChars="0"/>
        <w:jc w:val="left"/>
        <w:rPr>
          <w:rFonts w:ascii="Times New Roman" w:hAnsi="Times New Roman"/>
          <w:b/>
          <w:caps w:val="0"/>
          <w:sz w:val="36"/>
          <w:szCs w:val="36"/>
        </w:rPr>
      </w:pPr>
      <w:r>
        <w:rPr>
          <w:rFonts w:ascii="Times New Roman" w:hAnsi="Times New Roman"/>
          <w:caps w:val="0"/>
          <w:sz w:val="44"/>
          <w:szCs w:val="44"/>
        </w:rPr>
        <w:t xml:space="preserve">        </w:t>
      </w:r>
      <w:r>
        <w:rPr>
          <w:rFonts w:hint="eastAsia" w:ascii="Times New Roman" w:hAnsi="Times New Roman"/>
          <w:caps w:val="0"/>
          <w:sz w:val="44"/>
          <w:szCs w:val="44"/>
        </w:rPr>
        <w:t xml:space="preserve"> </w:t>
      </w:r>
    </w:p>
    <w:p>
      <w:pPr>
        <w:rPr>
          <w:rFonts w:hint="default"/>
        </w:rPr>
        <w:sectPr>
          <w:footerReference r:id="rId3" w:type="default"/>
          <w:pgSz w:w="11905" w:h="16838"/>
          <w:pgMar w:top="1440" w:right="1800" w:bottom="1440" w:left="1800" w:header="851" w:footer="992" w:gutter="0"/>
          <w:cols w:space="0" w:num="1"/>
          <w:rtlGutter w:val="0"/>
          <w:docGrid w:type="lines" w:linePitch="332" w:charSpace="0"/>
        </w:sectPr>
      </w:pPr>
    </w:p>
    <w:p>
      <w:pPr>
        <w:pStyle w:val="4"/>
        <w:numPr>
          <w:ilvl w:val="1"/>
          <w:numId w:val="0"/>
        </w:numPr>
        <w:bidi w:val="0"/>
        <w:ind w:leftChars="0"/>
        <w:rPr>
          <w:rFonts w:hint="default"/>
        </w:rPr>
      </w:pPr>
      <w:bookmarkStart w:id="7" w:name="_Toc16318"/>
      <w:r>
        <w:rPr>
          <w:rFonts w:hint="default"/>
        </w:rPr>
        <w:t>1.项目由来</w:t>
      </w:r>
      <w:bookmarkEnd w:id="7"/>
    </w:p>
    <w:p>
      <w:pPr>
        <w:ind w:firstLine="480"/>
        <w:rPr>
          <w:rFonts w:hint="default" w:ascii="Times New Roman" w:hAnsi="Times New Roman" w:cs="Times New Roman"/>
          <w:caps w:val="0"/>
          <w:highlight w:val="none"/>
          <w:lang w:val="en-US" w:eastAsia="zh-CN"/>
        </w:rPr>
      </w:pPr>
      <w:r>
        <w:rPr>
          <w:rFonts w:hint="default" w:ascii="Times New Roman" w:hAnsi="Times New Roman" w:cs="Times New Roman"/>
          <w:caps w:val="0"/>
        </w:rPr>
        <w:t>按照《关于推进乡镇及以下集中式饮用水水源地生态环境保护工作的指导意见》（环水体函[2019]92号）、《生态环境部 水利部关于进一步开展饮用水水源地环境保护工作的通知》（环执法[2018]142号）要求，</w:t>
      </w:r>
      <w:r>
        <w:rPr>
          <w:rFonts w:hint="default" w:ascii="Times New Roman" w:hAnsi="Times New Roman" w:cs="Times New Roman"/>
          <w:b/>
          <w:bCs/>
          <w:caps w:val="0"/>
        </w:rPr>
        <w:t>2020年底前需完成供水人口在10000人或日供水1000吨以上的饮用水水源（以下简称“千吨万人”农村水源地）调查评估和保护区划定工作</w:t>
      </w:r>
      <w:r>
        <w:rPr>
          <w:rFonts w:hint="default" w:ascii="Times New Roman" w:hAnsi="Times New Roman" w:cs="Times New Roman"/>
          <w:caps w:val="0"/>
        </w:rPr>
        <w:t>。《广东省生态环境厅 广东省水利厅转发&lt;关于推进乡镇及以下集中式饮用水水源地生态环境保护工作的指导意见&gt;》（粤府函[2019]1111号）要求</w:t>
      </w:r>
      <w:r>
        <w:rPr>
          <w:rFonts w:hint="default" w:ascii="Times New Roman" w:hAnsi="Times New Roman" w:cs="Times New Roman"/>
          <w:b/>
          <w:bCs/>
          <w:caps w:val="0"/>
        </w:rPr>
        <w:t>各地结合实际</w:t>
      </w:r>
      <w:r>
        <w:rPr>
          <w:rFonts w:hint="default" w:ascii="Times New Roman" w:hAnsi="Times New Roman" w:cs="Times New Roman"/>
          <w:caps w:val="0"/>
        </w:rPr>
        <w:t>，</w:t>
      </w:r>
      <w:r>
        <w:rPr>
          <w:rFonts w:hint="default" w:ascii="Times New Roman" w:hAnsi="Times New Roman" w:cs="Times New Roman"/>
          <w:b/>
          <w:bCs/>
          <w:caps w:val="0"/>
        </w:rPr>
        <w:t>以地市为单位确定乡镇及以下集中式饮用水水源保护区划定（调整方案）报省政府批复</w:t>
      </w:r>
      <w:r>
        <w:rPr>
          <w:rFonts w:hint="default" w:ascii="Times New Roman" w:hAnsi="Times New Roman" w:cs="Times New Roman"/>
          <w:caps w:val="0"/>
        </w:rPr>
        <w:t>。</w:t>
      </w:r>
      <w:r>
        <w:rPr>
          <w:rFonts w:hint="default" w:ascii="Times New Roman" w:hAnsi="Times New Roman" w:cs="Times New Roman"/>
          <w:caps w:val="0"/>
          <w:lang w:val="en-US" w:eastAsia="zh-CN"/>
        </w:rPr>
        <w:t>揭阳</w:t>
      </w:r>
      <w:r>
        <w:rPr>
          <w:rFonts w:hint="default" w:ascii="Times New Roman" w:hAnsi="Times New Roman" w:cs="Times New Roman"/>
          <w:caps w:val="0"/>
        </w:rPr>
        <w:t>市</w:t>
      </w:r>
      <w:r>
        <w:rPr>
          <w:rFonts w:hint="default" w:ascii="Times New Roman" w:hAnsi="Times New Roman" w:cs="Times New Roman"/>
          <w:caps w:val="0"/>
          <w:lang w:val="en-US" w:eastAsia="zh-CN"/>
        </w:rPr>
        <w:t>生态环境局</w:t>
      </w:r>
      <w:r>
        <w:rPr>
          <w:rFonts w:hint="default" w:ascii="Times New Roman" w:hAnsi="Times New Roman" w:cs="Times New Roman"/>
          <w:caps w:val="0"/>
        </w:rPr>
        <w:t>严格落实国家及省有关文件要求，组织各区县</w:t>
      </w:r>
      <w:r>
        <w:rPr>
          <w:rFonts w:hint="eastAsia" w:ascii="宋体" w:hAnsi="宋体" w:eastAsia="宋体" w:cs="宋体"/>
          <w:caps w:val="0"/>
        </w:rPr>
        <w:t>在做好“千吨万人”乡镇</w:t>
      </w:r>
      <w:r>
        <w:rPr>
          <w:rFonts w:hint="default" w:ascii="Times New Roman" w:hAnsi="Times New Roman" w:cs="Times New Roman"/>
          <w:caps w:val="0"/>
        </w:rPr>
        <w:t>及以下集中式饮用水水源地基础信息调查和环境状况评估工作的基础上，按</w:t>
      </w:r>
      <w:r>
        <w:rPr>
          <w:rFonts w:hint="eastAsia" w:ascii="宋体" w:hAnsi="宋体" w:eastAsia="宋体" w:cs="宋体"/>
          <w:caps w:val="0"/>
        </w:rPr>
        <w:t>照“应划尽划”的</w:t>
      </w:r>
      <w:r>
        <w:rPr>
          <w:rFonts w:hint="default" w:ascii="Times New Roman" w:hAnsi="Times New Roman" w:cs="Times New Roman"/>
          <w:caps w:val="0"/>
        </w:rPr>
        <w:t>原则，确定了</w:t>
      </w:r>
      <w:r>
        <w:rPr>
          <w:rFonts w:hint="default" w:ascii="Times New Roman" w:hAnsi="Times New Roman" w:cs="Times New Roman"/>
          <w:caps w:val="0"/>
          <w:lang w:val="en-US" w:eastAsia="zh-CN"/>
        </w:rPr>
        <w:t>本次</w:t>
      </w:r>
      <w:r>
        <w:rPr>
          <w:rFonts w:hint="default" w:ascii="Times New Roman" w:hAnsi="Times New Roman" w:cs="Times New Roman"/>
          <w:caps w:val="0"/>
        </w:rPr>
        <w:t>需划定保护</w:t>
      </w:r>
      <w:r>
        <w:rPr>
          <w:rFonts w:hint="default" w:ascii="Times New Roman" w:hAnsi="Times New Roman" w:cs="Times New Roman"/>
          <w:caps w:val="0"/>
          <w:highlight w:val="none"/>
        </w:rPr>
        <w:t>区的</w:t>
      </w:r>
      <w:r>
        <w:rPr>
          <w:rFonts w:hint="eastAsia" w:cs="Times New Roman"/>
          <w:caps w:val="0"/>
          <w:highlight w:val="none"/>
          <w:lang w:val="en-US" w:eastAsia="zh-CN"/>
        </w:rPr>
        <w:t>10</w:t>
      </w:r>
      <w:r>
        <w:rPr>
          <w:rFonts w:hint="default" w:ascii="Times New Roman" w:hAnsi="Times New Roman" w:cs="Times New Roman"/>
          <w:caps w:val="0"/>
          <w:highlight w:val="none"/>
          <w:lang w:val="en-US" w:eastAsia="zh-CN"/>
        </w:rPr>
        <w:t>个乡</w:t>
      </w:r>
      <w:r>
        <w:rPr>
          <w:rFonts w:hint="eastAsia" w:ascii="宋体" w:hAnsi="宋体" w:eastAsia="宋体" w:cs="宋体"/>
          <w:caps w:val="0"/>
          <w:highlight w:val="none"/>
          <w:lang w:val="en-US" w:eastAsia="zh-CN"/>
        </w:rPr>
        <w:t>镇及以下“</w:t>
      </w:r>
      <w:r>
        <w:rPr>
          <w:rFonts w:hint="eastAsia" w:ascii="宋体" w:hAnsi="宋体" w:eastAsia="宋体" w:cs="宋体"/>
          <w:caps w:val="0"/>
          <w:highlight w:val="none"/>
        </w:rPr>
        <w:t>千吨万人</w:t>
      </w:r>
      <w:r>
        <w:rPr>
          <w:rFonts w:hint="eastAsia" w:ascii="宋体" w:hAnsi="宋体" w:eastAsia="宋体" w:cs="宋体"/>
          <w:caps w:val="0"/>
          <w:highlight w:val="none"/>
          <w:lang w:val="en-US" w:eastAsia="zh-CN"/>
        </w:rPr>
        <w:t>”</w:t>
      </w:r>
      <w:r>
        <w:rPr>
          <w:rFonts w:hint="eastAsia" w:ascii="宋体" w:hAnsi="宋体" w:eastAsia="宋体" w:cs="宋体"/>
          <w:caps w:val="0"/>
          <w:highlight w:val="none"/>
        </w:rPr>
        <w:t>水</w:t>
      </w:r>
      <w:r>
        <w:rPr>
          <w:rFonts w:hint="default" w:ascii="Times New Roman" w:hAnsi="Times New Roman" w:cs="Times New Roman"/>
          <w:caps w:val="0"/>
          <w:highlight w:val="none"/>
        </w:rPr>
        <w:t>源地名单</w:t>
      </w:r>
      <w:r>
        <w:rPr>
          <w:rFonts w:hint="default" w:ascii="Times New Roman" w:hAnsi="Times New Roman" w:cs="Times New Roman"/>
          <w:caps w:val="0"/>
          <w:highlight w:val="none"/>
          <w:lang w:eastAsia="zh-CN"/>
        </w:rPr>
        <w:t>，</w:t>
      </w:r>
      <w:r>
        <w:rPr>
          <w:rFonts w:hint="eastAsia" w:cs="Times New Roman"/>
          <w:caps w:val="0"/>
          <w:highlight w:val="none"/>
          <w:lang w:val="en-US" w:eastAsia="zh-CN"/>
        </w:rPr>
        <w:t>分别为</w:t>
      </w:r>
      <w:r>
        <w:rPr>
          <w:rFonts w:hint="eastAsia" w:ascii="宋体" w:hAnsi="宋体" w:cs="宋体"/>
          <w:color w:val="auto"/>
          <w:szCs w:val="21"/>
        </w:rPr>
        <w:t>大湖水库、石水缸（莲叶水库、涂溪）、西坑水库、姑庵水库、洪阳镇地下水、石门坑上水库、大坝仔水库、梅林镇中心溪、耀婆山溪、东龙潭（东麒麟水库、龙潭峰水库）</w:t>
      </w:r>
      <w:r>
        <w:rPr>
          <w:rFonts w:hint="eastAsia" w:ascii="宋体" w:hAnsi="宋体" w:cs="宋体"/>
          <w:color w:val="auto"/>
          <w:szCs w:val="21"/>
          <w:lang w:eastAsia="zh-CN"/>
        </w:rPr>
        <w:t>，</w:t>
      </w:r>
      <w:r>
        <w:rPr>
          <w:rFonts w:hint="default" w:ascii="Times New Roman" w:hAnsi="Times New Roman" w:cs="Times New Roman"/>
          <w:caps w:val="0"/>
          <w:highlight w:val="none"/>
          <w:lang w:val="en-US" w:eastAsia="zh-CN"/>
        </w:rPr>
        <w:t>其中榕城区2个，揭东区2个，普宁市</w:t>
      </w:r>
      <w:r>
        <w:rPr>
          <w:rFonts w:hint="eastAsia" w:cs="Times New Roman"/>
          <w:caps w:val="0"/>
          <w:highlight w:val="none"/>
          <w:lang w:val="en-US" w:eastAsia="zh-CN"/>
        </w:rPr>
        <w:t>6</w:t>
      </w:r>
      <w:r>
        <w:rPr>
          <w:rFonts w:hint="default" w:ascii="Times New Roman" w:hAnsi="Times New Roman" w:cs="Times New Roman"/>
          <w:caps w:val="0"/>
          <w:highlight w:val="none"/>
          <w:lang w:val="en-US" w:eastAsia="zh-CN"/>
        </w:rPr>
        <w:t>个。</w:t>
      </w:r>
    </w:p>
    <w:p>
      <w:pPr>
        <w:pStyle w:val="4"/>
        <w:numPr>
          <w:ilvl w:val="1"/>
          <w:numId w:val="0"/>
        </w:numPr>
        <w:bidi w:val="0"/>
        <w:ind w:leftChars="0"/>
      </w:pPr>
      <w:bookmarkStart w:id="8" w:name="_Toc27482"/>
      <w:bookmarkStart w:id="9" w:name="_Toc516823653"/>
      <w:r>
        <w:rPr>
          <w:rFonts w:hint="default" w:ascii="Times New Roman" w:hAnsi="Times New Roman" w:cs="Times New Roman"/>
          <w:caps w:val="0"/>
        </w:rPr>
        <w:t>2</w:t>
      </w:r>
      <w:bookmarkEnd w:id="0"/>
      <w:bookmarkEnd w:id="1"/>
      <w:bookmarkEnd w:id="2"/>
      <w:bookmarkEnd w:id="3"/>
      <w:bookmarkEnd w:id="4"/>
      <w:bookmarkEnd w:id="5"/>
      <w:bookmarkEnd w:id="8"/>
      <w:bookmarkEnd w:id="9"/>
      <w:bookmarkStart w:id="10" w:name="_Toc29463"/>
      <w:bookmarkStart w:id="11" w:name="_Toc4497"/>
      <w:bookmarkStart w:id="12" w:name="_Toc514357998"/>
      <w:bookmarkStart w:id="13" w:name="_Toc515610738"/>
      <w:r>
        <w:rPr>
          <w:rFonts w:hint="eastAsia"/>
        </w:rPr>
        <w:t>饮用水</w:t>
      </w:r>
      <w:r>
        <w:rPr>
          <w:rFonts w:hint="eastAsia"/>
          <w:lang w:val="en-US" w:eastAsia="zh-CN"/>
        </w:rPr>
        <w:t>水</w:t>
      </w:r>
      <w:r>
        <w:rPr>
          <w:rFonts w:hint="eastAsia"/>
        </w:rPr>
        <w:t>源保护区划定方案</w:t>
      </w:r>
      <w:bookmarkEnd w:id="10"/>
      <w:bookmarkEnd w:id="11"/>
    </w:p>
    <w:p>
      <w:pPr>
        <w:ind w:left="480" w:leftChars="200" w:firstLine="0" w:firstLineChars="0"/>
        <w:rPr>
          <w:szCs w:val="24"/>
        </w:rPr>
      </w:pPr>
      <w:r>
        <w:rPr>
          <w:szCs w:val="24"/>
        </w:rPr>
        <w:t>根据《饮用水源保护区划分技术规范》（HJ338-2018）、《广东省饮用水源</w:t>
      </w:r>
    </w:p>
    <w:p>
      <w:pPr>
        <w:ind w:left="0" w:leftChars="0" w:firstLine="0" w:firstLineChars="0"/>
        <w:rPr>
          <w:bCs/>
        </w:rPr>
      </w:pPr>
      <w:r>
        <w:rPr>
          <w:szCs w:val="24"/>
        </w:rPr>
        <w:t>保护区划分技术指引》（DB44/T749-2010）</w:t>
      </w:r>
      <w:r>
        <w:rPr>
          <w:rFonts w:hint="eastAsia"/>
          <w:szCs w:val="24"/>
        </w:rPr>
        <w:t>、</w:t>
      </w:r>
      <w:r>
        <w:rPr>
          <w:rFonts w:hint="eastAsia"/>
        </w:rPr>
        <w:t>《关于推进乡镇及以下集中式饮用水水源地生态环境保护工作的指导意见》（环水体函[2019]92号）</w:t>
      </w:r>
      <w:r>
        <w:rPr>
          <w:szCs w:val="24"/>
        </w:rPr>
        <w:t>，结合区域供排</w:t>
      </w:r>
      <w:r>
        <w:t>水现状及规划情况、流域内地形情况、</w:t>
      </w:r>
      <w:r>
        <w:rPr>
          <w:rFonts w:hint="eastAsia"/>
        </w:rPr>
        <w:t>永久性的明显标志设置现状（</w:t>
      </w:r>
      <w:r>
        <w:rPr>
          <w:rFonts w:hint="eastAsia"/>
          <w:kern w:val="0"/>
          <w:szCs w:val="24"/>
        </w:rPr>
        <w:t>分水线、水库大坝、河流岔口</w:t>
      </w:r>
      <w:r>
        <w:rPr>
          <w:rFonts w:hint="eastAsia"/>
        </w:rPr>
        <w:t>等）</w:t>
      </w:r>
      <w:r>
        <w:rPr>
          <w:bCs/>
        </w:rPr>
        <w:t>，对</w:t>
      </w:r>
      <w:r>
        <w:rPr>
          <w:rFonts w:hint="eastAsia"/>
          <w:bCs/>
          <w:lang w:val="en-US" w:eastAsia="zh-CN"/>
        </w:rPr>
        <w:t>揭阳</w:t>
      </w:r>
      <w:r>
        <w:rPr>
          <w:bCs/>
        </w:rPr>
        <w:t>市各</w:t>
      </w:r>
      <w:r>
        <w:rPr>
          <w:rFonts w:hint="eastAsia"/>
          <w:bCs/>
        </w:rPr>
        <w:t>乡镇级</w:t>
      </w:r>
      <w:r>
        <w:rPr>
          <w:rFonts w:hint="eastAsia"/>
          <w:bCs/>
          <w:lang w:val="en-US" w:eastAsia="zh-CN"/>
        </w:rPr>
        <w:t>及以下</w:t>
      </w:r>
      <w:r>
        <w:rPr>
          <w:bCs/>
        </w:rPr>
        <w:t>饮用</w:t>
      </w:r>
      <w:r>
        <w:rPr>
          <w:rFonts w:hint="eastAsia"/>
          <w:bCs/>
        </w:rPr>
        <w:t>水</w:t>
      </w:r>
      <w:r>
        <w:rPr>
          <w:bCs/>
        </w:rPr>
        <w:t>水源保护区提出</w:t>
      </w:r>
      <w:r>
        <w:rPr>
          <w:rFonts w:hint="eastAsia"/>
          <w:bCs/>
        </w:rPr>
        <w:t>划定</w:t>
      </w:r>
      <w:r>
        <w:rPr>
          <w:bCs/>
        </w:rPr>
        <w:t>方案。</w:t>
      </w:r>
    </w:p>
    <w:bookmarkEnd w:id="12"/>
    <w:bookmarkEnd w:id="13"/>
    <w:p>
      <w:pPr>
        <w:pStyle w:val="4"/>
        <w:numPr>
          <w:ilvl w:val="1"/>
          <w:numId w:val="0"/>
        </w:numPr>
        <w:bidi w:val="0"/>
        <w:ind w:leftChars="0"/>
      </w:pPr>
      <w:bookmarkStart w:id="14" w:name="_Toc528830430"/>
      <w:bookmarkStart w:id="15" w:name="_Toc28975"/>
      <w:bookmarkStart w:id="16" w:name="_Toc514358010"/>
      <w:bookmarkStart w:id="17" w:name="_Toc515610751"/>
      <w:bookmarkStart w:id="18" w:name="_Toc514358009"/>
      <w:bookmarkStart w:id="19" w:name="_Toc515610747"/>
      <w:r>
        <w:rPr>
          <w:rFonts w:hint="eastAsia"/>
          <w:lang w:val="en-US" w:eastAsia="zh-CN"/>
        </w:rPr>
        <w:t>3划定</w:t>
      </w:r>
      <w:r>
        <w:t>方案的合法性分析</w:t>
      </w:r>
      <w:bookmarkEnd w:id="14"/>
      <w:bookmarkEnd w:id="15"/>
    </w:p>
    <w:p>
      <w:bookmarkStart w:id="20" w:name="_Toc528830431"/>
      <w:r>
        <w:t>现行国家层面《中华人民共和国环境保护法》、《中华人民共和国水法》、《中华人民共和国水污染防治法》、</w:t>
      </w:r>
      <w:bookmarkStart w:id="28" w:name="_GoBack"/>
      <w:bookmarkEnd w:id="28"/>
      <w:r>
        <w:t>《饮用水水源保护区污染防治管理规定》等一系列法律法规，与地方层面的《广东省环境保护条例》</w:t>
      </w:r>
      <w:r>
        <w:rPr>
          <w:rFonts w:hint="eastAsia"/>
        </w:rPr>
        <w:t>（2</w:t>
      </w:r>
      <w:r>
        <w:t>018</w:t>
      </w:r>
      <w:r>
        <w:rPr>
          <w:rFonts w:hint="eastAsia"/>
        </w:rPr>
        <w:t>年修订）</w:t>
      </w:r>
      <w:r>
        <w:t>、《广东省饮用水源水质保护条例》（2018</w:t>
      </w:r>
      <w:r>
        <w:rPr>
          <w:rFonts w:hint="eastAsia"/>
        </w:rPr>
        <w:t>年修订</w:t>
      </w:r>
      <w:r>
        <w:t>）等保护条例均对饮用水水源保护和保护进行了详细的规定，包括了饮用水源保护的各项要求、水质保护规定、应急处理方式等。</w:t>
      </w:r>
      <w:r>
        <w:rPr>
          <w:rFonts w:hint="eastAsia"/>
          <w:lang w:val="en-US" w:eastAsia="zh-CN"/>
        </w:rPr>
        <w:t>综合分析可知，本次</w:t>
      </w:r>
      <w:r>
        <w:rPr>
          <w:highlight w:val="none"/>
        </w:rPr>
        <w:t>饮用水水源保护区</w:t>
      </w:r>
      <w:r>
        <w:rPr>
          <w:rFonts w:hint="eastAsia"/>
          <w:highlight w:val="none"/>
        </w:rPr>
        <w:t>划定</w:t>
      </w:r>
      <w:r>
        <w:rPr>
          <w:rFonts w:hint="eastAsia"/>
          <w:highlight w:val="none"/>
          <w:lang w:val="en-US" w:eastAsia="zh-CN"/>
        </w:rPr>
        <w:t>方案</w:t>
      </w:r>
      <w:r>
        <w:rPr>
          <w:highlight w:val="none"/>
        </w:rPr>
        <w:t>是在遵循国家现行饮用水源保护区相关法律法规的前提下</w:t>
      </w:r>
      <w:r>
        <w:rPr>
          <w:rFonts w:hint="eastAsia"/>
          <w:highlight w:val="none"/>
          <w:lang w:val="en-US" w:eastAsia="zh-CN"/>
        </w:rPr>
        <w:t>提出</w:t>
      </w:r>
      <w:r>
        <w:rPr>
          <w:highlight w:val="none"/>
        </w:rPr>
        <w:t>，</w:t>
      </w:r>
      <w:r>
        <w:rPr>
          <w:rFonts w:hint="eastAsia"/>
          <w:highlight w:val="none"/>
          <w:lang w:val="en-US" w:eastAsia="zh-CN"/>
        </w:rPr>
        <w:t>并</w:t>
      </w:r>
      <w:r>
        <w:rPr>
          <w:highlight w:val="none"/>
        </w:rPr>
        <w:t>按规定程序编制</w:t>
      </w:r>
      <w:r>
        <w:rPr>
          <w:rFonts w:hint="eastAsia"/>
          <w:highlight w:val="none"/>
        </w:rPr>
        <w:t>划定</w:t>
      </w:r>
      <w:r>
        <w:rPr>
          <w:highlight w:val="none"/>
        </w:rPr>
        <w:t>可行性报告</w:t>
      </w:r>
      <w:r>
        <w:rPr>
          <w:rFonts w:hint="eastAsia"/>
          <w:highlight w:val="none"/>
          <w:lang w:eastAsia="zh-CN"/>
        </w:rPr>
        <w:t>；</w:t>
      </w:r>
      <w:r>
        <w:rPr>
          <w:rFonts w:hint="eastAsia"/>
          <w:lang w:val="en-US" w:eastAsia="zh-CN"/>
        </w:rPr>
        <w:t>保护区划定后，将</w:t>
      </w:r>
      <w:r>
        <w:rPr>
          <w:rFonts w:hint="eastAsia"/>
        </w:rPr>
        <w:t>严格按照相关法律法规要求对饮用水源保护区进行规范化建设和监测监控，禁止一切违反法律法规的行为</w:t>
      </w:r>
      <w:r>
        <w:rPr>
          <w:rFonts w:hint="eastAsia"/>
          <w:lang w:eastAsia="zh-CN"/>
        </w:rPr>
        <w:t>；</w:t>
      </w:r>
      <w:r>
        <w:rPr>
          <w:rFonts w:hint="eastAsia"/>
          <w:lang w:val="en-US" w:eastAsia="zh-CN"/>
        </w:rPr>
        <w:t>并</w:t>
      </w:r>
      <w:r>
        <w:t>要求</w:t>
      </w:r>
      <w:r>
        <w:rPr>
          <w:rFonts w:hint="eastAsia"/>
        </w:rPr>
        <w:t>以县级行政区域为基本单元，</w:t>
      </w:r>
      <w:r>
        <w:rPr>
          <w:rFonts w:ascii="Times New Roman" w:hAnsi="Times New Roman"/>
          <w:sz w:val="24"/>
          <w:szCs w:val="24"/>
          <w:highlight w:val="none"/>
        </w:rPr>
        <w:t>进一步完善饮用水源地应急预案和预警机制</w:t>
      </w:r>
      <w:r>
        <w:rPr>
          <w:rFonts w:hint="eastAsia"/>
        </w:rPr>
        <w:t>，确保饮用水水源水质安全</w:t>
      </w:r>
      <w:r>
        <w:rPr>
          <w:rFonts w:hint="eastAsia"/>
          <w:lang w:val="en-US" w:eastAsia="zh-CN"/>
        </w:rPr>
        <w:t>得到有效保障</w:t>
      </w:r>
      <w:r>
        <w:rPr>
          <w:rFonts w:hint="eastAsia"/>
        </w:rPr>
        <w:t>。因此本次划定工作不存在违背以上法律法规的行为，</w:t>
      </w:r>
      <w:r>
        <w:rPr>
          <w:rFonts w:hint="eastAsia"/>
          <w:lang w:val="en-US" w:eastAsia="zh-CN"/>
        </w:rPr>
        <w:t>与</w:t>
      </w:r>
      <w:r>
        <w:t>国家及地方相关法律法规的规定相符。</w:t>
      </w:r>
    </w:p>
    <w:p>
      <w:pPr>
        <w:pStyle w:val="4"/>
        <w:numPr>
          <w:ilvl w:val="1"/>
          <w:numId w:val="0"/>
        </w:numPr>
        <w:bidi w:val="0"/>
        <w:ind w:leftChars="0"/>
      </w:pPr>
      <w:bookmarkStart w:id="21" w:name="_Toc18285"/>
      <w:r>
        <w:rPr>
          <w:rFonts w:hint="eastAsia"/>
          <w:lang w:val="en-US" w:eastAsia="zh-CN"/>
        </w:rPr>
        <w:t>4划定</w:t>
      </w:r>
      <w:r>
        <w:t>方案与相关规划区划协调性分析</w:t>
      </w:r>
      <w:bookmarkEnd w:id="20"/>
      <w:bookmarkEnd w:id="21"/>
    </w:p>
    <w:p>
      <w:pPr>
        <w:spacing w:line="360" w:lineRule="auto"/>
        <w:ind w:firstLine="480" w:firstLineChars="200"/>
        <w:rPr>
          <w:spacing w:val="-3"/>
        </w:rPr>
      </w:pPr>
      <w:r>
        <w:rPr>
          <w:rFonts w:hint="eastAsia"/>
          <w:lang w:val="en-US" w:eastAsia="zh-CN"/>
        </w:rPr>
        <w:t>综合分析</w:t>
      </w:r>
      <w:r>
        <w:rPr>
          <w:rFonts w:ascii="Times New Roman" w:hAnsi="Times New Roman" w:eastAsia="宋体" w:cs="Times New Roman"/>
          <w:sz w:val="24"/>
        </w:rPr>
        <w:t>《揭阳市国民经济和社会发展第十三个五年规划纲要》</w:t>
      </w:r>
      <w:r>
        <w:rPr>
          <w:rFonts w:hint="eastAsia" w:cs="Times New Roman"/>
          <w:sz w:val="24"/>
          <w:lang w:eastAsia="zh-CN"/>
        </w:rPr>
        <w:t>、</w:t>
      </w:r>
      <w:r>
        <w:rPr>
          <w:spacing w:val="-3"/>
        </w:rPr>
        <w:t>《揭阳</w:t>
      </w:r>
      <w:r>
        <w:t>市城市总体规划（2011~2035）</w:t>
      </w:r>
      <w:r>
        <w:rPr>
          <w:spacing w:val="-3"/>
        </w:rPr>
        <w:t>》</w:t>
      </w:r>
      <w:r>
        <w:rPr>
          <w:rFonts w:hint="eastAsia"/>
          <w:spacing w:val="-3"/>
          <w:lang w:eastAsia="zh-CN"/>
        </w:rPr>
        <w:t>、</w:t>
      </w:r>
      <w:r>
        <w:rPr>
          <w:rFonts w:ascii="Times New Roman" w:hAnsi="Times New Roman" w:eastAsia="宋体" w:cs="Times New Roman"/>
          <w:sz w:val="24"/>
        </w:rPr>
        <w:t>《普宁市城市总体规划（2015-2030）》</w:t>
      </w:r>
      <w:r>
        <w:rPr>
          <w:rFonts w:hint="eastAsia" w:cs="Times New Roman"/>
          <w:sz w:val="24"/>
          <w:lang w:eastAsia="zh-CN"/>
        </w:rPr>
        <w:t>、《普宁市洪阳镇总体规划（2018-2035）》、《普宁市梅林镇总体规划（2016-2035年）》、《普宁市麒麟镇总体规划（2</w:t>
      </w:r>
      <w:r>
        <w:rPr>
          <w:rFonts w:hint="eastAsia" w:cs="Times New Roman"/>
          <w:b w:val="0"/>
          <w:bCs w:val="0"/>
          <w:sz w:val="24"/>
          <w:lang w:eastAsia="zh-CN"/>
        </w:rPr>
        <w:t>016-2030）》、</w:t>
      </w:r>
      <w:r>
        <w:rPr>
          <w:b w:val="0"/>
          <w:bCs w:val="0"/>
        </w:rPr>
        <w:t>《广东省揭阳市土地利用总体规划（2006-2020年）调整完善方案》</w:t>
      </w:r>
      <w:r>
        <w:rPr>
          <w:rFonts w:hint="eastAsia"/>
          <w:b w:val="0"/>
          <w:bCs w:val="0"/>
          <w:lang w:eastAsia="zh-CN"/>
        </w:rPr>
        <w:t>、</w:t>
      </w:r>
      <w:r>
        <w:rPr>
          <w:rFonts w:ascii="Times New Roman" w:hAnsi="Times New Roman" w:eastAsia="宋体" w:cs="Times New Roman"/>
          <w:b w:val="0"/>
          <w:bCs w:val="0"/>
          <w:sz w:val="24"/>
          <w:szCs w:val="24"/>
        </w:rPr>
        <w:t>《揭阳市市区给水专项规划</w:t>
      </w:r>
      <w:r>
        <w:rPr>
          <w:rFonts w:hint="eastAsia" w:ascii="Times New Roman" w:hAnsi="Times New Roman"/>
          <w:b w:val="0"/>
          <w:bCs w:val="0"/>
          <w:sz w:val="24"/>
        </w:rPr>
        <w:t>（2017-2030）</w:t>
      </w:r>
      <w:r>
        <w:rPr>
          <w:rFonts w:ascii="Times New Roman" w:hAnsi="Times New Roman" w:eastAsia="宋体" w:cs="Times New Roman"/>
          <w:b w:val="0"/>
          <w:bCs w:val="0"/>
          <w:sz w:val="24"/>
          <w:szCs w:val="24"/>
        </w:rPr>
        <w:t>》</w:t>
      </w:r>
      <w:r>
        <w:rPr>
          <w:rFonts w:hint="eastAsia" w:cs="Times New Roman"/>
          <w:b w:val="0"/>
          <w:bCs w:val="0"/>
          <w:sz w:val="24"/>
          <w:szCs w:val="24"/>
          <w:lang w:eastAsia="zh-CN"/>
        </w:rPr>
        <w:t>、</w:t>
      </w:r>
      <w:r>
        <w:rPr>
          <w:rFonts w:hint="eastAsia" w:ascii="Times New Roman" w:hAnsi="Times New Roman" w:eastAsia="宋体" w:cs="Times New Roman"/>
          <w:b w:val="0"/>
          <w:bCs w:val="0"/>
          <w:sz w:val="24"/>
          <w:szCs w:val="24"/>
        </w:rPr>
        <w:t>《普宁市水资源综合规划》（</w:t>
      </w:r>
      <w:r>
        <w:rPr>
          <w:rFonts w:ascii="Times New Roman" w:hAnsi="Times New Roman" w:eastAsia="宋体" w:cs="Times New Roman"/>
          <w:b w:val="0"/>
          <w:bCs w:val="0"/>
          <w:sz w:val="24"/>
          <w:szCs w:val="24"/>
        </w:rPr>
        <w:t>2019</w:t>
      </w:r>
      <w:r>
        <w:rPr>
          <w:rFonts w:hint="eastAsia" w:ascii="Times New Roman" w:hAnsi="Times New Roman" w:eastAsia="宋体" w:cs="Times New Roman"/>
          <w:b w:val="0"/>
          <w:bCs w:val="0"/>
          <w:sz w:val="24"/>
          <w:szCs w:val="24"/>
        </w:rPr>
        <w:t>年）</w:t>
      </w:r>
      <w:r>
        <w:rPr>
          <w:rFonts w:hint="eastAsia" w:cs="Times New Roman"/>
          <w:b w:val="0"/>
          <w:bCs w:val="0"/>
          <w:sz w:val="24"/>
          <w:szCs w:val="24"/>
          <w:lang w:eastAsia="zh-CN"/>
        </w:rPr>
        <w:t>、</w:t>
      </w:r>
      <w:r>
        <w:rPr>
          <w:rFonts w:ascii="Times New Roman" w:hAnsi="Times New Roman" w:eastAsia="宋体" w:cs="Times New Roman"/>
          <w:b w:val="0"/>
          <w:bCs w:val="0"/>
          <w:sz w:val="24"/>
          <w:szCs w:val="24"/>
        </w:rPr>
        <w:t>《揭阳市环境保护和生态</w:t>
      </w:r>
      <w:r>
        <w:rPr>
          <w:rFonts w:hint="eastAsia" w:ascii="宋体" w:hAnsi="宋体" w:eastAsia="宋体" w:cs="宋体"/>
          <w:b w:val="0"/>
          <w:bCs w:val="0"/>
          <w:sz w:val="24"/>
          <w:szCs w:val="24"/>
        </w:rPr>
        <w:t>建设“十三五”</w:t>
      </w:r>
      <w:r>
        <w:rPr>
          <w:rFonts w:ascii="Times New Roman" w:hAnsi="Times New Roman" w:eastAsia="宋体" w:cs="Times New Roman"/>
          <w:b w:val="0"/>
          <w:bCs w:val="0"/>
          <w:sz w:val="24"/>
          <w:szCs w:val="24"/>
        </w:rPr>
        <w:t>规划》</w:t>
      </w:r>
      <w:r>
        <w:rPr>
          <w:rFonts w:hint="eastAsia" w:cs="Times New Roman"/>
          <w:b w:val="0"/>
          <w:bCs w:val="0"/>
          <w:sz w:val="24"/>
          <w:szCs w:val="24"/>
          <w:lang w:eastAsia="zh-CN"/>
        </w:rPr>
        <w:t>、</w:t>
      </w:r>
      <w:r>
        <w:rPr>
          <w:rFonts w:ascii="Times New Roman" w:hAnsi="Times New Roman" w:eastAsia="宋体" w:cs="Times New Roman"/>
          <w:b w:val="0"/>
          <w:bCs w:val="0"/>
          <w:sz w:val="24"/>
          <w:szCs w:val="24"/>
        </w:rPr>
        <w:t>《关于推进乡镇及以下集中式饮用水水源地生态环境保护工作的指导意见》</w:t>
      </w:r>
      <w:r>
        <w:rPr>
          <w:rFonts w:hint="eastAsia" w:cs="Times New Roman"/>
          <w:b w:val="0"/>
          <w:bCs w:val="0"/>
          <w:sz w:val="24"/>
          <w:szCs w:val="24"/>
          <w:lang w:eastAsia="zh-CN"/>
        </w:rPr>
        <w:t>、</w:t>
      </w:r>
      <w:r>
        <w:rPr>
          <w:rFonts w:ascii="Times New Roman" w:hAnsi="Times New Roman" w:eastAsia="宋体" w:cs="Times New Roman"/>
          <w:b w:val="0"/>
          <w:bCs w:val="0"/>
          <w:sz w:val="24"/>
          <w:szCs w:val="24"/>
        </w:rPr>
        <w:t>《广东省地表水环境功能区划》、《广东省水功能区划》</w:t>
      </w:r>
      <w:r>
        <w:rPr>
          <w:rFonts w:hint="eastAsia" w:cs="Times New Roman"/>
          <w:b w:val="0"/>
          <w:bCs w:val="0"/>
          <w:sz w:val="24"/>
          <w:szCs w:val="24"/>
          <w:lang w:eastAsia="zh-CN"/>
        </w:rPr>
        <w:t>、</w:t>
      </w:r>
      <w:r>
        <w:rPr>
          <w:rFonts w:ascii="Times New Roman" w:hAnsi="Times New Roman" w:eastAsia="宋体" w:cs="Times New Roman"/>
          <w:b w:val="0"/>
          <w:bCs w:val="0"/>
          <w:sz w:val="24"/>
          <w:szCs w:val="24"/>
        </w:rPr>
        <w:t>《南粤水更清行动计划（修订本）（2017-2020年）》</w:t>
      </w:r>
      <w:r>
        <w:rPr>
          <w:rFonts w:hint="eastAsia" w:cs="Times New Roman"/>
          <w:b/>
          <w:sz w:val="24"/>
          <w:szCs w:val="24"/>
          <w:lang w:eastAsia="zh-CN"/>
        </w:rPr>
        <w:t>、</w:t>
      </w:r>
      <w:r>
        <w:rPr>
          <w:rFonts w:ascii="Times New Roman" w:hAnsi="Times New Roman" w:eastAsia="宋体" w:cs="Times New Roman"/>
          <w:bCs/>
          <w:sz w:val="24"/>
          <w:szCs w:val="24"/>
        </w:rPr>
        <w:t>《揭阳市综合交通运输体系发</w:t>
      </w:r>
      <w:r>
        <w:rPr>
          <w:rFonts w:hint="eastAsia" w:ascii="宋体" w:hAnsi="宋体" w:eastAsia="宋体" w:cs="宋体"/>
          <w:bCs/>
          <w:sz w:val="24"/>
          <w:szCs w:val="24"/>
        </w:rPr>
        <w:t>展“十三五”规</w:t>
      </w:r>
      <w:r>
        <w:rPr>
          <w:rFonts w:ascii="Times New Roman" w:hAnsi="Times New Roman" w:eastAsia="宋体" w:cs="Times New Roman"/>
          <w:bCs/>
          <w:sz w:val="24"/>
          <w:szCs w:val="24"/>
        </w:rPr>
        <w:t>划》</w:t>
      </w:r>
      <w:r>
        <w:rPr>
          <w:rFonts w:hint="eastAsia" w:cs="Times New Roman"/>
          <w:bCs/>
          <w:sz w:val="24"/>
          <w:szCs w:val="24"/>
          <w:lang w:val="en-US" w:eastAsia="zh-CN"/>
        </w:rPr>
        <w:t>与本次保护区划定方案的相符性，</w:t>
      </w:r>
      <w:r>
        <w:t>本次划定方案</w:t>
      </w:r>
      <w:r>
        <w:rPr>
          <w:rFonts w:hint="eastAsia"/>
          <w:lang w:val="en-US" w:eastAsia="zh-CN"/>
        </w:rPr>
        <w:t>与</w:t>
      </w:r>
      <w:r>
        <w:rPr>
          <w:rFonts w:hint="eastAsia" w:cs="Times New Roman"/>
          <w:bCs/>
          <w:sz w:val="24"/>
          <w:szCs w:val="24"/>
          <w:lang w:val="en-US" w:eastAsia="zh-CN"/>
        </w:rPr>
        <w:t>上述</w:t>
      </w:r>
      <w:r>
        <w:t>相关规划区划</w:t>
      </w:r>
      <w:r>
        <w:rPr>
          <w:rFonts w:hint="eastAsia"/>
          <w:lang w:val="en-US" w:eastAsia="zh-CN"/>
        </w:rPr>
        <w:t>不冲突，且</w:t>
      </w:r>
      <w:r>
        <w:rPr>
          <w:rFonts w:ascii="Times New Roman" w:hAnsi="Times New Roman" w:eastAsia="宋体" w:cs="Times New Roman"/>
          <w:sz w:val="24"/>
        </w:rPr>
        <w:t>《揭阳市国民经济和社会发展第十三个五年规划纲要》</w:t>
      </w:r>
      <w:r>
        <w:rPr>
          <w:rFonts w:hint="eastAsia" w:cs="Times New Roman"/>
          <w:sz w:val="24"/>
          <w:lang w:eastAsia="zh-CN"/>
        </w:rPr>
        <w:t>、</w:t>
      </w:r>
      <w:r>
        <w:rPr>
          <w:rFonts w:ascii="Times New Roman" w:hAnsi="Times New Roman" w:eastAsia="宋体" w:cs="Times New Roman"/>
          <w:b w:val="0"/>
          <w:bCs w:val="0"/>
          <w:sz w:val="24"/>
          <w:szCs w:val="24"/>
        </w:rPr>
        <w:t>《揭阳市环境保护和生态</w:t>
      </w:r>
      <w:r>
        <w:rPr>
          <w:rFonts w:hint="eastAsia" w:ascii="宋体" w:hAnsi="宋体" w:eastAsia="宋体" w:cs="宋体"/>
          <w:b w:val="0"/>
          <w:bCs w:val="0"/>
          <w:sz w:val="24"/>
          <w:szCs w:val="24"/>
        </w:rPr>
        <w:t>建设“十三五”</w:t>
      </w:r>
      <w:r>
        <w:rPr>
          <w:rFonts w:ascii="Times New Roman" w:hAnsi="Times New Roman" w:eastAsia="宋体" w:cs="Times New Roman"/>
          <w:b w:val="0"/>
          <w:bCs w:val="0"/>
          <w:sz w:val="24"/>
          <w:szCs w:val="24"/>
        </w:rPr>
        <w:t>规划》</w:t>
      </w:r>
      <w:r>
        <w:rPr>
          <w:rFonts w:hint="eastAsia" w:cs="Times New Roman"/>
          <w:b w:val="0"/>
          <w:bCs w:val="0"/>
          <w:sz w:val="24"/>
          <w:szCs w:val="24"/>
          <w:lang w:val="en-US" w:eastAsia="zh-CN"/>
        </w:rPr>
        <w:t>等规划</w:t>
      </w:r>
      <w:r>
        <w:rPr>
          <w:color w:val="auto"/>
        </w:rPr>
        <w:t>有利于保护区</w:t>
      </w:r>
      <w:r>
        <w:rPr>
          <w:rFonts w:hint="eastAsia"/>
          <w:color w:val="auto"/>
          <w:lang w:val="en-US" w:eastAsia="zh-CN"/>
        </w:rPr>
        <w:t>内环境保护，</w:t>
      </w:r>
      <w:r>
        <w:t>因此，本次划定方案</w:t>
      </w:r>
      <w:r>
        <w:rPr>
          <w:spacing w:val="-3"/>
        </w:rPr>
        <w:t>总体符合</w:t>
      </w:r>
      <w:r>
        <w:rPr>
          <w:rFonts w:hint="eastAsia"/>
          <w:spacing w:val="-3"/>
          <w:lang w:val="en-US" w:eastAsia="zh-CN"/>
        </w:rPr>
        <w:t>上述相关规划</w:t>
      </w:r>
      <w:r>
        <w:rPr>
          <w:spacing w:val="-3"/>
        </w:rPr>
        <w:t>要求。</w:t>
      </w:r>
    </w:p>
    <w:bookmarkEnd w:id="16"/>
    <w:bookmarkEnd w:id="17"/>
    <w:bookmarkEnd w:id="18"/>
    <w:bookmarkEnd w:id="19"/>
    <w:p>
      <w:pPr>
        <w:pStyle w:val="2"/>
        <w:rPr>
          <w:rFonts w:hint="default" w:ascii="Times New Roman" w:hAnsi="Times New Roman" w:cs="Times New Roman"/>
          <w:caps w:val="0"/>
        </w:rPr>
      </w:pPr>
      <w:bookmarkStart w:id="22" w:name="_Toc234127115"/>
      <w:bookmarkStart w:id="23" w:name="_Toc274471124"/>
      <w:bookmarkStart w:id="24" w:name="_Toc234143680"/>
      <w:bookmarkStart w:id="25" w:name="_Toc235523903"/>
      <w:bookmarkStart w:id="26" w:name="_Toc243381704"/>
      <w:bookmarkStart w:id="27" w:name="_Toc234143793"/>
      <w:r>
        <w:rPr>
          <w:rFonts w:hint="eastAsia"/>
          <w:lang w:val="en-US" w:eastAsia="zh-CN"/>
        </w:rPr>
        <w:t>5</w:t>
      </w:r>
      <w:r>
        <w:rPr>
          <w:rFonts w:hint="default" w:ascii="Times New Roman" w:hAnsi="Times New Roman" w:cs="Times New Roman"/>
          <w:caps w:val="0"/>
        </w:rPr>
        <w:t>综合结论</w:t>
      </w:r>
      <w:bookmarkEnd w:id="22"/>
      <w:bookmarkEnd w:id="23"/>
      <w:bookmarkEnd w:id="24"/>
      <w:bookmarkEnd w:id="25"/>
      <w:bookmarkEnd w:id="26"/>
      <w:bookmarkEnd w:id="27"/>
    </w:p>
    <w:p>
      <w:pPr>
        <w:ind w:firstLine="480"/>
        <w:rPr>
          <w:rFonts w:hint="default" w:ascii="Times New Roman" w:hAnsi="Times New Roman" w:cs="Times New Roman"/>
          <w:bCs/>
          <w:caps w:val="0"/>
          <w:lang w:val="en-US" w:eastAsia="zh-CN"/>
        </w:rPr>
      </w:pPr>
      <w:r>
        <w:rPr>
          <w:rFonts w:hint="default" w:ascii="Times New Roman" w:hAnsi="Times New Roman" w:cs="Times New Roman"/>
          <w:caps w:val="0"/>
        </w:rPr>
        <w:t>本次</w:t>
      </w:r>
      <w:r>
        <w:rPr>
          <w:rFonts w:hint="default" w:ascii="Times New Roman" w:hAnsi="Times New Roman" w:cs="Times New Roman"/>
          <w:caps w:val="0"/>
          <w:lang w:val="en-US" w:eastAsia="zh-CN"/>
        </w:rPr>
        <w:t>揭阳</w:t>
      </w:r>
      <w:r>
        <w:rPr>
          <w:rFonts w:hint="default" w:ascii="Times New Roman" w:hAnsi="Times New Roman" w:cs="Times New Roman"/>
          <w:caps w:val="0"/>
        </w:rPr>
        <w:t>市</w:t>
      </w:r>
      <w:r>
        <w:rPr>
          <w:rFonts w:hint="default" w:ascii="Times New Roman" w:hAnsi="Times New Roman" w:cs="Times New Roman"/>
          <w:caps w:val="0"/>
          <w:lang w:val="en-US" w:eastAsia="zh-CN"/>
        </w:rPr>
        <w:t>部分</w:t>
      </w:r>
      <w:r>
        <w:rPr>
          <w:rFonts w:hint="default" w:ascii="Times New Roman" w:hAnsi="Times New Roman" w:cs="Times New Roman"/>
          <w:caps w:val="0"/>
        </w:rPr>
        <w:t>乡镇</w:t>
      </w:r>
      <w:r>
        <w:rPr>
          <w:rFonts w:hint="default" w:ascii="Times New Roman" w:hAnsi="Times New Roman" w:cs="Times New Roman"/>
          <w:caps w:val="0"/>
          <w:lang w:val="en-US" w:eastAsia="zh-CN"/>
        </w:rPr>
        <w:t>及以下</w:t>
      </w:r>
      <w:r>
        <w:rPr>
          <w:rFonts w:hint="default" w:ascii="Times New Roman" w:hAnsi="Times New Roman" w:cs="Times New Roman"/>
          <w:caps w:val="0"/>
        </w:rPr>
        <w:t>饮用水水源保护区划定</w:t>
      </w:r>
      <w:r>
        <w:rPr>
          <w:rFonts w:hint="default" w:ascii="Times New Roman" w:hAnsi="Times New Roman" w:cs="Times New Roman"/>
          <w:caps w:val="0"/>
          <w:lang w:val="en-US" w:eastAsia="zh-CN"/>
        </w:rPr>
        <w:t>方案</w:t>
      </w:r>
      <w:r>
        <w:rPr>
          <w:rFonts w:hint="default" w:ascii="Times New Roman" w:hAnsi="Times New Roman" w:cs="Times New Roman"/>
          <w:caps w:val="0"/>
        </w:rPr>
        <w:t>符合国家和省、市相关政策法规要求，</w:t>
      </w:r>
      <w:r>
        <w:rPr>
          <w:rFonts w:hint="default" w:ascii="Times New Roman" w:hAnsi="Times New Roman" w:cs="Times New Roman"/>
          <w:caps w:val="0"/>
          <w:szCs w:val="23"/>
        </w:rPr>
        <w:t>在保障居民安全供水和水质目标不降低的前提下，与水体功能及客观实际相符合，同时兼顾当地经济社会发展需要，与饮用水水源保护区划分相关技术规范或指引要求相适应，各水源地可保障取水量需求、水质目标可达，划定方案合理可行。</w:t>
      </w:r>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8"/>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00007A87" w:usb1="80000000" w:usb2="00000008" w:usb3="00000000" w:csb0="400001FF" w:csb1="FFFF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sz w:val="21"/>
        <w:szCs w:val="21"/>
      </w:rPr>
    </w:pPr>
    <w:r>
      <w:rPr>
        <w:sz w:val="21"/>
      </w:rPr>
      <mc:AlternateContent>
        <mc:Choice Requires="wps">
          <w:drawing>
            <wp:anchor distT="0" distB="0" distL="114300" distR="114300" simplePos="0" relativeHeight="255083520"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48758848"/>
                          </w:sdtPr>
                          <w:sdtEndPr>
                            <w:rPr>
                              <w:rFonts w:ascii="Times New Roman" w:hAnsi="Times New Roman"/>
                              <w:sz w:val="21"/>
                              <w:szCs w:val="21"/>
                            </w:rPr>
                          </w:sdtEndPr>
                          <w:sdtContent>
                            <w:p>
                              <w:pPr>
                                <w:pStyle w:val="9"/>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238</w:t>
                              </w:r>
                              <w:r>
                                <w:rPr>
                                  <w:rFonts w:ascii="Times New Roman" w:hAnsi="Times New Roman"/>
                                  <w:sz w:val="21"/>
                                  <w:szCs w:val="21"/>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50835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xAgVAgAAFQQAAA4AAABkcnMvZTJvRG9jLnhtbK1Ty47TMBTdI/EP&#10;lvc0aRFD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6fxAgVAgAAFQQAAA4AAAAAAAAA&#10;AQAgAAAAHwEAAGRycy9lMm9Eb2MueG1sUEsFBgAAAAAGAAYAWQEAAKYFAAAAAA==&#10;">
              <v:fill on="f" focussize="0,0"/>
              <v:stroke on="f" weight="0.5pt"/>
              <v:imagedata o:title=""/>
              <o:lock v:ext="edit" aspectratio="f"/>
              <v:textbox inset="0mm,0mm,0mm,0mm" style="mso-fit-shape-to-text:t;">
                <w:txbxContent>
                  <w:sdt>
                    <w:sdtPr>
                      <w:id w:val="1348758848"/>
                    </w:sdtPr>
                    <w:sdtEndPr>
                      <w:rPr>
                        <w:rFonts w:ascii="Times New Roman" w:hAnsi="Times New Roman"/>
                        <w:sz w:val="21"/>
                        <w:szCs w:val="21"/>
                      </w:rPr>
                    </w:sdtEndPr>
                    <w:sdtContent>
                      <w:p>
                        <w:pPr>
                          <w:pStyle w:val="9"/>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238</w:t>
                        </w:r>
                        <w:r>
                          <w:rPr>
                            <w:rFonts w:ascii="Times New Roman" w:hAnsi="Times New Roman"/>
                            <w:sz w:val="21"/>
                            <w:szCs w:val="21"/>
                          </w:rPr>
                          <w:fldChar w:fldCharType="end"/>
                        </w:r>
                      </w:p>
                    </w:sdtContent>
                  </w:sd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rPr>
        <w:rFonts w:hint="default" w:eastAsia="宋体"/>
        <w:lang w:val="en-US" w:eastAsia="zh-CN"/>
      </w:rPr>
    </w:pPr>
    <w:r>
      <w:rPr>
        <w:rFonts w:hint="eastAsia"/>
        <w:lang w:val="en-US" w:eastAsia="zh-CN"/>
      </w:rPr>
      <w:t>揭阳市部分乡镇及以下集中式饮用水水源保护区划定可行性研究报告</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4F94"/>
    <w:multiLevelType w:val="multilevel"/>
    <w:tmpl w:val="267D4F94"/>
    <w:lvl w:ilvl="0" w:tentative="0">
      <w:start w:val="1"/>
      <w:numFmt w:val="decimal"/>
      <w:suff w:val="nothing"/>
      <w:lvlText w:val="(%1)、"/>
      <w:lvlJc w:val="left"/>
      <w:pPr>
        <w:ind w:left="568" w:firstLine="0"/>
      </w:pPr>
    </w:lvl>
    <w:lvl w:ilvl="1" w:tentative="0">
      <w:start w:val="1"/>
      <w:numFmt w:val="lowerLetter"/>
      <w:pStyle w:val="4"/>
      <w:lvlText w:val="%2)"/>
      <w:lvlJc w:val="left"/>
      <w:pPr>
        <w:ind w:left="2248" w:hanging="420"/>
      </w:pPr>
    </w:lvl>
    <w:lvl w:ilvl="2" w:tentative="0">
      <w:start w:val="1"/>
      <w:numFmt w:val="lowerRoman"/>
      <w:lvlText w:val="%3."/>
      <w:lvlJc w:val="right"/>
      <w:pPr>
        <w:ind w:left="2668" w:hanging="420"/>
      </w:pPr>
    </w:lvl>
    <w:lvl w:ilvl="3" w:tentative="0">
      <w:start w:val="1"/>
      <w:numFmt w:val="decimal"/>
      <w:lvlText w:val="%4."/>
      <w:lvlJc w:val="left"/>
      <w:pPr>
        <w:ind w:left="3088" w:hanging="420"/>
      </w:pPr>
    </w:lvl>
    <w:lvl w:ilvl="4" w:tentative="0">
      <w:start w:val="1"/>
      <w:numFmt w:val="lowerLetter"/>
      <w:lvlText w:val="%5)"/>
      <w:lvlJc w:val="left"/>
      <w:pPr>
        <w:ind w:left="3508" w:hanging="420"/>
      </w:pPr>
    </w:lvl>
    <w:lvl w:ilvl="5" w:tentative="0">
      <w:start w:val="1"/>
      <w:numFmt w:val="lowerRoman"/>
      <w:lvlText w:val="%6."/>
      <w:lvlJc w:val="right"/>
      <w:pPr>
        <w:ind w:left="3928" w:hanging="420"/>
      </w:pPr>
    </w:lvl>
    <w:lvl w:ilvl="6" w:tentative="0">
      <w:start w:val="1"/>
      <w:numFmt w:val="decimal"/>
      <w:lvlText w:val="%7."/>
      <w:lvlJc w:val="left"/>
      <w:pPr>
        <w:ind w:left="4348" w:hanging="420"/>
      </w:pPr>
    </w:lvl>
    <w:lvl w:ilvl="7" w:tentative="0">
      <w:start w:val="1"/>
      <w:numFmt w:val="lowerLetter"/>
      <w:lvlText w:val="%8)"/>
      <w:lvlJc w:val="left"/>
      <w:pPr>
        <w:ind w:left="4768" w:hanging="420"/>
      </w:pPr>
    </w:lvl>
    <w:lvl w:ilvl="8" w:tentative="0">
      <w:start w:val="1"/>
      <w:numFmt w:val="lowerRoman"/>
      <w:lvlText w:val="%9."/>
      <w:lvlJc w:val="right"/>
      <w:pPr>
        <w:ind w:left="518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6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032BC3"/>
    <w:rsid w:val="028B0419"/>
    <w:rsid w:val="02C1489D"/>
    <w:rsid w:val="031F079C"/>
    <w:rsid w:val="064B3DE1"/>
    <w:rsid w:val="07B25BB1"/>
    <w:rsid w:val="07BF078E"/>
    <w:rsid w:val="080B5ED8"/>
    <w:rsid w:val="09B3136A"/>
    <w:rsid w:val="09B37C43"/>
    <w:rsid w:val="0A5E6D4B"/>
    <w:rsid w:val="0AEC7187"/>
    <w:rsid w:val="0FAB6D71"/>
    <w:rsid w:val="10AA2D4A"/>
    <w:rsid w:val="12D614A1"/>
    <w:rsid w:val="134A179B"/>
    <w:rsid w:val="14023E59"/>
    <w:rsid w:val="14206C55"/>
    <w:rsid w:val="149C6143"/>
    <w:rsid w:val="16B70AFF"/>
    <w:rsid w:val="1777450C"/>
    <w:rsid w:val="181B427D"/>
    <w:rsid w:val="181C1D66"/>
    <w:rsid w:val="18F05153"/>
    <w:rsid w:val="19AD3432"/>
    <w:rsid w:val="1A454046"/>
    <w:rsid w:val="1A91007C"/>
    <w:rsid w:val="1C2758B2"/>
    <w:rsid w:val="1CE03F18"/>
    <w:rsid w:val="1D052168"/>
    <w:rsid w:val="1D11533E"/>
    <w:rsid w:val="1E4C3361"/>
    <w:rsid w:val="1EB6336C"/>
    <w:rsid w:val="1FCF28B6"/>
    <w:rsid w:val="1FF364B4"/>
    <w:rsid w:val="20816A9F"/>
    <w:rsid w:val="20FA2BF0"/>
    <w:rsid w:val="21C12AC1"/>
    <w:rsid w:val="22DB057A"/>
    <w:rsid w:val="230A38BE"/>
    <w:rsid w:val="2428721E"/>
    <w:rsid w:val="24590DFC"/>
    <w:rsid w:val="275E49B5"/>
    <w:rsid w:val="276E5B80"/>
    <w:rsid w:val="277140E5"/>
    <w:rsid w:val="283E5875"/>
    <w:rsid w:val="28CA599E"/>
    <w:rsid w:val="28CF05D2"/>
    <w:rsid w:val="2BCC5762"/>
    <w:rsid w:val="2C8D6DEF"/>
    <w:rsid w:val="2CE70A97"/>
    <w:rsid w:val="2D96444F"/>
    <w:rsid w:val="2DCA44F3"/>
    <w:rsid w:val="2E982FAC"/>
    <w:rsid w:val="2F3176F7"/>
    <w:rsid w:val="2F8A1225"/>
    <w:rsid w:val="30C47203"/>
    <w:rsid w:val="31C86500"/>
    <w:rsid w:val="32130B17"/>
    <w:rsid w:val="32BD31CE"/>
    <w:rsid w:val="344773F3"/>
    <w:rsid w:val="34FC7034"/>
    <w:rsid w:val="367C5F0E"/>
    <w:rsid w:val="386A6EC1"/>
    <w:rsid w:val="3CE63F62"/>
    <w:rsid w:val="3D7119FE"/>
    <w:rsid w:val="3D857F8A"/>
    <w:rsid w:val="3D8A0FF1"/>
    <w:rsid w:val="3D9F7240"/>
    <w:rsid w:val="3E064977"/>
    <w:rsid w:val="3E706D00"/>
    <w:rsid w:val="3EE651BF"/>
    <w:rsid w:val="403C27B4"/>
    <w:rsid w:val="41E34725"/>
    <w:rsid w:val="42A065FE"/>
    <w:rsid w:val="430509BB"/>
    <w:rsid w:val="435C01FE"/>
    <w:rsid w:val="43870EEC"/>
    <w:rsid w:val="43FE29C6"/>
    <w:rsid w:val="44596FA9"/>
    <w:rsid w:val="44A266A8"/>
    <w:rsid w:val="44C50E9B"/>
    <w:rsid w:val="44D557D7"/>
    <w:rsid w:val="45AE0A45"/>
    <w:rsid w:val="45C16B25"/>
    <w:rsid w:val="485D61CF"/>
    <w:rsid w:val="48CE44D7"/>
    <w:rsid w:val="49264233"/>
    <w:rsid w:val="4A18443C"/>
    <w:rsid w:val="4A2070C1"/>
    <w:rsid w:val="4A561A20"/>
    <w:rsid w:val="4AB42F05"/>
    <w:rsid w:val="4AD9193E"/>
    <w:rsid w:val="4BE4166B"/>
    <w:rsid w:val="4C355062"/>
    <w:rsid w:val="4CAF10C8"/>
    <w:rsid w:val="4EF116B0"/>
    <w:rsid w:val="4F2C5177"/>
    <w:rsid w:val="51942C80"/>
    <w:rsid w:val="51D9102C"/>
    <w:rsid w:val="534B1260"/>
    <w:rsid w:val="53B278A4"/>
    <w:rsid w:val="545A71F1"/>
    <w:rsid w:val="54DC2D59"/>
    <w:rsid w:val="550F1B57"/>
    <w:rsid w:val="555126FF"/>
    <w:rsid w:val="57A11050"/>
    <w:rsid w:val="57CC4B7B"/>
    <w:rsid w:val="57F31CF7"/>
    <w:rsid w:val="58AF1DF5"/>
    <w:rsid w:val="5AAF469F"/>
    <w:rsid w:val="5C3A6486"/>
    <w:rsid w:val="5E0D540E"/>
    <w:rsid w:val="5E506982"/>
    <w:rsid w:val="5E585B73"/>
    <w:rsid w:val="5EC75006"/>
    <w:rsid w:val="5EE2567A"/>
    <w:rsid w:val="5EE83D08"/>
    <w:rsid w:val="5FA84DCE"/>
    <w:rsid w:val="602038C2"/>
    <w:rsid w:val="606450FF"/>
    <w:rsid w:val="608B7B39"/>
    <w:rsid w:val="636275DD"/>
    <w:rsid w:val="63B7311F"/>
    <w:rsid w:val="63CE2047"/>
    <w:rsid w:val="653E1EEC"/>
    <w:rsid w:val="65653B38"/>
    <w:rsid w:val="66677947"/>
    <w:rsid w:val="66D65735"/>
    <w:rsid w:val="677D1333"/>
    <w:rsid w:val="6AAE169D"/>
    <w:rsid w:val="6CA4250A"/>
    <w:rsid w:val="6D1562B3"/>
    <w:rsid w:val="6D5A38CF"/>
    <w:rsid w:val="6DA72D03"/>
    <w:rsid w:val="6EBB0A8D"/>
    <w:rsid w:val="6ED75794"/>
    <w:rsid w:val="6FAD153D"/>
    <w:rsid w:val="701C3FAB"/>
    <w:rsid w:val="705D5903"/>
    <w:rsid w:val="7100479B"/>
    <w:rsid w:val="714F4406"/>
    <w:rsid w:val="71B13B1A"/>
    <w:rsid w:val="72FC6C18"/>
    <w:rsid w:val="73FF418A"/>
    <w:rsid w:val="75660B3D"/>
    <w:rsid w:val="77F4577F"/>
    <w:rsid w:val="78323729"/>
    <w:rsid w:val="787C2C24"/>
    <w:rsid w:val="79104BB2"/>
    <w:rsid w:val="79977985"/>
    <w:rsid w:val="7A8C2CD5"/>
    <w:rsid w:val="7B7667A8"/>
    <w:rsid w:val="7B85103F"/>
    <w:rsid w:val="7B9161B4"/>
    <w:rsid w:val="7C774803"/>
    <w:rsid w:val="7D0D4519"/>
    <w:rsid w:val="7D6D480F"/>
    <w:rsid w:val="7D991076"/>
    <w:rsid w:val="7EBC72F5"/>
    <w:rsid w:val="7F524CF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2" w:firstLineChars="200"/>
      <w:jc w:val="both"/>
    </w:pPr>
    <w:rPr>
      <w:rFonts w:ascii="Times New Roman" w:hAnsi="Times New Roman" w:eastAsia="宋体" w:cs="Times New Roman"/>
      <w:kern w:val="0"/>
      <w:sz w:val="24"/>
      <w:szCs w:val="20"/>
      <w:lang w:val="en-US" w:eastAsia="zh-CN" w:bidi="ar-SA"/>
    </w:rPr>
  </w:style>
  <w:style w:type="paragraph" w:styleId="3">
    <w:name w:val="heading 1"/>
    <w:basedOn w:val="1"/>
    <w:next w:val="1"/>
    <w:qFormat/>
    <w:uiPriority w:val="9"/>
    <w:pPr>
      <w:keepNext/>
      <w:keepLines/>
      <w:spacing w:line="360" w:lineRule="auto"/>
      <w:ind w:left="0" w:firstLine="0" w:firstLineChars="0"/>
      <w:jc w:val="center"/>
      <w:outlineLvl w:val="0"/>
    </w:pPr>
    <w:rPr>
      <w:rFonts w:ascii="Times New Roman" w:hAnsi="Times New Roman" w:eastAsia="宋体"/>
      <w:b/>
      <w:bCs/>
      <w:kern w:val="44"/>
      <w:sz w:val="44"/>
      <w:szCs w:val="44"/>
    </w:rPr>
  </w:style>
  <w:style w:type="paragraph" w:styleId="4">
    <w:name w:val="heading 2"/>
    <w:basedOn w:val="1"/>
    <w:next w:val="1"/>
    <w:unhideWhenUsed/>
    <w:qFormat/>
    <w:uiPriority w:val="9"/>
    <w:pPr>
      <w:keepNext/>
      <w:keepLines/>
      <w:numPr>
        <w:ilvl w:val="1"/>
        <w:numId w:val="1"/>
      </w:numPr>
      <w:kinsoku w:val="0"/>
      <w:spacing w:line="360" w:lineRule="auto"/>
      <w:ind w:left="0" w:firstLine="0" w:firstLineChars="0"/>
      <w:jc w:val="left"/>
      <w:outlineLvl w:val="1"/>
    </w:pPr>
    <w:rPr>
      <w:rFonts w:ascii="Times New Roman" w:hAnsi="Times New Roman" w:eastAsia="宋体" w:cstheme="majorBidi"/>
      <w:b/>
      <w:bCs/>
      <w:sz w:val="32"/>
      <w:szCs w:val="32"/>
    </w:rPr>
  </w:style>
  <w:style w:type="paragraph" w:styleId="2">
    <w:name w:val="heading 3"/>
    <w:basedOn w:val="1"/>
    <w:next w:val="1"/>
    <w:unhideWhenUsed/>
    <w:qFormat/>
    <w:uiPriority w:val="0"/>
    <w:pPr>
      <w:keepNext/>
      <w:keepLines/>
      <w:spacing w:beforeLines="0" w:beforeAutospacing="0" w:afterLines="0" w:afterAutospacing="0" w:line="360" w:lineRule="auto"/>
      <w:ind w:firstLine="0" w:firstLineChars="0"/>
      <w:outlineLvl w:val="2"/>
    </w:pPr>
    <w:rPr>
      <w:rFonts w:ascii="Times New Roman" w:hAnsi="Times New Roman" w:eastAsia="宋体"/>
      <w:b/>
      <w:sz w:val="28"/>
    </w:rPr>
  </w:style>
  <w:style w:type="paragraph" w:styleId="5">
    <w:name w:val="heading 4"/>
    <w:basedOn w:val="1"/>
    <w:next w:val="1"/>
    <w:unhideWhenUsed/>
    <w:qFormat/>
    <w:uiPriority w:val="0"/>
    <w:pPr>
      <w:keepNext/>
      <w:keepLines/>
      <w:spacing w:beforeLines="0" w:beforeAutospacing="0" w:afterLines="0" w:afterAutospacing="0" w:line="360" w:lineRule="auto"/>
      <w:outlineLvl w:val="3"/>
    </w:pPr>
    <w:rPr>
      <w:rFonts w:ascii="Times New Roman" w:hAnsi="Times New Roman" w:eastAsia="宋体"/>
      <w:b/>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qFormat/>
    <w:uiPriority w:val="0"/>
    <w:pPr>
      <w:spacing w:line="360" w:lineRule="auto"/>
      <w:ind w:firstLine="200" w:firstLineChars="200"/>
    </w:pPr>
    <w:rPr>
      <w:rFonts w:ascii="Times New Roman" w:hAnsi="Times New Roman"/>
      <w:sz w:val="24"/>
      <w:szCs w:val="24"/>
    </w:rPr>
  </w:style>
  <w:style w:type="paragraph" w:styleId="7">
    <w:name w:val="annotation text"/>
    <w:basedOn w:val="1"/>
    <w:qFormat/>
    <w:uiPriority w:val="0"/>
    <w:pPr>
      <w:jc w:val="left"/>
    </w:pPr>
  </w:style>
  <w:style w:type="paragraph" w:styleId="8">
    <w:name w:val="Body Text"/>
    <w:basedOn w:val="1"/>
    <w:unhideWhenUsed/>
    <w:qFormat/>
    <w:uiPriority w:val="99"/>
    <w:pPr>
      <w:spacing w:after="120"/>
    </w:p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ind w:firstLine="0" w:firstLineChars="0"/>
      <w:jc w:val="center"/>
    </w:pPr>
    <w:rPr>
      <w:rFonts w:ascii="Times New Roman" w:hAnsi="Times New Roman" w:eastAsia="宋体"/>
      <w:sz w:val="18"/>
      <w:szCs w:val="18"/>
    </w:rPr>
  </w:style>
  <w:style w:type="paragraph" w:styleId="11">
    <w:name w:val="toc 1"/>
    <w:basedOn w:val="1"/>
    <w:next w:val="1"/>
    <w:unhideWhenUsed/>
    <w:qFormat/>
    <w:uiPriority w:val="39"/>
    <w:pPr>
      <w:tabs>
        <w:tab w:val="right" w:leader="dot" w:pos="8296"/>
      </w:tabs>
      <w:spacing w:line="360" w:lineRule="auto"/>
      <w:jc w:val="left"/>
    </w:pPr>
    <w:rPr>
      <w:rFonts w:ascii="Times New Roman" w:hAnsi="Times New Roman"/>
      <w:b/>
      <w:bCs/>
      <w:caps/>
      <w:kern w:val="44"/>
      <w:sz w:val="28"/>
      <w:szCs w:val="28"/>
    </w:rPr>
  </w:style>
  <w:style w:type="paragraph" w:styleId="12">
    <w:name w:val="toc 2"/>
    <w:basedOn w:val="1"/>
    <w:next w:val="1"/>
    <w:unhideWhenUsed/>
    <w:qFormat/>
    <w:uiPriority w:val="39"/>
    <w:pPr>
      <w:tabs>
        <w:tab w:val="right" w:leader="dot" w:pos="8303"/>
      </w:tabs>
      <w:spacing w:line="360" w:lineRule="auto"/>
      <w:ind w:left="420" w:leftChars="200"/>
    </w:pPr>
    <w:rPr>
      <w:rFonts w:ascii="Times New Roman" w:hAnsi="Times New Roman"/>
      <w:b/>
      <w:snapToGrid w:val="0"/>
      <w:sz w:val="24"/>
      <w:szCs w:val="24"/>
    </w:rPr>
  </w:style>
  <w:style w:type="character" w:styleId="14">
    <w:name w:val="page number"/>
    <w:qFormat/>
    <w:uiPriority w:val="0"/>
  </w:style>
  <w:style w:type="character" w:styleId="15">
    <w:name w:val="Hyperlink"/>
    <w:unhideWhenUsed/>
    <w:qFormat/>
    <w:uiPriority w:val="99"/>
    <w:rPr>
      <w:color w:val="0000FF"/>
      <w:u w:val="single"/>
    </w:rPr>
  </w:style>
  <w:style w:type="table" w:styleId="17">
    <w:name w:val="Table Grid"/>
    <w:basedOn w:val="1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表格"/>
    <w:basedOn w:val="1"/>
    <w:next w:val="1"/>
    <w:qFormat/>
    <w:uiPriority w:val="0"/>
    <w:pPr>
      <w:autoSpaceDE w:val="0"/>
      <w:autoSpaceDN w:val="0"/>
      <w:adjustRightInd w:val="0"/>
      <w:jc w:val="center"/>
      <w:textAlignment w:val="baseline"/>
    </w:pPr>
    <w:rPr>
      <w:rFonts w:ascii="Times New Roman" w:hAnsi="Times New Roman" w:eastAsiaTheme="minorEastAsia" w:cstheme="minorBidi"/>
      <w:kern w:val="2"/>
      <w:sz w:val="24"/>
      <w:szCs w:val="22"/>
    </w:rPr>
  </w:style>
  <w:style w:type="paragraph" w:customStyle="1" w:styleId="19">
    <w:name w:val="List Paragraph"/>
    <w:basedOn w:val="1"/>
    <w:qFormat/>
    <w:uiPriority w:val="34"/>
    <w:pPr>
      <w:ind w:firstLine="420" w:firstLineChars="200"/>
    </w:pPr>
  </w:style>
  <w:style w:type="paragraph" w:customStyle="1" w:styleId="20">
    <w:name w:val="文字"/>
    <w:basedOn w:val="1"/>
    <w:qFormat/>
    <w:uiPriority w:val="0"/>
    <w:pPr>
      <w:widowControl/>
      <w:spacing w:afterLines="50" w:line="360" w:lineRule="auto"/>
      <w:ind w:firstLine="420"/>
    </w:pPr>
    <w:rPr>
      <w:rFonts w:ascii="Times New Roman" w:hAnsi="Times New Roman"/>
      <w:sz w:val="24"/>
      <w:szCs w:val="24"/>
    </w:rPr>
  </w:style>
  <w:style w:type="paragraph" w:customStyle="1" w:styleId="21">
    <w:name w:val="列出段落3"/>
    <w:basedOn w:val="1"/>
    <w:qFormat/>
    <w:uiPriority w:val="0"/>
    <w:pPr>
      <w:ind w:firstLine="420" w:firstLineChars="200"/>
    </w:pPr>
    <w:rPr>
      <w:rFonts w:ascii="宋体" w:hAnsi="宋体" w:cs="宋体"/>
      <w:sz w:val="21"/>
      <w:szCs w:val="21"/>
    </w:rPr>
  </w:style>
  <w:style w:type="table" w:customStyle="1" w:styleId="22">
    <w:name w:val="表格主题11"/>
    <w:basedOn w:val="16"/>
    <w:qFormat/>
    <w:uiPriority w:val="0"/>
    <w:pPr>
      <w:widowControl w:val="0"/>
      <w:adjustRightInd w:val="0"/>
      <w:snapToGrid w:val="0"/>
      <w:spacing w:line="312" w:lineRule="auto"/>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表文中"/>
    <w:basedOn w:val="1"/>
    <w:qFormat/>
    <w:uiPriority w:val="0"/>
    <w:pPr>
      <w:spacing w:line="360" w:lineRule="auto"/>
      <w:jc w:val="left"/>
    </w:pPr>
    <w:rPr>
      <w:rFonts w:asciiTheme="minorHAnsi" w:hAnsiTheme="minorHAnsi" w:eastAsiaTheme="minorEastAsia" w:cstheme="minorBidi"/>
      <w:color w:val="FF0000"/>
      <w:kern w:val="2"/>
      <w:sz w:val="21"/>
      <w:szCs w:val="19"/>
      <w:lang w:val="zh-CN" w:eastAsia="zh-CN"/>
    </w:rPr>
  </w:style>
  <w:style w:type="paragraph" w:customStyle="1" w:styleId="24">
    <w:name w:val="图-ST"/>
    <w:basedOn w:val="1"/>
    <w:qFormat/>
    <w:uiPriority w:val="99"/>
    <w:pPr>
      <w:widowControl/>
      <w:spacing w:line="240" w:lineRule="auto"/>
      <w:ind w:firstLine="0" w:firstLineChars="0"/>
      <w:jc w:val="center"/>
    </w:pPr>
    <w:rPr>
      <w:rFonts w:ascii="Times New Roman" w:hAnsi="Times New Roman" w:eastAsia="宋体"/>
      <w:sz w:val="21"/>
    </w:rPr>
  </w:style>
  <w:style w:type="paragraph" w:customStyle="1" w:styleId="25">
    <w:name w:val="表文字"/>
    <w:basedOn w:val="1"/>
    <w:qFormat/>
    <w:uiPriority w:val="0"/>
    <w:pPr>
      <w:spacing w:line="240" w:lineRule="auto"/>
      <w:ind w:firstLine="0" w:firstLineChars="0"/>
      <w:jc w:val="center"/>
    </w:pPr>
    <w:rPr>
      <w:bCs/>
      <w:sz w:val="21"/>
      <w:szCs w:val="24"/>
      <w:lang w:eastAsia="en-US"/>
    </w:rPr>
  </w:style>
  <w:style w:type="paragraph" w:customStyle="1" w:styleId="26">
    <w:name w:val="表格文字"/>
    <w:basedOn w:val="1"/>
    <w:qFormat/>
    <w:uiPriority w:val="0"/>
    <w:pPr>
      <w:adjustRightInd w:val="0"/>
      <w:snapToGrid w:val="0"/>
      <w:spacing w:line="240" w:lineRule="auto"/>
      <w:ind w:firstLine="0" w:firstLineChars="0"/>
      <w:jc w:val="center"/>
    </w:pPr>
    <w:rPr>
      <w:kern w:val="2"/>
      <w:sz w:val="21"/>
      <w:szCs w:val="21"/>
    </w:rPr>
  </w:style>
  <w:style w:type="table" w:customStyle="1" w:styleId="27">
    <w:name w:val="表格主题1"/>
    <w:basedOn w:val="16"/>
    <w:qFormat/>
    <w:uiPriority w:val="0"/>
    <w:pPr>
      <w:widowControl w:val="0"/>
      <w:adjustRightInd w:val="0"/>
      <w:snapToGrid w:val="0"/>
      <w:spacing w:line="312"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5 正文航宇"/>
    <w:basedOn w:val="1"/>
    <w:qFormat/>
    <w:uiPriority w:val="0"/>
    <w:pPr>
      <w:tabs>
        <w:tab w:val="left" w:pos="1980"/>
        <w:tab w:val="left" w:pos="3825"/>
        <w:tab w:val="left" w:pos="4680"/>
      </w:tabs>
      <w:adjustRightInd w:val="0"/>
      <w:snapToGrid w:val="0"/>
      <w:ind w:firstLine="200" w:firstLineChars="200"/>
    </w:pPr>
    <w:rPr>
      <w:rFonts w:cs="Times New Roman"/>
      <w:szCs w:val="21"/>
      <w:lang w:val="zh-CN" w:eastAsia="en-US" w:bidi="en-US"/>
    </w:rPr>
  </w:style>
  <w:style w:type="paragraph" w:customStyle="1" w:styleId="29">
    <w:name w:val="图表标题"/>
    <w:basedOn w:val="1"/>
    <w:link w:val="31"/>
    <w:qFormat/>
    <w:uiPriority w:val="0"/>
    <w:pPr>
      <w:jc w:val="center"/>
    </w:pPr>
    <w:rPr>
      <w:rFonts w:ascii="Times New Roman" w:hAnsi="Times New Roman" w:eastAsia="宋体"/>
      <w:b/>
      <w:sz w:val="21"/>
    </w:rPr>
  </w:style>
  <w:style w:type="paragraph" w:customStyle="1" w:styleId="30">
    <w:name w:val="表头"/>
    <w:basedOn w:val="1"/>
    <w:next w:val="1"/>
    <w:qFormat/>
    <w:uiPriority w:val="0"/>
    <w:pPr>
      <w:ind w:firstLine="0" w:firstLineChars="0"/>
      <w:contextualSpacing/>
      <w:jc w:val="center"/>
    </w:pPr>
    <w:rPr>
      <w:rFonts w:cs="宋体"/>
      <w:b/>
      <w:bCs/>
      <w:sz w:val="21"/>
      <w:szCs w:val="21"/>
    </w:rPr>
  </w:style>
  <w:style w:type="character" w:customStyle="1" w:styleId="31">
    <w:name w:val="图表标题 Char"/>
    <w:link w:val="29"/>
    <w:qFormat/>
    <w:uiPriority w:val="0"/>
    <w:rPr>
      <w:rFonts w:ascii="Times New Roman" w:hAnsi="Times New Roman" w:eastAsia="宋体"/>
      <w:b/>
      <w:sz w:val="21"/>
    </w:rPr>
  </w:style>
  <w:style w:type="paragraph" w:customStyle="1" w:styleId="32">
    <w:name w:val="括号标题"/>
    <w:basedOn w:val="1"/>
    <w:qFormat/>
    <w:uiPriority w:val="0"/>
    <w:pPr>
      <w:ind w:firstLine="360" w:firstLineChars="150"/>
    </w:pPr>
    <w:rPr>
      <w:rFonts w:ascii="Times New Roman" w:hAnsi="Times New Roman"/>
    </w:rPr>
  </w:style>
  <w:style w:type="paragraph" w:customStyle="1" w:styleId="33">
    <w:name w:val="5正文"/>
    <w:basedOn w:val="1"/>
    <w:qFormat/>
    <w:uiPriority w:val="0"/>
    <w:pPr>
      <w:spacing w:line="360" w:lineRule="auto"/>
      <w:ind w:firstLine="482" w:firstLineChars="200"/>
    </w:pPr>
    <w:rPr>
      <w:rFonts w:ascii="Times New Roman" w:hAnsi="Times New Roman" w:eastAsia="宋体" w:cs="Times New Roman"/>
      <w:kern w:val="0"/>
      <w:sz w:val="24"/>
      <w:szCs w:val="24"/>
    </w:rPr>
  </w:style>
  <w:style w:type="character" w:customStyle="1" w:styleId="34">
    <w:name w:val="font01"/>
    <w:basedOn w:val="13"/>
    <w:qFormat/>
    <w:uiPriority w:val="0"/>
    <w:rPr>
      <w:rFonts w:hint="eastAsia" w:ascii="宋体" w:hAnsi="宋体" w:eastAsia="宋体" w:cs="宋体"/>
      <w:color w:val="000000"/>
      <w:sz w:val="21"/>
      <w:szCs w:val="21"/>
      <w:u w:val="none"/>
    </w:rPr>
  </w:style>
  <w:style w:type="character" w:customStyle="1" w:styleId="35">
    <w:name w:val="font11"/>
    <w:basedOn w:val="13"/>
    <w:qFormat/>
    <w:uiPriority w:val="0"/>
    <w:rPr>
      <w:rFonts w:hint="default" w:ascii="Times New Roman" w:hAnsi="Times New Roman" w:cs="Times New Roman"/>
      <w:color w:val="000000"/>
      <w:sz w:val="21"/>
      <w:szCs w:val="21"/>
      <w:u w:val="none"/>
    </w:rPr>
  </w:style>
  <w:style w:type="paragraph" w:customStyle="1" w:styleId="36">
    <w:name w:val="附件标题"/>
    <w:basedOn w:val="4"/>
    <w:qFormat/>
    <w:uiPriority w:val="0"/>
    <w:pPr>
      <w:ind w:firstLine="0" w:firstLineChars="0"/>
    </w:pPr>
    <w:rPr>
      <w:rFonts w:ascii="Times New Roman" w:hAnsi="Times New Roman" w:eastAsia="宋体"/>
      <w:b w:val="0"/>
      <w:sz w:val="24"/>
    </w:rPr>
  </w:style>
  <w:style w:type="character" w:customStyle="1" w:styleId="37">
    <w:name w:val="font61"/>
    <w:basedOn w:val="13"/>
    <w:qFormat/>
    <w:uiPriority w:val="0"/>
    <w:rPr>
      <w:rFonts w:hint="eastAsia" w:ascii="宋体" w:hAnsi="宋体" w:eastAsia="宋体" w:cs="宋体"/>
      <w:color w:val="000000"/>
      <w:sz w:val="20"/>
      <w:szCs w:val="20"/>
      <w:u w:val="none"/>
    </w:rPr>
  </w:style>
  <w:style w:type="character" w:customStyle="1" w:styleId="38">
    <w:name w:val="font21"/>
    <w:basedOn w:val="13"/>
    <w:qFormat/>
    <w:uiPriority w:val="0"/>
    <w:rPr>
      <w:rFonts w:hint="eastAsia" w:ascii="宋体" w:hAnsi="宋体" w:eastAsia="宋体" w:cs="宋体"/>
      <w:color w:val="000000"/>
      <w:sz w:val="20"/>
      <w:szCs w:val="20"/>
      <w:u w:val="none"/>
    </w:rPr>
  </w:style>
  <w:style w:type="character" w:customStyle="1" w:styleId="39">
    <w:name w:val="font31"/>
    <w:basedOn w:val="13"/>
    <w:qFormat/>
    <w:uiPriority w:val="0"/>
    <w:rPr>
      <w:rFonts w:hint="default" w:ascii="Times New Roman" w:hAnsi="Times New Roman" w:cs="Times New Roman"/>
      <w:color w:val="000000"/>
      <w:sz w:val="20"/>
      <w:szCs w:val="20"/>
      <w:u w:val="none"/>
    </w:rPr>
  </w:style>
  <w:style w:type="character" w:customStyle="1" w:styleId="40">
    <w:name w:val="font71"/>
    <w:basedOn w:val="13"/>
    <w:qFormat/>
    <w:uiPriority w:val="0"/>
    <w:rPr>
      <w:rFonts w:hint="default" w:ascii="Times New Roman" w:hAnsi="Times New Roman" w:cs="Times New Roman"/>
      <w:color w:val="000000"/>
      <w:sz w:val="20"/>
      <w:szCs w:val="20"/>
      <w:u w:val="none"/>
      <w:vertAlign w:val="superscript"/>
    </w:rPr>
  </w:style>
  <w:style w:type="character" w:customStyle="1" w:styleId="41">
    <w:name w:val="font81"/>
    <w:basedOn w:val="13"/>
    <w:qFormat/>
    <w:uiPriority w:val="0"/>
    <w:rPr>
      <w:rFonts w:hint="default" w:ascii="Times New Roman" w:hAnsi="Times New Roman" w:cs="Times New Roman"/>
      <w:color w:val="000000"/>
      <w:sz w:val="18"/>
      <w:szCs w:val="18"/>
      <w:u w:val="none"/>
    </w:rPr>
  </w:style>
  <w:style w:type="character" w:customStyle="1" w:styleId="42">
    <w:name w:val="font91"/>
    <w:basedOn w:val="13"/>
    <w:qFormat/>
    <w:uiPriority w:val="0"/>
    <w:rPr>
      <w:rFonts w:hint="default" w:ascii="Times New Roman" w:hAnsi="Times New Roman" w:cs="Times New Roman"/>
      <w:color w:val="000000"/>
      <w:sz w:val="18"/>
      <w:szCs w:val="18"/>
      <w:u w:val="none"/>
      <w:vertAlign w:val="superscript"/>
    </w:rPr>
  </w:style>
  <w:style w:type="character" w:customStyle="1" w:styleId="43">
    <w:name w:val="font41"/>
    <w:basedOn w:val="1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陈锐丰</cp:lastModifiedBy>
  <dcterms:modified xsi:type="dcterms:W3CDTF">2020-08-14T02:10:05Z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