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tLeast"/>
        <w:rPr>
          <w:rFonts w:hint="eastAsia"/>
          <w:sz w:val="24"/>
        </w:rPr>
      </w:pPr>
      <w:r>
        <w:rPr>
          <w:rFonts w:hint="eastAsia"/>
          <w:sz w:val="24"/>
        </w:rPr>
        <w:t>附件</w:t>
      </w:r>
    </w:p>
    <w:p>
      <w:pPr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bCs/>
          <w:sz w:val="24"/>
        </w:rPr>
        <w:t>揭市发改能源标[201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]</w:t>
      </w:r>
      <w:r>
        <w:rPr>
          <w:rFonts w:hint="eastAsia" w:ascii="宋体" w:hAnsi="宋体"/>
          <w:bCs/>
          <w:sz w:val="24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号</w:t>
      </w:r>
    </w:p>
    <w:p>
      <w:pPr>
        <w:adjustRightInd w:val="0"/>
        <w:snapToGrid w:val="0"/>
        <w:spacing w:line="480" w:lineRule="atLeast"/>
        <w:rPr>
          <w:rFonts w:hint="eastAsia"/>
          <w:sz w:val="24"/>
        </w:rPr>
      </w:pPr>
    </w:p>
    <w:p>
      <w:pPr>
        <w:adjustRightInd w:val="0"/>
        <w:snapToGrid w:val="0"/>
        <w:spacing w:line="480" w:lineRule="atLeast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招标</w:t>
      </w:r>
      <w:r>
        <w:rPr>
          <w:rFonts w:hint="eastAsia"/>
          <w:b/>
          <w:bCs/>
          <w:sz w:val="36"/>
          <w:szCs w:val="36"/>
        </w:rPr>
        <w:t>核准</w:t>
      </w:r>
      <w:r>
        <w:rPr>
          <w:b/>
          <w:bCs/>
          <w:sz w:val="36"/>
          <w:szCs w:val="36"/>
        </w:rPr>
        <w:t>意见表</w:t>
      </w:r>
    </w:p>
    <w:p>
      <w:pPr>
        <w:adjustRightInd w:val="0"/>
        <w:snapToGrid w:val="0"/>
        <w:spacing w:line="480" w:lineRule="atLeast"/>
        <w:rPr>
          <w:sz w:val="24"/>
        </w:rPr>
      </w:pPr>
    </w:p>
    <w:p>
      <w:pPr>
        <w:adjustRightInd w:val="0"/>
        <w:snapToGrid w:val="0"/>
        <w:spacing w:line="480" w:lineRule="atLeast"/>
        <w:rPr>
          <w:rFonts w:hint="eastAsia" w:ascii="宋体" w:hAnsi="宋体" w:eastAsia="宋体" w:cs="宋体"/>
          <w:snapToGrid w:val="0"/>
          <w:sz w:val="24"/>
          <w:szCs w:val="24"/>
        </w:rPr>
      </w:pPr>
      <w:r>
        <w:rPr>
          <w:rFonts w:hint="eastAsia"/>
          <w:sz w:val="24"/>
        </w:rPr>
        <w:t>建设</w:t>
      </w:r>
      <w:r>
        <w:rPr>
          <w:sz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国家电投揭阳前詹一海上风电场项目（1200MW）</w:t>
      </w:r>
    </w:p>
    <w:tbl>
      <w:tblPr>
        <w:tblStyle w:val="4"/>
        <w:tblW w:w="8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5"/>
        <w:gridCol w:w="1024"/>
        <w:gridCol w:w="1018"/>
        <w:gridCol w:w="1093"/>
        <w:gridCol w:w="1094"/>
        <w:gridCol w:w="961"/>
        <w:gridCol w:w="964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</w:trPr>
        <w:tc>
          <w:tcPr>
            <w:tcW w:w="1515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内 容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招标范围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w w:val="9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招标组织形式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招标方式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不采用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招标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8" w:hRule="atLeast"/>
        </w:trPr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全部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部分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自行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委托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公开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邀请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勘 察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设 计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建筑工程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安装工程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监 理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设备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重要材料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其 他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3" w:hRule="atLeast"/>
        </w:trPr>
        <w:tc>
          <w:tcPr>
            <w:tcW w:w="8972" w:type="dxa"/>
            <w:gridSpan w:val="8"/>
          </w:tcPr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审批部门核准意见说明：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国家电投揭阳前詹一海上风电场项目（1200MW）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动态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总投资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219.209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亿元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。根据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《广东省实施&lt;中华人民共和国招标投标法&gt;办法》有关规定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，同意核准该项目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采用公开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招投标方式。</w:t>
            </w: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ind w:firstLine="6480" w:firstLineChars="27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2018年12月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480" w:lineRule="atLeast"/>
              <w:ind w:firstLine="6160" w:firstLineChars="2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701" w:right="1418" w:bottom="1418" w:left="1418" w:header="1021" w:footer="1021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B2C3C"/>
    <w:rsid w:val="0BD43926"/>
    <w:rsid w:val="120B2C3C"/>
    <w:rsid w:val="2BBE37B4"/>
    <w:rsid w:val="612A0B1B"/>
    <w:rsid w:val="7B356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2018-12-10T08:11:00Z</dcterms:created>
  <dc:creator>陈励</dc:creator>
  <cp:lastModifiedBy>陈励</cp:lastModifiedBy>
  <cp:lastPrinted>2018-12-10T08:14:00Z</cp:lastPrinted>
  <dcterms:modified xsi:type="dcterms:W3CDTF">2018-12-11T07:17:40Z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