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b w:val="0"/>
          <w:bCs w:val="0"/>
          <w:kern w:val="2"/>
          <w:sz w:val="44"/>
          <w:szCs w:val="44"/>
          <w:lang w:val="en-US" w:eastAsia="zh-CN" w:bidi="ar-SA"/>
        </w:rPr>
        <w:t>揭阳市医保定点医药机构资源配置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kern w:val="2"/>
          <w:sz w:val="44"/>
          <w:szCs w:val="44"/>
          <w:lang w:val="en-US" w:eastAsia="zh-CN" w:bidi="ar-SA"/>
        </w:rPr>
        <w:t>规划</w:t>
      </w:r>
      <w:r>
        <w:rPr>
          <w:rFonts w:hint="eastAsia" w:ascii="方正小标宋简体" w:hAnsi="方正小标宋简体" w:eastAsia="方正小标宋简体" w:cs="方正小标宋简体"/>
          <w:b w:val="0"/>
          <w:bCs w:val="0"/>
          <w:sz w:val="44"/>
          <w:szCs w:val="44"/>
          <w:lang w:val="en-US" w:eastAsia="zh-CN"/>
        </w:rPr>
        <w:t>（2026-2030年）（征求意见稿）</w:t>
      </w:r>
      <w:r>
        <w:rPr>
          <w:rFonts w:hint="eastAsia" w:ascii="方正小标宋简体" w:hAnsi="方正小标宋简体" w:eastAsia="方正小标宋简体" w:cs="方正小标宋简体"/>
          <w:sz w:val="44"/>
          <w:szCs w:val="4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的起草说明</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《规划》出台背景</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2026年4月</w:t>
      </w:r>
      <w:r>
        <w:rPr>
          <w:rFonts w:hint="eastAsia" w:ascii="仿宋_GB2312" w:hAnsi="仿宋_GB2312" w:eastAsia="仿宋_GB2312" w:cs="仿宋_GB2312"/>
          <w:sz w:val="32"/>
          <w:szCs w:val="32"/>
        </w:rPr>
        <w:t>，省医保局印发《广东省医疗保障局关于开展医保定点医药机构资源配置规划工作的通知》(粤医保函</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〔2026〕82号</w:t>
      </w:r>
      <w:r>
        <w:rPr>
          <w:rFonts w:hint="eastAsia" w:ascii="仿宋_GB2312" w:hAnsi="仿宋_GB2312" w:eastAsia="仿宋_GB2312" w:cs="仿宋_GB2312"/>
          <w:sz w:val="32"/>
          <w:szCs w:val="32"/>
        </w:rPr>
        <w:t>)，明确要求“各地要在</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2026年10月</w:t>
      </w:r>
      <w:r>
        <w:rPr>
          <w:rFonts w:hint="eastAsia" w:ascii="仿宋_GB2312" w:hAnsi="仿宋_GB2312" w:eastAsia="仿宋_GB2312" w:cs="仿宋_GB2312"/>
          <w:sz w:val="32"/>
          <w:szCs w:val="32"/>
        </w:rPr>
        <w:t>底前制定本地区医保定点医药机构资源配置规划”。为落实相关工作要求，科学引导医保定点医药机构资源合理配置，结合本市实际，我局起草了《</w:t>
      </w:r>
      <w:r>
        <w:rPr>
          <w:rFonts w:hint="eastAsia" w:ascii="仿宋_GB2312" w:hAnsi="仿宋_GB2312" w:eastAsia="仿宋_GB2312" w:cs="仿宋_GB2312"/>
          <w:sz w:val="32"/>
          <w:szCs w:val="32"/>
          <w:lang w:val="en-US" w:eastAsia="zh-CN"/>
        </w:rPr>
        <w:t>揭阳市医保定点</w:t>
      </w:r>
      <w:r>
        <w:rPr>
          <w:rFonts w:hint="eastAsia" w:ascii="仿宋_GB2312" w:hAnsi="仿宋_GB2312" w:eastAsia="仿宋_GB2312" w:cs="仿宋_GB2312"/>
          <w:sz w:val="32"/>
          <w:szCs w:val="32"/>
        </w:rPr>
        <w:t>医药机构资源配置规划</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2026-2030年）</w:t>
      </w:r>
      <w:r>
        <w:rPr>
          <w:rFonts w:hint="eastAsia" w:ascii="仿宋_GB2312" w:hAnsi="仿宋_GB2312" w:eastAsia="仿宋_GB2312" w:cs="仿宋_GB2312"/>
          <w:sz w:val="32"/>
          <w:szCs w:val="32"/>
        </w:rPr>
        <w:t>(征求意见稿)》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二、《规划》制定的政策依据</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1.</w:t>
      </w:r>
      <w:r>
        <w:rPr>
          <w:rFonts w:hint="eastAsia" w:ascii="仿宋_GB2312" w:hAnsi="仿宋_GB2312" w:eastAsia="仿宋_GB2312" w:cs="仿宋_GB2312"/>
          <w:sz w:val="32"/>
          <w:szCs w:val="32"/>
        </w:rPr>
        <w:t>《医疗机构医疗保障定点管理暂行办法》(国家医疗保障局令第</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sz w:val="32"/>
          <w:szCs w:val="32"/>
        </w:rPr>
        <w:t>《零售药店医疗保障定点管理暂行办法》(国家医疗保障局令第</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sz w:val="32"/>
          <w:szCs w:val="32"/>
        </w:rPr>
        <w:t>《广东省医疗保障局关于开展医保定点医药机构资源配置规划工作的通知》(粤医保函</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〔2026〕82</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三、《规划》主要内容</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《规划》共分为五部分，分别为规划背景、总体目标、</w:t>
      </w:r>
      <w:r>
        <w:rPr>
          <w:rFonts w:hint="eastAsia" w:ascii="仿宋_GB2312" w:hAnsi="仿宋_GB2312" w:eastAsia="仿宋_GB2312" w:cs="仿宋_GB2312"/>
          <w:sz w:val="32"/>
          <w:szCs w:val="32"/>
          <w:lang w:val="en-US" w:eastAsia="zh-CN"/>
        </w:rPr>
        <w:t>基本原则、分类型资源配置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工作要求</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分类型资源配置</w:t>
      </w:r>
      <w:r>
        <w:rPr>
          <w:rFonts w:hint="eastAsia" w:ascii="仿宋_GB2312" w:hAnsi="仿宋_GB2312" w:eastAsia="仿宋_GB2312" w:cs="仿宋_GB2312"/>
          <w:sz w:val="32"/>
          <w:szCs w:val="32"/>
        </w:rPr>
        <w:t>部分，分为住院类定点医疗机构资源配置规划、门诊类定点医疗机构资源配置规划、定点零售药店资源配置规划、特殊情形等内容，详细介绍了住院类定点医疗机构、门诊类定点医疗机构、定点零售药店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特殊情形</w:t>
      </w:r>
      <w:r>
        <w:rPr>
          <w:rFonts w:hint="eastAsia" w:ascii="仿宋_GB2312" w:hAnsi="仿宋_GB2312" w:eastAsia="仿宋_GB2312" w:cs="仿宋_GB2312"/>
          <w:sz w:val="32"/>
          <w:szCs w:val="32"/>
        </w:rPr>
        <w:t>的配置原则、准入规则、存量管理等内容</w:t>
      </w:r>
      <w:r>
        <w:rPr>
          <w:rFonts w:hint="eastAsia" w:ascii="仿宋_GB2312" w:hAnsi="仿宋_GB2312" w:eastAsia="仿宋_GB2312" w:cs="仿宋_GB2312"/>
          <w:sz w:val="32"/>
          <w:szCs w:val="32"/>
          <w:lang w:eastAsia="zh-CN"/>
        </w:rPr>
        <w:t>。</w:t>
      </w:r>
    </w:p>
    <w:p>
      <w:bookmarkStart w:id="0" w:name="_GoBack"/>
      <w:bookmarkEnd w:id="0"/>
    </w:p>
    <w:sectPr>
      <w:headerReference r:id="rId3" w:type="default"/>
      <w:footerReference r:id="rId4" w:type="default"/>
      <w:pgSz w:w="11905" w:h="16840"/>
      <w:pgMar w:top="1701" w:right="1417" w:bottom="1701"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auto"/>
    <w:pitch w:val="default"/>
    <w:sig w:usb0="00000000" w:usb1="00000000" w:usb2="00000012" w:usb3="00000000" w:csb0="00040001"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10142"/>
    <w:rsid w:val="4E217CDF"/>
    <w:rsid w:val="4F210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customStyle="1" w:styleId="2">
    <w:name w:val="Default"/>
    <w:basedOn w:val="3"/>
    <w:next w:val="1"/>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
    <w:name w:val="标题 2 New"/>
    <w:basedOn w:val="3"/>
    <w:next w:val="3"/>
    <w:qFormat/>
    <w:uiPriority w:val="0"/>
    <w:pPr>
      <w:keepNext/>
      <w:keepLines/>
      <w:spacing w:line="416" w:lineRule="auto"/>
      <w:outlineLvl w:val="1"/>
    </w:pPr>
    <w:rPr>
      <w:rFonts w:ascii="Calibri Light" w:hAnsi="Calibri Light"/>
      <w:b/>
      <w:bCs/>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揭阳市人力资源和社会保障局</Company>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2026-09-22T03:27:00Z</dcterms:created>
  <dc:creator>Administrator</dc:creator>
  <cp:lastModifiedBy>Administrator</cp:lastModifiedBy>
  <dcterms:modified xsi:type="dcterms:W3CDTF">2026-09-24T01:13:30Z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