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附件1</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方正小标宋简体" w:hAnsi="方正小标宋简体" w:eastAsia="方正小标宋简体" w:cs="方正小标宋简体"/>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揭阳市医保定点医药机构资源配置规划</w:t>
      </w: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（2026-2030年）（征求意见稿）</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方正小标宋简体" w:hAnsi="方正小标宋简体" w:eastAsia="方正小标宋简体" w:cs="方正小标宋简体"/>
        </w:rPr>
      </w:pPr>
    </w:p>
    <w:p>
      <w:pPr>
        <w:keepNext w:val="0"/>
        <w:keepLines w:val="0"/>
        <w:pageBreakBefore w:val="0"/>
        <w:widowControl w:val="0"/>
        <w:kinsoku/>
        <w:wordWrap/>
        <w:overflowPunct/>
        <w:topLinePunct w:val="0"/>
        <w:autoSpaceDE/>
        <w:autoSpaceDN/>
        <w:bidi w:val="0"/>
        <w:adjustRightInd/>
        <w:snapToGrid/>
        <w:spacing w:line="540" w:lineRule="exact"/>
        <w:ind w:left="0" w:firstLine="640" w:firstLineChars="200"/>
        <w:jc w:val="both"/>
        <w:textAlignment w:val="auto"/>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14:textFill>
            <w14:solidFill>
              <w14:schemeClr w14:val="tx1"/>
            </w14:solidFill>
          </w14:textFill>
        </w:rPr>
      </w:pP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14:textFill>
            <w14:solidFill>
              <w14:schemeClr w14:val="tx1"/>
            </w14:solidFill>
          </w14:textFill>
        </w:rPr>
        <w:t>为进一步优化我市医保定点医药机构布局，统筹医疗、医保、医药协同发展，推动医保资源由规模扩张向提质增效转变，提升参保群众就医购药可及性，保障医保基金可持续运行，根据《医疗机构医疗保障定点管理暂行办法》（国家医疗保障局令第2号）、《零售药店医疗保障定点管理暂行办法》（国家医疗保障局令第3号）、《广东省医疗保障局关于开展医保定点医药机构资源配置规划工作的通知》（粤医保函〔2026〕82号），结合揭阳市人口结构、医疗资源现状、基金运行情况，编制本规划。</w:t>
      </w:r>
    </w:p>
    <w:p>
      <w:pPr>
        <w:keepNext w:val="0"/>
        <w:keepLines w:val="0"/>
        <w:pageBreakBefore w:val="0"/>
        <w:widowControl w:val="0"/>
        <w:kinsoku/>
        <w:wordWrap/>
        <w:overflowPunct/>
        <w:topLinePunct w:val="0"/>
        <w:autoSpaceDE/>
        <w:autoSpaceDN/>
        <w:bidi w:val="0"/>
        <w:adjustRightInd/>
        <w:snapToGrid/>
        <w:spacing w:line="540" w:lineRule="exact"/>
        <w:ind w:left="0" w:firstLine="640" w:firstLineChars="200"/>
        <w:jc w:val="both"/>
        <w:textAlignment w:val="auto"/>
        <w:outlineLvl w:val="1"/>
        <w:rPr>
          <w:rFonts w:hint="eastAsia" w:ascii="黑体" w:hAnsi="黑体" w:eastAsia="黑体" w:cs="黑体"/>
          <w:b w:val="0"/>
          <w:bCs w:val="0"/>
          <w:i w:val="0"/>
          <w:iCs w:val="0"/>
          <w:caps w:val="0"/>
          <w:color w:val="000000" w:themeColor="text1"/>
          <w:spacing w:val="0"/>
          <w:sz w:val="32"/>
          <w:szCs w:val="32"/>
          <w:highlight w:val="none"/>
          <w:shd w:val="clear" w:fill="FFFFFF"/>
          <w14:textFill>
            <w14:solidFill>
              <w14:schemeClr w14:val="tx1"/>
            </w14:solidFill>
          </w14:textFill>
        </w:rPr>
      </w:pPr>
      <w:bookmarkStart w:id="0" w:name="heading_1"/>
      <w:r>
        <w:rPr>
          <w:rFonts w:hint="eastAsia" w:ascii="黑体" w:hAnsi="黑体" w:eastAsia="黑体" w:cs="黑体"/>
          <w:b w:val="0"/>
          <w:bCs w:val="0"/>
          <w:i w:val="0"/>
          <w:iCs w:val="0"/>
          <w:caps w:val="0"/>
          <w:color w:val="000000" w:themeColor="text1"/>
          <w:spacing w:val="0"/>
          <w:sz w:val="32"/>
          <w:szCs w:val="32"/>
          <w:highlight w:val="none"/>
          <w:shd w:val="clear" w:fill="FFFFFF"/>
          <w14:textFill>
            <w14:solidFill>
              <w14:schemeClr w14:val="tx1"/>
            </w14:solidFill>
          </w14:textFill>
        </w:rPr>
        <w:t>一、</w:t>
      </w:r>
      <w:bookmarkEnd w:id="0"/>
      <w:r>
        <w:rPr>
          <w:rFonts w:hint="eastAsia" w:ascii="黑体" w:hAnsi="黑体" w:eastAsia="黑体" w:cs="黑体"/>
          <w:b w:val="0"/>
          <w:bCs w:val="0"/>
          <w:i w:val="0"/>
          <w:iCs w:val="0"/>
          <w:caps w:val="0"/>
          <w:color w:val="000000" w:themeColor="text1"/>
          <w:spacing w:val="0"/>
          <w:sz w:val="32"/>
          <w:szCs w:val="32"/>
          <w:highlight w:val="none"/>
          <w:shd w:val="clear" w:fill="FFFFFF"/>
          <w:lang w:eastAsia="zh-CN"/>
          <w14:textFill>
            <w14:solidFill>
              <w14:schemeClr w14:val="tx1"/>
            </w14:solidFill>
          </w14:textFill>
        </w:rPr>
        <w:t>规划背景</w:t>
      </w:r>
    </w:p>
    <w:p>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40" w:lineRule="exact"/>
        <w:ind w:left="0" w:right="0" w:firstLine="640" w:firstLineChars="200"/>
        <w:textAlignment w:val="auto"/>
        <w:rPr>
          <w:rFonts w:hint="eastAsia" w:ascii="Times New Roman" w:hAnsi="Times New Roman" w:eastAsia="仿宋_GB2312" w:cs="Times New Roman"/>
          <w:b w:val="0"/>
          <w:bCs w:val="0"/>
          <w:i w:val="0"/>
          <w:iCs w:val="0"/>
          <w:caps w:val="0"/>
          <w:color w:val="FF0000"/>
          <w:spacing w:val="0"/>
          <w:sz w:val="32"/>
          <w:szCs w:val="32"/>
          <w:highlight w:val="none"/>
          <w:shd w:val="clear" w:fill="FFFFFF"/>
          <w:lang w:eastAsia="zh-CN"/>
        </w:rPr>
      </w:pP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我市基本医疗保险制度实施以来，围绕“全覆盖、保基本、多层次、可持续”总体目标，持续健全以基本医疗保险为主体、大病保险为补充、医疗救助为托底的多层次医疗保障体系，医疗保障水平稳步提高。全市各类医保定点医药机构服务范围不断拓展，已形成覆盖住院、普通门诊、门诊特定病种及职工个人账户使用等内容的多元化服务格局，较好满足了参保群众基本就医购药需求。</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eastAsia="zh-CN"/>
          <w14:textFill>
            <w14:solidFill>
              <w14:schemeClr w14:val="tx1"/>
            </w14:solidFill>
          </w14:textFill>
        </w:rPr>
        <w:t>截至</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2025年底，揭阳市</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14:textFill>
            <w14:solidFill>
              <w14:schemeClr w14:val="tx1"/>
            </w14:solidFill>
          </w14:textFill>
        </w:rPr>
        <w:t>常住人口</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568.72</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14:textFill>
            <w14:solidFill>
              <w14:schemeClr w14:val="tx1"/>
            </w14:solidFill>
          </w14:textFill>
        </w:rPr>
        <w:t>万人，</w:t>
      </w: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14:textFill>
            <w14:solidFill>
              <w14:schemeClr w14:val="tx1"/>
            </w14:solidFill>
          </w14:textFill>
        </w:rPr>
        <w:t>常住人口城镇化率</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52.68</w:t>
      </w: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14:textFill>
            <w14:solidFill>
              <w14:schemeClr w14:val="tx1"/>
            </w14:solidFill>
          </w14:textFill>
        </w:rPr>
        <w:t>%</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eastAsia="zh-CN"/>
          <w14:textFill>
            <w14:solidFill>
              <w14:schemeClr w14:val="tx1"/>
            </w14:solidFill>
          </w14:textFill>
        </w:rPr>
        <w:t>，城镇常住人口规模为</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299.62</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eastAsia="zh-CN"/>
          <w14:textFill>
            <w14:solidFill>
              <w14:schemeClr w14:val="tx1"/>
            </w14:solidFill>
          </w14:textFill>
        </w:rPr>
        <w:t>万人，全市每千常住人口床位数</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4.76张，低于全省平均水平5.07张</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eastAsia="zh-CN"/>
          <w14:textFill>
            <w14:solidFill>
              <w14:schemeClr w14:val="tx1"/>
            </w14:solidFill>
          </w14:textFill>
        </w:rPr>
        <w:t>。截至</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2026年第二季度，</w:t>
      </w: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lang w:eastAsia="zh-CN"/>
          <w14:textFill>
            <w14:solidFill>
              <w14:schemeClr w14:val="tx1"/>
            </w14:solidFill>
          </w14:textFill>
        </w:rPr>
        <w:t>全市基本医疗参保人数为</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534.34</w:t>
      </w: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lang w:eastAsia="zh-CN"/>
          <w14:textFill>
            <w14:solidFill>
              <w14:schemeClr w14:val="tx1"/>
            </w14:solidFill>
          </w14:textFill>
        </w:rPr>
        <w:t>万人</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eastAsia="zh-CN"/>
          <w14:textFill>
            <w14:solidFill>
              <w14:schemeClr w14:val="tx1"/>
            </w14:solidFill>
          </w14:textFill>
        </w:rPr>
        <w:t>医保定点医疗机构</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169</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eastAsia="zh-CN"/>
          <w14:textFill>
            <w14:solidFill>
              <w14:schemeClr w14:val="tx1"/>
            </w14:solidFill>
          </w14:textFill>
        </w:rPr>
        <w:t>家，</w:t>
      </w: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lang w:eastAsia="zh-CN"/>
          <w14:textFill>
            <w14:solidFill>
              <w14:schemeClr w14:val="tx1"/>
            </w14:solidFill>
          </w14:textFill>
        </w:rPr>
        <w:t>平均每家医疗机构服务常住人口</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3.37万</w:t>
      </w: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lang w:eastAsia="zh-CN"/>
          <w14:textFill>
            <w14:solidFill>
              <w14:schemeClr w14:val="tx1"/>
            </w14:solidFill>
          </w14:textFill>
        </w:rPr>
        <w:t>人</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eastAsia="zh-CN"/>
          <w14:textFill>
            <w14:solidFill>
              <w14:schemeClr w14:val="tx1"/>
            </w14:solidFill>
          </w14:textFill>
        </w:rPr>
        <w:t>，其中三级定点医疗机构</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14</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eastAsia="zh-CN"/>
          <w14:textFill>
            <w14:solidFill>
              <w14:schemeClr w14:val="tx1"/>
            </w14:solidFill>
          </w14:textFill>
        </w:rPr>
        <w:t>家，二级定点医疗机构</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43</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eastAsia="zh-CN"/>
          <w14:textFill>
            <w14:solidFill>
              <w14:schemeClr w14:val="tx1"/>
            </w14:solidFill>
          </w14:textFill>
        </w:rPr>
        <w:t>家，一级及以下定点医疗机构</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112</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eastAsia="zh-CN"/>
          <w14:textFill>
            <w14:solidFill>
              <w14:schemeClr w14:val="tx1"/>
            </w14:solidFill>
          </w14:textFill>
        </w:rPr>
        <w:t>家</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eastAsia="zh-CN"/>
          <w14:textFill>
            <w14:solidFill>
              <w14:schemeClr w14:val="tx1"/>
            </w14:solidFill>
          </w14:textFill>
        </w:rPr>
        <w:t>医保定点零售药店</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494</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eastAsia="zh-CN"/>
          <w14:textFill>
            <w14:solidFill>
              <w14:schemeClr w14:val="tx1"/>
            </w14:solidFill>
          </w14:textFill>
        </w:rPr>
        <w:t>家，</w:t>
      </w: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lang w:eastAsia="zh-CN"/>
          <w14:textFill>
            <w14:solidFill>
              <w14:schemeClr w14:val="tx1"/>
            </w14:solidFill>
          </w14:textFill>
        </w:rPr>
        <w:t>平均每家定点</w:t>
      </w: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14:textFill>
            <w14:solidFill>
              <w14:schemeClr w14:val="tx1"/>
            </w14:solidFill>
          </w14:textFill>
        </w:rPr>
        <w:t>零售药店服务常住人口</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1.15万</w:t>
      </w: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14:textFill>
            <w14:solidFill>
              <w14:schemeClr w14:val="tx1"/>
            </w14:solidFill>
          </w14:textFill>
        </w:rPr>
        <w:t>人</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eastAsia="zh-CN"/>
          <w14:textFill>
            <w14:solidFill>
              <w14:schemeClr w14:val="tx1"/>
            </w14:solidFill>
          </w14:textFill>
        </w:rPr>
        <w:t>。</w:t>
      </w:r>
    </w:p>
    <w:p>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40" w:lineRule="exact"/>
        <w:ind w:left="0" w:right="0" w:firstLine="640" w:firstLineChars="200"/>
        <w:jc w:val="both"/>
        <w:textAlignment w:val="auto"/>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pP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我市各级各类医保定点医药机构在发展的同时，也存在城乡间、区域间以及综合与专科之间资源配置不均衡，医药服务质量不够高，医疗机构床位使用率低，基金运行压力不断加大等突出问题，医保基金价值购买作用未得到充分体现。根据国家、省市有关部署要求，有必要对我市医疗保障定点医药服务资源配置进行规划引领，引导定点医药机构合理布局，促进医药服务机构高质量发展，提高医疗保障服务供给质效，助推医保基金稳健可持续运行。</w:t>
      </w:r>
    </w:p>
    <w:p>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40" w:lineRule="exact"/>
        <w:ind w:left="0" w:right="0" w:firstLine="640" w:firstLineChars="200"/>
        <w:jc w:val="both"/>
        <w:textAlignment w:val="auto"/>
        <w:rPr>
          <w:rFonts w:hint="eastAsia" w:ascii="黑体" w:hAnsi="黑体" w:eastAsia="黑体" w:cs="黑体"/>
          <w:b w:val="0"/>
          <w:bCs w:val="0"/>
          <w:i w:val="0"/>
          <w:iCs w:val="0"/>
          <w:caps w:val="0"/>
          <w:color w:val="000000" w:themeColor="text1"/>
          <w:spacing w:val="0"/>
          <w:sz w:val="32"/>
          <w:szCs w:val="32"/>
          <w:highlight w:val="none"/>
          <w:shd w:val="clear" w:fill="FFFFFF"/>
          <w14:textFill>
            <w14:solidFill>
              <w14:schemeClr w14:val="tx1"/>
            </w14:solidFill>
          </w14:textFill>
        </w:rPr>
      </w:pPr>
      <w:bookmarkStart w:id="1" w:name="heading_4"/>
      <w:r>
        <w:rPr>
          <w:rFonts w:hint="eastAsia" w:ascii="黑体" w:hAnsi="黑体" w:eastAsia="黑体" w:cs="黑体"/>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二、</w:t>
      </w:r>
      <w:r>
        <w:rPr>
          <w:rFonts w:hint="eastAsia" w:ascii="黑体" w:hAnsi="黑体" w:eastAsia="黑体" w:cs="黑体"/>
          <w:b w:val="0"/>
          <w:bCs w:val="0"/>
          <w:i w:val="0"/>
          <w:iCs w:val="0"/>
          <w:caps w:val="0"/>
          <w:color w:val="000000" w:themeColor="text1"/>
          <w:spacing w:val="0"/>
          <w:sz w:val="32"/>
          <w:szCs w:val="32"/>
          <w:highlight w:val="none"/>
          <w:shd w:val="clear" w:fill="FFFFFF"/>
          <w14:textFill>
            <w14:solidFill>
              <w14:schemeClr w14:val="tx1"/>
            </w14:solidFill>
          </w14:textFill>
        </w:rPr>
        <w:t>总体目标</w:t>
      </w:r>
    </w:p>
    <w:p>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40" w:lineRule="exact"/>
        <w:ind w:left="0" w:right="0" w:firstLine="640" w:firstLineChars="200"/>
        <w:textAlignment w:val="auto"/>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pP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14:textFill>
            <w14:solidFill>
              <w14:schemeClr w14:val="tx1"/>
            </w14:solidFill>
          </w14:textFill>
        </w:rPr>
        <w:t>通过开展医保定点资源配置规划，充分发挥医保调节医疗服务行为</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eastAsia="zh-CN"/>
          <w14:textFill>
            <w14:solidFill>
              <w14:schemeClr w14:val="tx1"/>
            </w14:solidFill>
          </w14:textFill>
        </w:rPr>
        <w:t>和</w:t>
      </w: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14:textFill>
            <w14:solidFill>
              <w14:schemeClr w14:val="tx1"/>
            </w14:solidFill>
          </w14:textFill>
        </w:rPr>
        <w:t>引导医疗资源优化配置的杠杆作用，到</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eastAsia="zh-CN"/>
          <w14:textFill>
            <w14:solidFill>
              <w14:schemeClr w14:val="tx1"/>
            </w14:solidFill>
          </w14:textFill>
        </w:rPr>
        <w:t>“十五五”期末</w:t>
      </w: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14:textFill>
            <w14:solidFill>
              <w14:schemeClr w14:val="tx1"/>
            </w14:solidFill>
          </w14:textFill>
        </w:rPr>
        <w:t>，基本形成布局合理、资源优质、竞争适度、服务便捷</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eastAsia="zh-CN"/>
          <w14:textFill>
            <w14:solidFill>
              <w14:schemeClr w14:val="tx1"/>
            </w14:solidFill>
          </w14:textFill>
        </w:rPr>
        <w:t>、</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监管有力</w:t>
      </w: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14:textFill>
            <w14:solidFill>
              <w14:schemeClr w14:val="tx1"/>
            </w14:solidFill>
          </w14:textFill>
        </w:rPr>
        <w:t>的医保定点医药机构服务体系</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eastAsia="zh-CN"/>
          <w14:textFill>
            <w14:solidFill>
              <w14:schemeClr w14:val="tx1"/>
            </w14:solidFill>
          </w14:textFill>
        </w:rPr>
        <w:t>，</w:t>
      </w: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14:textFill>
            <w14:solidFill>
              <w14:schemeClr w14:val="tx1"/>
            </w14:solidFill>
          </w14:textFill>
        </w:rPr>
        <w:t>形成与区域经济社会发展水平、人民群众医疗需求</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及</w:t>
      </w: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14:textFill>
            <w14:solidFill>
              <w14:schemeClr w14:val="tx1"/>
            </w14:solidFill>
          </w14:textFill>
        </w:rPr>
        <w:t>医保基金可持续发展相适应的定点医药资源配置格局，不断满足新时代人民群众基本医疗保障需求</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eastAsia="zh-CN"/>
          <w14:textFill>
            <w14:solidFill>
              <w14:schemeClr w14:val="tx1"/>
            </w14:solidFill>
          </w14:textFill>
        </w:rPr>
        <w:t>，</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提升参保群众就医购药的获得感和幸福感。</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40" w:lineRule="exact"/>
        <w:ind w:left="0" w:right="0" w:firstLine="640" w:firstLineChars="200"/>
        <w:jc w:val="both"/>
        <w:textAlignment w:val="auto"/>
        <w:rPr>
          <w:rFonts w:hint="eastAsia" w:ascii="黑体" w:hAnsi="黑体" w:eastAsia="黑体" w:cs="黑体"/>
          <w:b w:val="0"/>
          <w:bCs w:val="0"/>
          <w:i w:val="0"/>
          <w:iCs w:val="0"/>
          <w:caps w:val="0"/>
          <w:color w:val="000000" w:themeColor="text1"/>
          <w:spacing w:val="0"/>
          <w:sz w:val="32"/>
          <w:szCs w:val="32"/>
          <w:highlight w:val="none"/>
          <w14:textFill>
            <w14:solidFill>
              <w14:schemeClr w14:val="tx1"/>
            </w14:solidFill>
          </w14:textFill>
        </w:rPr>
      </w:pPr>
      <w:r>
        <w:rPr>
          <w:rFonts w:hint="eastAsia" w:ascii="黑体" w:hAnsi="黑体" w:eastAsia="黑体" w:cs="黑体"/>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三</w:t>
      </w:r>
      <w:r>
        <w:rPr>
          <w:rFonts w:hint="eastAsia" w:ascii="黑体" w:hAnsi="黑体" w:eastAsia="黑体" w:cs="黑体"/>
          <w:b w:val="0"/>
          <w:bCs w:val="0"/>
          <w:i w:val="0"/>
          <w:iCs w:val="0"/>
          <w:caps w:val="0"/>
          <w:color w:val="000000" w:themeColor="text1"/>
          <w:spacing w:val="0"/>
          <w:sz w:val="32"/>
          <w:szCs w:val="32"/>
          <w:highlight w:val="none"/>
          <w:shd w:val="clear" w:fill="FFFFFF"/>
          <w14:textFill>
            <w14:solidFill>
              <w14:schemeClr w14:val="tx1"/>
            </w14:solidFill>
          </w14:textFill>
        </w:rPr>
        <w:t>、基本原则</w:t>
      </w:r>
    </w:p>
    <w:p>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40" w:lineRule="exact"/>
        <w:ind w:left="0" w:right="0" w:firstLine="640" w:firstLineChars="200"/>
        <w:jc w:val="both"/>
        <w:textAlignment w:val="auto"/>
        <w:rPr>
          <w:rFonts w:hint="eastAsia" w:ascii="Times New Roman" w:hAnsi="Times New Roman" w:eastAsia="仿宋_GB2312" w:cs="Times New Roman"/>
          <w:b w:val="0"/>
          <w:bCs w:val="0"/>
          <w:i w:val="0"/>
          <w:iCs w:val="0"/>
          <w:caps w:val="0"/>
          <w:color w:val="000000" w:themeColor="text1"/>
          <w:spacing w:val="0"/>
          <w:sz w:val="32"/>
          <w:szCs w:val="32"/>
          <w:highlight w:val="none"/>
          <w:lang w:eastAsia="zh-CN"/>
          <w14:textFill>
            <w14:solidFill>
              <w14:schemeClr w14:val="tx1"/>
            </w14:solidFill>
          </w14:textFill>
        </w:rPr>
      </w:pPr>
      <w:r>
        <w:rPr>
          <w:rFonts w:hint="eastAsia" w:ascii="楷体_GB2312" w:hAnsi="楷体_GB2312" w:eastAsia="楷体_GB2312" w:cs="楷体_GB2312"/>
          <w:b w:val="0"/>
          <w:bCs w:val="0"/>
          <w:i w:val="0"/>
          <w:iCs w:val="0"/>
          <w:caps w:val="0"/>
          <w:color w:val="000000" w:themeColor="text1"/>
          <w:spacing w:val="0"/>
          <w:sz w:val="32"/>
          <w:szCs w:val="32"/>
          <w:highlight w:val="none"/>
          <w:shd w:val="clear" w:fill="FFFFFF"/>
          <w14:textFill>
            <w14:solidFill>
              <w14:schemeClr w14:val="tx1"/>
            </w14:solidFill>
          </w14:textFill>
        </w:rPr>
        <w:t>（一）坚持健康优先，因地制宜。</w:t>
      </w: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14:textFill>
            <w14:solidFill>
              <w14:schemeClr w14:val="tx1"/>
            </w14:solidFill>
          </w14:textFill>
        </w:rPr>
        <w:t>坚持以人民健康为中心，充分考虑</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eastAsia="zh-CN"/>
          <w14:textFill>
            <w14:solidFill>
              <w14:schemeClr w14:val="tx1"/>
            </w14:solidFill>
          </w14:textFill>
        </w:rPr>
        <w:t>揭阳</w:t>
      </w: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14:textFill>
            <w14:solidFill>
              <w14:schemeClr w14:val="tx1"/>
            </w14:solidFill>
          </w14:textFill>
        </w:rPr>
        <w:t>市经济发展水平、人口规模与结构</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w:t>
      </w: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14:textFill>
            <w14:solidFill>
              <w14:schemeClr w14:val="tx1"/>
            </w14:solidFill>
          </w14:textFill>
        </w:rPr>
        <w:t>地理环境、疾病谱差异及医保基金状况等因素，科学制定医保资源</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配置</w:t>
      </w: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14:textFill>
            <w14:solidFill>
              <w14:schemeClr w14:val="tx1"/>
            </w14:solidFill>
          </w14:textFill>
        </w:rPr>
        <w:t>规划方案。</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eastAsia="zh-CN"/>
          <w14:textFill>
            <w14:solidFill>
              <w14:schemeClr w14:val="tx1"/>
            </w14:solidFill>
          </w14:textFill>
        </w:rPr>
        <w:t>充分发挥地方特色和优势，提升医保资源配置的精准性和有效性。</w:t>
      </w:r>
    </w:p>
    <w:p>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40" w:lineRule="exact"/>
        <w:ind w:left="0" w:right="0" w:firstLine="640" w:firstLineChars="200"/>
        <w:jc w:val="both"/>
        <w:textAlignment w:val="auto"/>
        <w:rPr>
          <w:rFonts w:hint="eastAsia" w:ascii="Times New Roman" w:hAnsi="Times New Roman" w:eastAsia="仿宋_GB2312" w:cs="Times New Roman"/>
          <w:b w:val="0"/>
          <w:bCs w:val="0"/>
          <w:i w:val="0"/>
          <w:iCs w:val="0"/>
          <w:caps w:val="0"/>
          <w:color w:val="000000" w:themeColor="text1"/>
          <w:spacing w:val="0"/>
          <w:sz w:val="32"/>
          <w:szCs w:val="32"/>
          <w:highlight w:val="none"/>
          <w:lang w:eastAsia="zh-CN"/>
          <w14:textFill>
            <w14:solidFill>
              <w14:schemeClr w14:val="tx1"/>
            </w14:solidFill>
          </w14:textFill>
        </w:rPr>
      </w:pPr>
      <w:r>
        <w:rPr>
          <w:rFonts w:hint="default" w:ascii="楷体_GB2312" w:hAnsi="楷体_GB2312" w:eastAsia="楷体_GB2312" w:cs="楷体_GB2312"/>
          <w:b w:val="0"/>
          <w:bCs w:val="0"/>
          <w:i w:val="0"/>
          <w:iCs w:val="0"/>
          <w:caps w:val="0"/>
          <w:color w:val="000000" w:themeColor="text1"/>
          <w:spacing w:val="0"/>
          <w:sz w:val="32"/>
          <w:szCs w:val="32"/>
          <w:highlight w:val="none"/>
          <w:shd w:val="clear" w:fill="FFFFFF"/>
          <w14:textFill>
            <w14:solidFill>
              <w14:schemeClr w14:val="tx1"/>
            </w14:solidFill>
          </w14:textFill>
        </w:rPr>
        <w:t>（二）坚持合理规划，分级分类。</w:t>
      </w: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14:textFill>
            <w14:solidFill>
              <w14:schemeClr w14:val="tx1"/>
            </w14:solidFill>
          </w14:textFill>
        </w:rPr>
        <w:t>充分考虑群众医疗需求与医保基金可持续发展要求，合理规划定点医药机构数量、布局和规模，有效调节门诊与住院的比例，统筹配置普通定点零售药店和</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eastAsia="zh-CN"/>
          <w14:textFill>
            <w14:solidFill>
              <w14:schemeClr w14:val="tx1"/>
            </w14:solidFill>
          </w14:textFill>
        </w:rPr>
        <w:t>“</w:t>
      </w: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14:textFill>
            <w14:solidFill>
              <w14:schemeClr w14:val="tx1"/>
            </w14:solidFill>
          </w14:textFill>
        </w:rPr>
        <w:t>双通道</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eastAsia="zh-CN"/>
          <w14:textFill>
            <w14:solidFill>
              <w14:schemeClr w14:val="tx1"/>
            </w14:solidFill>
          </w14:textFill>
        </w:rPr>
        <w:t>”</w:t>
      </w: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14:textFill>
            <w14:solidFill>
              <w14:schemeClr w14:val="tx1"/>
            </w14:solidFill>
          </w14:textFill>
        </w:rPr>
        <w:t>定点零售药店等</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eastAsia="zh-CN"/>
          <w14:textFill>
            <w14:solidFill>
              <w14:schemeClr w14:val="tx1"/>
            </w14:solidFill>
          </w14:textFill>
        </w:rPr>
        <w:t>，以优化增量为重点，促进分级诊疗，推动医保资源配置由规模扩张向质效齐升、结构优化转变。</w:t>
      </w:r>
    </w:p>
    <w:p>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40" w:lineRule="exact"/>
        <w:ind w:left="0" w:right="0" w:firstLine="640" w:firstLineChars="200"/>
        <w:jc w:val="both"/>
        <w:textAlignment w:val="auto"/>
        <w:rPr>
          <w:rFonts w:hint="eastAsia" w:ascii="Times New Roman" w:hAnsi="Times New Roman" w:eastAsia="仿宋_GB2312" w:cs="Times New Roman"/>
          <w:b w:val="0"/>
          <w:bCs w:val="0"/>
          <w:i w:val="0"/>
          <w:iCs w:val="0"/>
          <w:caps w:val="0"/>
          <w:color w:val="000000" w:themeColor="text1"/>
          <w:spacing w:val="0"/>
          <w:sz w:val="32"/>
          <w:szCs w:val="32"/>
          <w:highlight w:val="none"/>
          <w:lang w:eastAsia="zh-CN"/>
          <w14:textFill>
            <w14:solidFill>
              <w14:schemeClr w14:val="tx1"/>
            </w14:solidFill>
          </w14:textFill>
        </w:rPr>
      </w:pPr>
      <w:r>
        <w:rPr>
          <w:rFonts w:hint="default" w:ascii="楷体_GB2312" w:hAnsi="楷体_GB2312" w:eastAsia="楷体_GB2312" w:cs="楷体_GB2312"/>
          <w:b w:val="0"/>
          <w:bCs w:val="0"/>
          <w:i w:val="0"/>
          <w:iCs w:val="0"/>
          <w:caps w:val="0"/>
          <w:color w:val="000000" w:themeColor="text1"/>
          <w:spacing w:val="0"/>
          <w:sz w:val="32"/>
          <w:szCs w:val="32"/>
          <w:highlight w:val="none"/>
          <w:shd w:val="clear" w:fill="FFFFFF"/>
          <w14:textFill>
            <w14:solidFill>
              <w14:schemeClr w14:val="tx1"/>
            </w14:solidFill>
          </w14:textFill>
        </w:rPr>
        <w:t>（三）坚持动态管理，协同发展。</w:t>
      </w: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14:textFill>
            <w14:solidFill>
              <w14:schemeClr w14:val="tx1"/>
            </w14:solidFill>
          </w14:textFill>
        </w:rPr>
        <w:t>持续优化定点医药资源规划，用好协议管理工具，完善准入标准与退出机制，</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eastAsia="zh-CN"/>
          <w14:textFill>
            <w14:solidFill>
              <w14:schemeClr w14:val="tx1"/>
            </w14:solidFill>
          </w14:textFill>
        </w:rPr>
        <w:t>结合建设分级诊疗体系、推进乡村全面振兴、完善生育支持和养老服务改革发展等政策要求，</w:t>
      </w: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14:textFill>
            <w14:solidFill>
              <w14:schemeClr w14:val="tx1"/>
            </w14:solidFill>
          </w14:textFill>
        </w:rPr>
        <w:t>加强与区域医疗机构设置规划协同，与经济社会发展规划衔接</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eastAsia="zh-CN"/>
          <w14:textFill>
            <w14:solidFill>
              <w14:schemeClr w14:val="tx1"/>
            </w14:solidFill>
          </w14:textFill>
        </w:rPr>
        <w:t>，促进定点医药机构高质量发展。</w:t>
      </w:r>
    </w:p>
    <w:bookmarkEnd w:id="1"/>
    <w:p>
      <w:pPr>
        <w:keepNext w:val="0"/>
        <w:keepLines w:val="0"/>
        <w:pageBreakBefore w:val="0"/>
        <w:widowControl w:val="0"/>
        <w:kinsoku/>
        <w:wordWrap/>
        <w:overflowPunct/>
        <w:topLinePunct w:val="0"/>
        <w:autoSpaceDE/>
        <w:autoSpaceDN/>
        <w:bidi w:val="0"/>
        <w:adjustRightInd/>
        <w:snapToGrid/>
        <w:spacing w:line="540" w:lineRule="exact"/>
        <w:ind w:left="0" w:firstLine="640" w:firstLineChars="200"/>
        <w:jc w:val="both"/>
        <w:textAlignment w:val="auto"/>
        <w:outlineLvl w:val="1"/>
        <w:rPr>
          <w:rFonts w:hint="eastAsia" w:ascii="黑体" w:hAnsi="黑体" w:eastAsia="黑体" w:cs="黑体"/>
          <w:b w:val="0"/>
          <w:bCs w:val="0"/>
          <w:i w:val="0"/>
          <w:iCs w:val="0"/>
          <w:caps w:val="0"/>
          <w:color w:val="000000" w:themeColor="text1"/>
          <w:spacing w:val="0"/>
          <w:kern w:val="0"/>
          <w:sz w:val="32"/>
          <w:szCs w:val="32"/>
          <w:highlight w:val="none"/>
          <w:shd w:val="clear" w:fill="FFFFFF"/>
          <w:lang w:val="en-US" w:eastAsia="zh-CN" w:bidi="ar"/>
          <w14:textFill>
            <w14:solidFill>
              <w14:schemeClr w14:val="tx1"/>
            </w14:solidFill>
          </w14:textFill>
        </w:rPr>
      </w:pPr>
      <w:bookmarkStart w:id="2" w:name="heading_8"/>
      <w:r>
        <w:rPr>
          <w:rFonts w:hint="eastAsia" w:ascii="黑体" w:hAnsi="黑体" w:eastAsia="黑体" w:cs="黑体"/>
          <w:b w:val="0"/>
          <w:bCs w:val="0"/>
          <w:i w:val="0"/>
          <w:iCs w:val="0"/>
          <w:caps w:val="0"/>
          <w:color w:val="000000" w:themeColor="text1"/>
          <w:spacing w:val="0"/>
          <w:kern w:val="0"/>
          <w:sz w:val="32"/>
          <w:szCs w:val="32"/>
          <w:highlight w:val="none"/>
          <w:shd w:val="clear" w:fill="FFFFFF"/>
          <w:lang w:val="en-US" w:eastAsia="zh-CN" w:bidi="ar"/>
          <w14:textFill>
            <w14:solidFill>
              <w14:schemeClr w14:val="tx1"/>
            </w14:solidFill>
          </w14:textFill>
        </w:rPr>
        <w:t>四、分类型资源配置</w:t>
      </w:r>
      <w:bookmarkEnd w:id="2"/>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40" w:lineRule="exact"/>
        <w:ind w:left="0" w:right="0" w:firstLine="640" w:firstLineChars="200"/>
        <w:jc w:val="both"/>
        <w:textAlignment w:val="auto"/>
        <w:rPr>
          <w:rFonts w:hint="eastAsia" w:ascii="楷体_GB2312" w:hAnsi="楷体_GB2312" w:eastAsia="楷体_GB2312" w:cs="楷体_GB2312"/>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pPr>
      <w:bookmarkStart w:id="3" w:name="heading_9"/>
      <w:r>
        <w:rPr>
          <w:rFonts w:hint="eastAsia" w:ascii="楷体_GB2312" w:hAnsi="楷体_GB2312" w:eastAsia="楷体_GB2312" w:cs="楷体_GB2312"/>
          <w:b w:val="0"/>
          <w:bCs w:val="0"/>
          <w:i w:val="0"/>
          <w:iCs w:val="0"/>
          <w:caps w:val="0"/>
          <w:color w:val="000000" w:themeColor="text1"/>
          <w:spacing w:val="0"/>
          <w:sz w:val="32"/>
          <w:szCs w:val="32"/>
          <w:highlight w:val="none"/>
          <w:shd w:val="clear" w:fill="FFFFFF"/>
          <w:lang w:eastAsia="zh-CN"/>
          <w14:textFill>
            <w14:solidFill>
              <w14:schemeClr w14:val="tx1"/>
            </w14:solidFill>
          </w14:textFill>
        </w:rPr>
        <w:t>（</w:t>
      </w:r>
      <w:r>
        <w:rPr>
          <w:rFonts w:hint="eastAsia" w:ascii="楷体_GB2312" w:hAnsi="楷体_GB2312" w:eastAsia="楷体_GB2312" w:cs="楷体_GB2312"/>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一</w:t>
      </w:r>
      <w:r>
        <w:rPr>
          <w:rFonts w:hint="eastAsia" w:ascii="楷体_GB2312" w:hAnsi="楷体_GB2312" w:eastAsia="楷体_GB2312" w:cs="楷体_GB2312"/>
          <w:b w:val="0"/>
          <w:bCs w:val="0"/>
          <w:i w:val="0"/>
          <w:iCs w:val="0"/>
          <w:caps w:val="0"/>
          <w:color w:val="000000" w:themeColor="text1"/>
          <w:spacing w:val="0"/>
          <w:sz w:val="32"/>
          <w:szCs w:val="32"/>
          <w:highlight w:val="none"/>
          <w:shd w:val="clear" w:fill="FFFFFF"/>
          <w:lang w:eastAsia="zh-CN"/>
          <w14:textFill>
            <w14:solidFill>
              <w14:schemeClr w14:val="tx1"/>
            </w14:solidFill>
          </w14:textFill>
        </w:rPr>
        <w:t>）</w:t>
      </w:r>
      <w:r>
        <w:rPr>
          <w:rFonts w:hint="eastAsia" w:ascii="楷体_GB2312" w:hAnsi="楷体_GB2312" w:eastAsia="楷体_GB2312" w:cs="楷体_GB2312"/>
          <w:b w:val="0"/>
          <w:bCs w:val="0"/>
          <w:i w:val="0"/>
          <w:iCs w:val="0"/>
          <w:caps w:val="0"/>
          <w:color w:val="000000" w:themeColor="text1"/>
          <w:spacing w:val="0"/>
          <w:sz w:val="32"/>
          <w:szCs w:val="32"/>
          <w:highlight w:val="none"/>
          <w:shd w:val="clear" w:fill="FFFFFF"/>
          <w14:textFill>
            <w14:solidFill>
              <w14:schemeClr w14:val="tx1"/>
            </w14:solidFill>
          </w14:textFill>
        </w:rPr>
        <w:t>住院类定点医疗机构</w:t>
      </w:r>
      <w:r>
        <w:rPr>
          <w:rFonts w:hint="eastAsia" w:ascii="楷体_GB2312" w:hAnsi="楷体_GB2312" w:eastAsia="楷体_GB2312" w:cs="楷体_GB2312"/>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资源配置规划</w:t>
      </w:r>
    </w:p>
    <w:p>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40" w:lineRule="exact"/>
        <w:ind w:left="0" w:right="0" w:firstLine="643" w:firstLineChars="200"/>
        <w:jc w:val="both"/>
        <w:textAlignment w:val="auto"/>
        <w:rPr>
          <w:rFonts w:hint="default" w:ascii="Times New Roman" w:hAnsi="Times New Roman" w:eastAsia="仿宋_GB2312" w:cs="Times New Roman"/>
          <w:b/>
          <w:bCs/>
          <w:i w:val="0"/>
          <w:iCs w:val="0"/>
          <w:caps w:val="0"/>
          <w:color w:val="000000" w:themeColor="text1"/>
          <w:spacing w:val="0"/>
          <w:sz w:val="32"/>
          <w:szCs w:val="32"/>
          <w:highlight w:val="none"/>
          <w:shd w:val="clear" w:fill="FFFFFF"/>
          <w:lang w:val="en-US" w:eastAsia="zh-CN"/>
          <w14:textFill>
            <w14:solidFill>
              <w14:schemeClr w14:val="tx1"/>
            </w14:solidFill>
          </w14:textFill>
        </w:rPr>
      </w:pPr>
      <w:r>
        <w:rPr>
          <w:rFonts w:hint="eastAsia" w:ascii="Times New Roman" w:hAnsi="Times New Roman" w:eastAsia="仿宋_GB2312" w:cs="Times New Roman"/>
          <w:b/>
          <w:bCs/>
          <w:i w:val="0"/>
          <w:iCs w:val="0"/>
          <w:caps w:val="0"/>
          <w:color w:val="000000" w:themeColor="text1"/>
          <w:spacing w:val="0"/>
          <w:sz w:val="32"/>
          <w:szCs w:val="32"/>
          <w:highlight w:val="none"/>
          <w:shd w:val="clear" w:fill="FFFFFF"/>
          <w:lang w:val="en-US" w:eastAsia="zh-CN"/>
          <w14:textFill>
            <w14:solidFill>
              <w14:schemeClr w14:val="tx1"/>
            </w14:solidFill>
          </w14:textFill>
        </w:rPr>
        <w:t>1.配置原则</w:t>
      </w:r>
    </w:p>
    <w:p>
      <w:pPr>
        <w:pStyle w:val="6"/>
        <w:keepNext w:val="0"/>
        <w:keepLines w:val="0"/>
        <w:pageBreakBefore w:val="0"/>
        <w:widowControl w:val="0"/>
        <w:suppressLineNumbers w:val="0"/>
        <w:kinsoku/>
        <w:wordWrap/>
        <w:overflowPunct/>
        <w:topLinePunct w:val="0"/>
        <w:autoSpaceDE/>
        <w:autoSpaceDN/>
        <w:bidi w:val="0"/>
        <w:adjustRightInd/>
        <w:snapToGrid/>
        <w:spacing w:beforeAutospacing="0" w:afterAutospacing="0" w:line="540" w:lineRule="exact"/>
        <w:ind w:left="0" w:right="0" w:firstLine="640" w:firstLineChars="200"/>
        <w:textAlignment w:val="auto"/>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pP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全市</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住院类医保定点医疗机构</w:t>
      </w: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床位实行总量</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管控</w:t>
      </w: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根据</w:t>
      </w: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《广东省基本医保定点医药机构资源配置测算参考》</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规划测算口径进行测算，结合</w:t>
      </w: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揭阳市卫生健康事业发展“十五五”规划</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床位数规划目标，到</w:t>
      </w: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规划期末（2030年），</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我市</w:t>
      </w: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每千常住人口</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定点</w:t>
      </w: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床位数控制</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目标上限为5.30</w:t>
      </w: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张。</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结合现有医院医保定点床位数，本市</w:t>
      </w: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三级、二级、一级</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及以下</w:t>
      </w: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医院床位</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配置</w:t>
      </w: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按照</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4.4</w:t>
      </w: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3.2</w:t>
      </w: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:2</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.4</w:t>
      </w: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进行管理</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。规划期内，全市可新增的医保住院床位数按规划总量与现有数量的差额确定。原则上</w:t>
      </w: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14:textFill>
            <w14:solidFill>
              <w14:schemeClr w14:val="tx1"/>
            </w14:solidFill>
          </w14:textFill>
        </w:rPr>
        <w:t>每个</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eastAsia="zh-CN"/>
          <w14:textFill>
            <w14:solidFill>
              <w14:schemeClr w14:val="tx1"/>
            </w14:solidFill>
          </w14:textFill>
        </w:rPr>
        <w:t>乡镇、</w:t>
      </w: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14:textFill>
            <w14:solidFill>
              <w14:schemeClr w14:val="tx1"/>
            </w14:solidFill>
          </w14:textFill>
        </w:rPr>
        <w:t>街道至少有1家</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eastAsia="zh-CN"/>
          <w14:textFill>
            <w14:solidFill>
              <w14:schemeClr w14:val="tx1"/>
            </w14:solidFill>
          </w14:textFill>
        </w:rPr>
        <w:t>卫生院</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w:t>
      </w: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14:textFill>
            <w14:solidFill>
              <w14:schemeClr w14:val="tx1"/>
            </w14:solidFill>
          </w14:textFill>
        </w:rPr>
        <w:t>社区卫生服务中心或一级</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eastAsia="zh-CN"/>
          <w14:textFill>
            <w14:solidFill>
              <w14:schemeClr w14:val="tx1"/>
            </w14:solidFill>
          </w14:textFill>
        </w:rPr>
        <w:t>及以下</w:t>
      </w: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14:textFill>
            <w14:solidFill>
              <w14:schemeClr w14:val="tx1"/>
            </w14:solidFill>
          </w14:textFill>
        </w:rPr>
        <w:t>医院作为定点医疗机构</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w:t>
      </w:r>
    </w:p>
    <w:p>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40" w:lineRule="exact"/>
        <w:ind w:left="0" w:right="0" w:firstLine="643" w:firstLineChars="200"/>
        <w:jc w:val="both"/>
        <w:textAlignment w:val="auto"/>
        <w:rPr>
          <w:rFonts w:hint="default" w:ascii="Times New Roman" w:hAnsi="Times New Roman" w:eastAsia="仿宋_GB2312" w:cs="Times New Roman"/>
          <w:b/>
          <w:bCs/>
          <w:i w:val="0"/>
          <w:iCs w:val="0"/>
          <w:caps w:val="0"/>
          <w:color w:val="000000" w:themeColor="text1"/>
          <w:spacing w:val="0"/>
          <w:sz w:val="32"/>
          <w:szCs w:val="32"/>
          <w:highlight w:val="none"/>
          <w:shd w:val="clear" w:fill="FFFFFF"/>
          <w:lang w:val="en-US" w:eastAsia="zh-CN"/>
          <w14:textFill>
            <w14:solidFill>
              <w14:schemeClr w14:val="tx1"/>
            </w14:solidFill>
          </w14:textFill>
        </w:rPr>
      </w:pPr>
      <w:r>
        <w:rPr>
          <w:rFonts w:hint="eastAsia" w:ascii="Times New Roman" w:hAnsi="Times New Roman" w:eastAsia="仿宋_GB2312" w:cs="Times New Roman"/>
          <w:b/>
          <w:bCs/>
          <w:i w:val="0"/>
          <w:iCs w:val="0"/>
          <w:caps w:val="0"/>
          <w:color w:val="000000" w:themeColor="text1"/>
          <w:spacing w:val="0"/>
          <w:sz w:val="32"/>
          <w:szCs w:val="32"/>
          <w:highlight w:val="none"/>
          <w:shd w:val="clear" w:fill="FFFFFF"/>
          <w:lang w:val="en-US" w:eastAsia="zh-CN"/>
          <w14:textFill>
            <w14:solidFill>
              <w14:schemeClr w14:val="tx1"/>
            </w14:solidFill>
          </w14:textFill>
        </w:rPr>
        <w:t>2.</w:t>
      </w:r>
      <w:r>
        <w:rPr>
          <w:rFonts w:hint="default" w:ascii="Times New Roman" w:hAnsi="Times New Roman" w:eastAsia="仿宋_GB2312" w:cs="Times New Roman"/>
          <w:b/>
          <w:bCs/>
          <w:i w:val="0"/>
          <w:iCs w:val="0"/>
          <w:caps w:val="0"/>
          <w:color w:val="000000" w:themeColor="text1"/>
          <w:spacing w:val="0"/>
          <w:sz w:val="32"/>
          <w:szCs w:val="32"/>
          <w:highlight w:val="none"/>
          <w:shd w:val="clear" w:fill="FFFFFF"/>
          <w:lang w:val="en-US" w:eastAsia="zh-CN"/>
          <w14:textFill>
            <w14:solidFill>
              <w14:schemeClr w14:val="tx1"/>
            </w14:solidFill>
          </w14:textFill>
        </w:rPr>
        <w:t>准入规则</w:t>
      </w:r>
    </w:p>
    <w:p>
      <w:pPr>
        <w:pStyle w:val="6"/>
        <w:keepNext w:val="0"/>
        <w:keepLines w:val="0"/>
        <w:pageBreakBefore w:val="0"/>
        <w:widowControl w:val="0"/>
        <w:suppressLineNumbers w:val="0"/>
        <w:kinsoku/>
        <w:wordWrap/>
        <w:overflowPunct/>
        <w:topLinePunct w:val="0"/>
        <w:autoSpaceDE/>
        <w:autoSpaceDN/>
        <w:bidi w:val="0"/>
        <w:adjustRightInd/>
        <w:snapToGrid/>
        <w:spacing w:beforeAutospacing="0" w:afterAutospacing="0" w:line="540" w:lineRule="exact"/>
        <w:ind w:left="0" w:right="0" w:firstLine="640" w:firstLineChars="200"/>
        <w:textAlignment w:val="auto"/>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pP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医保经办部门根据床位总量控制目标做好准入管理，</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eastAsia="zh-CN"/>
          <w14:textFill>
            <w14:solidFill>
              <w14:schemeClr w14:val="tx1"/>
            </w14:solidFill>
          </w14:textFill>
        </w:rPr>
        <w:t>优先将承担基层医疗卫生服务的医疗机构，纳入定点医疗机构配置范围。充分考虑全市精神障碍患者救治、康复需求，将精神专科医院、综合医院精神科纳入定点医疗机构统筹布局。</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在精神疾病类定点医疗机构违法违规使用医保基金专项治理期间，精神类医疗机构新申请增加医保定点和新增院区床位，按国家和省有关规定执行。</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40" w:lineRule="exact"/>
        <w:ind w:left="0" w:right="0" w:firstLine="640" w:firstLineChars="200"/>
        <w:jc w:val="both"/>
        <w:textAlignment w:val="auto"/>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14:textFill>
            <w14:solidFill>
              <w14:schemeClr w14:val="tx1"/>
            </w14:solidFill>
          </w14:textFill>
        </w:rPr>
      </w:pP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14:textFill>
            <w14:solidFill>
              <w14:schemeClr w14:val="tx1"/>
            </w14:solidFill>
          </w14:textFill>
        </w:rPr>
        <w:t>不同等级定点医疗机构住院床位数低于相应等级规划床位总量的，可按规定评估后纳入医保定点管理。住院床位数已达到或超出规划总量的，原则上</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eastAsia="zh-CN"/>
          <w14:textFill>
            <w14:solidFill>
              <w14:schemeClr w14:val="tx1"/>
            </w14:solidFill>
          </w14:textFill>
        </w:rPr>
        <w:t>暂不</w:t>
      </w: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14:textFill>
            <w14:solidFill>
              <w14:schemeClr w14:val="tx1"/>
            </w14:solidFill>
          </w14:textFill>
        </w:rPr>
        <w:t>新增该等级的住院</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类</w:t>
      </w: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14:textFill>
            <w14:solidFill>
              <w14:schemeClr w14:val="tx1"/>
            </w14:solidFill>
          </w14:textFill>
        </w:rPr>
        <w:t>定点医疗机构。</w:t>
      </w:r>
    </w:p>
    <w:p>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40" w:lineRule="exact"/>
        <w:ind w:left="0" w:right="0" w:firstLine="643" w:firstLineChars="200"/>
        <w:jc w:val="both"/>
        <w:textAlignment w:val="auto"/>
        <w:rPr>
          <w:rFonts w:hint="default" w:ascii="Times New Roman" w:hAnsi="Times New Roman" w:eastAsia="仿宋_GB2312" w:cs="Times New Roman"/>
          <w:b/>
          <w:bCs/>
          <w:i w:val="0"/>
          <w:iCs w:val="0"/>
          <w:caps w:val="0"/>
          <w:color w:val="000000" w:themeColor="text1"/>
          <w:spacing w:val="0"/>
          <w:sz w:val="32"/>
          <w:szCs w:val="32"/>
          <w:highlight w:val="none"/>
          <w:shd w:val="clear" w:fill="FFFFFF"/>
          <w:lang w:val="en-US" w:eastAsia="zh-CN"/>
          <w14:textFill>
            <w14:solidFill>
              <w14:schemeClr w14:val="tx1"/>
            </w14:solidFill>
          </w14:textFill>
        </w:rPr>
      </w:pPr>
      <w:r>
        <w:rPr>
          <w:rFonts w:hint="eastAsia" w:ascii="Times New Roman" w:hAnsi="Times New Roman" w:eastAsia="仿宋_GB2312" w:cs="Times New Roman"/>
          <w:b/>
          <w:bCs/>
          <w:i w:val="0"/>
          <w:iCs w:val="0"/>
          <w:caps w:val="0"/>
          <w:color w:val="000000" w:themeColor="text1"/>
          <w:spacing w:val="0"/>
          <w:sz w:val="32"/>
          <w:szCs w:val="32"/>
          <w:highlight w:val="none"/>
          <w:shd w:val="clear" w:fill="FFFFFF"/>
          <w:lang w:val="en-US" w:eastAsia="zh-CN"/>
          <w14:textFill>
            <w14:solidFill>
              <w14:schemeClr w14:val="tx1"/>
            </w14:solidFill>
          </w14:textFill>
        </w:rPr>
        <w:t>3.</w:t>
      </w:r>
      <w:r>
        <w:rPr>
          <w:rFonts w:hint="default" w:ascii="Times New Roman" w:hAnsi="Times New Roman" w:eastAsia="仿宋_GB2312" w:cs="Times New Roman"/>
          <w:b/>
          <w:bCs/>
          <w:i w:val="0"/>
          <w:iCs w:val="0"/>
          <w:caps w:val="0"/>
          <w:color w:val="000000" w:themeColor="text1"/>
          <w:spacing w:val="0"/>
          <w:sz w:val="32"/>
          <w:szCs w:val="32"/>
          <w:highlight w:val="none"/>
          <w:shd w:val="clear" w:fill="FFFFFF"/>
          <w:lang w:val="en-US" w:eastAsia="zh-CN"/>
          <w14:textFill>
            <w14:solidFill>
              <w14:schemeClr w14:val="tx1"/>
            </w14:solidFill>
          </w14:textFill>
        </w:rPr>
        <w:t>存量</w:t>
      </w:r>
      <w:r>
        <w:rPr>
          <w:rFonts w:hint="eastAsia" w:ascii="Times New Roman" w:hAnsi="Times New Roman" w:eastAsia="仿宋_GB2312" w:cs="Times New Roman"/>
          <w:b/>
          <w:bCs/>
          <w:i w:val="0"/>
          <w:iCs w:val="0"/>
          <w:caps w:val="0"/>
          <w:color w:val="000000" w:themeColor="text1"/>
          <w:spacing w:val="0"/>
          <w:sz w:val="32"/>
          <w:szCs w:val="32"/>
          <w:highlight w:val="none"/>
          <w:shd w:val="clear" w:fill="FFFFFF"/>
          <w:lang w:val="en-US" w:eastAsia="zh-CN"/>
          <w14:textFill>
            <w14:solidFill>
              <w14:schemeClr w14:val="tx1"/>
            </w14:solidFill>
          </w14:textFill>
        </w:rPr>
        <w:t>管理</w:t>
      </w:r>
    </w:p>
    <w:p>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40" w:lineRule="exact"/>
        <w:ind w:left="0" w:right="0" w:firstLine="640" w:firstLineChars="200"/>
        <w:textAlignment w:val="auto"/>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eastAsia="zh-CN"/>
          <w14:textFill>
            <w14:solidFill>
              <w14:schemeClr w14:val="tx1"/>
            </w14:solidFill>
          </w14:textFill>
        </w:rPr>
      </w:pP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eastAsia="zh-CN"/>
          <w14:textFill>
            <w14:solidFill>
              <w14:schemeClr w14:val="tx1"/>
            </w14:solidFill>
          </w14:textFill>
        </w:rPr>
        <w:t>针对床位使用率偏低的医疗机构，支持引导富余床位向精神、康复、护理、安宁疗护等领域转型，支持中医医疗机构发展，推动定点医疗机构走差异化发展路径，优化床位资源结构布局。强化定点协议管理，健全考核评价机制，压实医疗机构主体责任，引导机构提质增效，提升床位资源利用效能。</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40" w:lineRule="exact"/>
        <w:ind w:left="0" w:right="0" w:firstLine="640" w:firstLineChars="200"/>
        <w:jc w:val="both"/>
        <w:textAlignment w:val="auto"/>
        <w:rPr>
          <w:rFonts w:hint="default" w:ascii="楷体_GB2312" w:hAnsi="楷体_GB2312" w:eastAsia="楷体_GB2312" w:cs="楷体_GB2312"/>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pPr>
      <w:r>
        <w:rPr>
          <w:rFonts w:hint="eastAsia" w:ascii="楷体_GB2312" w:hAnsi="楷体_GB2312" w:eastAsia="楷体_GB2312" w:cs="楷体_GB2312"/>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（二）</w:t>
      </w:r>
      <w:r>
        <w:rPr>
          <w:rFonts w:hint="default" w:ascii="楷体_GB2312" w:hAnsi="楷体_GB2312" w:eastAsia="楷体_GB2312" w:cs="楷体_GB2312"/>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门诊类定点医疗机构</w:t>
      </w:r>
      <w:r>
        <w:rPr>
          <w:rFonts w:hint="eastAsia" w:ascii="楷体_GB2312" w:hAnsi="楷体_GB2312" w:eastAsia="楷体_GB2312" w:cs="楷体_GB2312"/>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资源配置规划</w:t>
      </w:r>
    </w:p>
    <w:p>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40" w:lineRule="exact"/>
        <w:ind w:left="0" w:right="0" w:firstLine="640" w:firstLineChars="200"/>
        <w:jc w:val="both"/>
        <w:textAlignment w:val="auto"/>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pP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1.配置</w:t>
      </w: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原则 </w:t>
      </w:r>
    </w:p>
    <w:p>
      <w:pPr>
        <w:pStyle w:val="6"/>
        <w:keepNext w:val="0"/>
        <w:keepLines w:val="0"/>
        <w:pageBreakBefore w:val="0"/>
        <w:widowControl w:val="0"/>
        <w:suppressLineNumbers w:val="0"/>
        <w:kinsoku/>
        <w:wordWrap/>
        <w:overflowPunct/>
        <w:topLinePunct w:val="0"/>
        <w:autoSpaceDE/>
        <w:autoSpaceDN/>
        <w:bidi w:val="0"/>
        <w:adjustRightInd/>
        <w:snapToGrid/>
        <w:spacing w:beforeAutospacing="0" w:afterAutospacing="0" w:line="540" w:lineRule="exact"/>
        <w:ind w:left="0" w:right="0" w:firstLine="640" w:firstLineChars="200"/>
        <w:textAlignment w:val="auto"/>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14:textFill>
            <w14:solidFill>
              <w14:schemeClr w14:val="tx1"/>
            </w14:solidFill>
          </w14:textFill>
        </w:rPr>
      </w:pP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14:textFill>
            <w14:solidFill>
              <w14:schemeClr w14:val="tx1"/>
            </w14:solidFill>
          </w14:textFill>
        </w:rPr>
        <w:t>全市门诊</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类</w:t>
      </w: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14:textFill>
            <w14:solidFill>
              <w14:schemeClr w14:val="tx1"/>
            </w14:solidFill>
          </w14:textFill>
        </w:rPr>
        <w:t>定点医疗机构按照构建</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eastAsia="zh-CN"/>
          <w14:textFill>
            <w14:solidFill>
              <w14:schemeClr w14:val="tx1"/>
            </w14:solidFill>
          </w14:textFill>
        </w:rPr>
        <w:t>“</w:t>
      </w: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14:textFill>
            <w14:solidFill>
              <w14:schemeClr w14:val="tx1"/>
            </w14:solidFill>
          </w14:textFill>
        </w:rPr>
        <w:t>15分钟医保服务圈</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eastAsia="zh-CN"/>
          <w14:textFill>
            <w14:solidFill>
              <w14:schemeClr w14:val="tx1"/>
            </w14:solidFill>
          </w14:textFill>
        </w:rPr>
        <w:t>”</w:t>
      </w: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14:textFill>
            <w14:solidFill>
              <w14:schemeClr w14:val="tx1"/>
            </w14:solidFill>
          </w14:textFill>
        </w:rPr>
        <w:t>要求，实行科学规划、动态调整、合理定点。</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eastAsia="zh-CN"/>
          <w14:textFill>
            <w14:solidFill>
              <w14:schemeClr w14:val="tx1"/>
            </w14:solidFill>
          </w14:textFill>
        </w:rPr>
        <w:t>城镇区域以步行15分钟（按</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800m</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eastAsia="zh-CN"/>
          <w14:textFill>
            <w14:solidFill>
              <w14:schemeClr w14:val="tx1"/>
            </w14:solidFill>
          </w14:textFill>
        </w:rPr>
        <w:t>计） 为服务范围</w:t>
      </w: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14:textFill>
            <w14:solidFill>
              <w14:schemeClr w14:val="tx1"/>
            </w14:solidFill>
          </w14:textFill>
        </w:rPr>
        <w:t>进行</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规划，服务范围内可配置1家门诊类定点医疗机构</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eastAsia="zh-CN"/>
          <w14:textFill>
            <w14:solidFill>
              <w14:schemeClr w14:val="tx1"/>
            </w14:solidFill>
          </w14:textFill>
        </w:rPr>
        <w:t>。原则上</w:t>
      </w: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14:textFill>
            <w14:solidFill>
              <w14:schemeClr w14:val="tx1"/>
            </w14:solidFill>
          </w14:textFill>
        </w:rPr>
        <w:t>每个社区可设置1家社区卫生服务站或门诊部作为</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eastAsia="zh-CN"/>
          <w14:textFill>
            <w14:solidFill>
              <w14:schemeClr w14:val="tx1"/>
            </w14:solidFill>
          </w14:textFill>
        </w:rPr>
        <w:t>门诊类</w:t>
      </w: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14:textFill>
            <w14:solidFill>
              <w14:schemeClr w14:val="tx1"/>
            </w14:solidFill>
          </w14:textFill>
        </w:rPr>
        <w:t>定点医疗机构</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eastAsia="zh-CN"/>
          <w14:textFill>
            <w14:solidFill>
              <w14:schemeClr w14:val="tx1"/>
            </w14:solidFill>
          </w14:textFill>
        </w:rPr>
        <w:t>，</w:t>
      </w: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14:textFill>
            <w14:solidFill>
              <w14:schemeClr w14:val="tx1"/>
            </w14:solidFill>
          </w14:textFill>
        </w:rPr>
        <w:t>每个行政村至少有1家</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eastAsia="zh-CN"/>
          <w14:textFill>
            <w14:solidFill>
              <w14:schemeClr w14:val="tx1"/>
            </w14:solidFill>
          </w14:textFill>
        </w:rPr>
        <w:t>村卫生站</w:t>
      </w: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14:textFill>
            <w14:solidFill>
              <w14:schemeClr w14:val="tx1"/>
            </w14:solidFill>
          </w14:textFill>
        </w:rPr>
        <w:t>可提供</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门诊医保服务</w:t>
      </w: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14:textFill>
            <w14:solidFill>
              <w14:schemeClr w14:val="tx1"/>
            </w14:solidFill>
          </w14:textFill>
        </w:rPr>
        <w:t>。支持符合条件</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eastAsia="zh-CN"/>
          <w14:textFill>
            <w14:solidFill>
              <w14:schemeClr w14:val="tx1"/>
            </w14:solidFill>
          </w14:textFill>
        </w:rPr>
        <w:t>且</w:t>
      </w: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14:textFill>
            <w14:solidFill>
              <w14:schemeClr w14:val="tx1"/>
            </w14:solidFill>
          </w14:textFill>
        </w:rPr>
        <w:t>自愿申请的</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eastAsia="zh-CN"/>
          <w14:textFill>
            <w14:solidFill>
              <w14:schemeClr w14:val="tx1"/>
            </w14:solidFill>
          </w14:textFill>
        </w:rPr>
        <w:t>村卫生站按规定纳入医保结算</w:t>
      </w: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14:textFill>
            <w14:solidFill>
              <w14:schemeClr w14:val="tx1"/>
            </w14:solidFill>
          </w14:textFill>
        </w:rPr>
        <w:t>。</w:t>
      </w:r>
    </w:p>
    <w:p>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40" w:lineRule="exact"/>
        <w:ind w:left="0" w:right="0" w:firstLine="640" w:firstLineChars="200"/>
        <w:jc w:val="both"/>
        <w:textAlignment w:val="auto"/>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pP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2.</w:t>
      </w: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准入规则</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40" w:lineRule="exact"/>
        <w:ind w:left="0" w:right="0" w:firstLine="640" w:firstLineChars="200"/>
        <w:jc w:val="both"/>
        <w:textAlignment w:val="auto"/>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14:textFill>
            <w14:solidFill>
              <w14:schemeClr w14:val="tx1"/>
            </w14:solidFill>
          </w14:textFill>
        </w:rPr>
      </w:pP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以申请新增准入医疗机构所在地址为中心，</w:t>
      </w: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14:textFill>
            <w14:solidFill>
              <w14:schemeClr w14:val="tx1"/>
            </w14:solidFill>
          </w14:textFill>
        </w:rPr>
        <w:t>服务范围内</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eastAsia="zh-CN"/>
          <w14:textFill>
            <w14:solidFill>
              <w14:schemeClr w14:val="tx1"/>
            </w14:solidFill>
          </w14:textFill>
        </w:rPr>
        <w:t>没有门诊类定点医疗机构的，可新增准入；</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服务范围内已有门诊类</w:t>
      </w: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14:textFill>
            <w14:solidFill>
              <w14:schemeClr w14:val="tx1"/>
            </w14:solidFill>
          </w14:textFill>
        </w:rPr>
        <w:t>定点医疗机构的（</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eastAsia="zh-CN"/>
          <w14:textFill>
            <w14:solidFill>
              <w14:schemeClr w14:val="tx1"/>
            </w14:solidFill>
          </w14:textFill>
        </w:rPr>
        <w:t>村卫生站</w:t>
      </w: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14:textFill>
            <w14:solidFill>
              <w14:schemeClr w14:val="tx1"/>
            </w14:solidFill>
          </w14:textFill>
        </w:rPr>
        <w:t>以及高等院校、养老机构等内设的</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主要为内部人员服务</w:t>
      </w: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14:textFill>
            <w14:solidFill>
              <w14:schemeClr w14:val="tx1"/>
            </w14:solidFill>
          </w14:textFill>
        </w:rPr>
        <w:t>的医疗机构除外），原则上</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eastAsia="zh-CN"/>
          <w14:textFill>
            <w14:solidFill>
              <w14:schemeClr w14:val="tx1"/>
            </w14:solidFill>
          </w14:textFill>
        </w:rPr>
        <w:t>暂不</w:t>
      </w: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14:textFill>
            <w14:solidFill>
              <w14:schemeClr w14:val="tx1"/>
            </w14:solidFill>
          </w14:textFill>
        </w:rPr>
        <w:t>新增</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eastAsia="zh-CN"/>
          <w14:textFill>
            <w14:solidFill>
              <w14:schemeClr w14:val="tx1"/>
            </w14:solidFill>
          </w14:textFill>
        </w:rPr>
        <w:t>准入</w:t>
      </w: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14:textFill>
            <w14:solidFill>
              <w14:schemeClr w14:val="tx1"/>
            </w14:solidFill>
          </w14:textFill>
        </w:rPr>
        <w:t>。</w:t>
      </w:r>
    </w:p>
    <w:p>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40" w:lineRule="exact"/>
        <w:ind w:left="0" w:right="0" w:firstLine="640" w:firstLineChars="200"/>
        <w:jc w:val="both"/>
        <w:textAlignment w:val="auto"/>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pP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3.</w:t>
      </w: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存量管理</w:t>
      </w:r>
    </w:p>
    <w:p>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40" w:lineRule="exact"/>
        <w:ind w:left="0" w:right="0" w:firstLine="640" w:firstLineChars="200"/>
        <w:jc w:val="both"/>
        <w:textAlignment w:val="auto"/>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14:textFill>
            <w14:solidFill>
              <w14:schemeClr w14:val="tx1"/>
            </w14:solidFill>
          </w14:textFill>
        </w:rPr>
      </w:pP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14:textFill>
            <w14:solidFill>
              <w14:schemeClr w14:val="tx1"/>
            </w14:solidFill>
          </w14:textFill>
        </w:rPr>
        <w:t>门诊类定点医疗机构</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实际配置情况</w:t>
      </w: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14:textFill>
            <w14:solidFill>
              <w14:schemeClr w14:val="tx1"/>
            </w14:solidFill>
          </w14:textFill>
        </w:rPr>
        <w:t>已超</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出本配置</w:t>
      </w: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14:textFill>
            <w14:solidFill>
              <w14:schemeClr w14:val="tx1"/>
            </w14:solidFill>
          </w14:textFill>
        </w:rPr>
        <w:t>规划</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目标</w:t>
      </w: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14:textFill>
            <w14:solidFill>
              <w14:schemeClr w14:val="tx1"/>
            </w14:solidFill>
          </w14:textFill>
        </w:rPr>
        <w:t>的</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eastAsia="zh-CN"/>
          <w14:textFill>
            <w14:solidFill>
              <w14:schemeClr w14:val="tx1"/>
            </w14:solidFill>
          </w14:textFill>
        </w:rPr>
        <w:t>区域</w:t>
      </w: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14:textFill>
            <w14:solidFill>
              <w14:schemeClr w14:val="tx1"/>
            </w14:solidFill>
          </w14:textFill>
        </w:rPr>
        <w:t>，原则上</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eastAsia="zh-CN"/>
          <w14:textFill>
            <w14:solidFill>
              <w14:schemeClr w14:val="tx1"/>
            </w14:solidFill>
          </w14:textFill>
        </w:rPr>
        <w:t>暂不</w:t>
      </w: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14:textFill>
            <w14:solidFill>
              <w14:schemeClr w14:val="tx1"/>
            </w14:solidFill>
          </w14:textFill>
        </w:rPr>
        <w:t>新增准入，以优化存量为主，重点提升现有门诊</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类</w:t>
      </w: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14:textFill>
            <w14:solidFill>
              <w14:schemeClr w14:val="tx1"/>
            </w14:solidFill>
          </w14:textFill>
        </w:rPr>
        <w:t>定点医疗机构的医保服务质量。</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40" w:lineRule="exact"/>
        <w:ind w:left="0" w:right="0" w:firstLine="640" w:firstLineChars="200"/>
        <w:jc w:val="both"/>
        <w:textAlignment w:val="auto"/>
        <w:rPr>
          <w:rFonts w:hint="default" w:ascii="楷体_GB2312" w:hAnsi="楷体_GB2312" w:eastAsia="楷体_GB2312" w:cs="楷体_GB2312"/>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pPr>
      <w:r>
        <w:rPr>
          <w:rFonts w:hint="eastAsia" w:ascii="楷体_GB2312" w:hAnsi="楷体_GB2312" w:eastAsia="楷体_GB2312" w:cs="楷体_GB2312"/>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（三）</w:t>
      </w:r>
      <w:r>
        <w:rPr>
          <w:rFonts w:hint="default" w:ascii="楷体_GB2312" w:hAnsi="楷体_GB2312" w:eastAsia="楷体_GB2312" w:cs="楷体_GB2312"/>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定点零售药店</w:t>
      </w:r>
      <w:r>
        <w:rPr>
          <w:rFonts w:hint="eastAsia" w:ascii="楷体_GB2312" w:hAnsi="楷体_GB2312" w:eastAsia="楷体_GB2312" w:cs="楷体_GB2312"/>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资源配置规划</w:t>
      </w:r>
    </w:p>
    <w:p>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40" w:lineRule="exact"/>
        <w:ind w:left="0" w:right="0" w:firstLine="640" w:firstLineChars="200"/>
        <w:jc w:val="both"/>
        <w:textAlignment w:val="auto"/>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pP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1.配置原则</w:t>
      </w: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 </w:t>
      </w:r>
    </w:p>
    <w:p>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40" w:lineRule="exact"/>
        <w:ind w:left="0" w:right="0" w:firstLine="640" w:firstLineChars="200"/>
        <w:textAlignment w:val="auto"/>
        <w:rPr>
          <w:rFonts w:hint="default" w:ascii="Times New Roman" w:hAnsi="Times New Roman" w:eastAsia="仿宋_GB2312" w:cs="Times New Roman"/>
          <w:b w:val="0"/>
          <w:bCs w:val="0"/>
          <w:i w:val="0"/>
          <w:iCs w:val="0"/>
          <w:caps w:val="0"/>
          <w:color w:val="auto"/>
          <w:spacing w:val="0"/>
          <w:sz w:val="32"/>
          <w:szCs w:val="32"/>
          <w:highlight w:val="none"/>
          <w:shd w:val="clear" w:fill="FFFFFF"/>
          <w:lang w:val="en-US" w:eastAsia="zh-CN"/>
        </w:rPr>
      </w:pPr>
      <w:r>
        <w:rPr>
          <w:rFonts w:hint="default" w:ascii="Times New Roman" w:hAnsi="Times New Roman" w:eastAsia="仿宋_GB2312" w:cs="Times New Roman"/>
          <w:b w:val="0"/>
          <w:bCs w:val="0"/>
          <w:i w:val="0"/>
          <w:iCs w:val="0"/>
          <w:caps w:val="0"/>
          <w:color w:val="000000" w:themeColor="text1"/>
          <w:spacing w:val="0"/>
          <w:sz w:val="32"/>
          <w:szCs w:val="32"/>
          <w:highlight w:val="none"/>
          <w:shd w:val="clear" w:fill="FFFFFF"/>
          <w14:textFill>
            <w14:solidFill>
              <w14:schemeClr w14:val="tx1"/>
            </w14:solidFill>
          </w14:textFill>
        </w:rPr>
        <w:t>全市</w:t>
      </w:r>
      <w:r>
        <w:rPr>
          <w:rFonts w:hint="eastAsia" w:ascii="Times New Roman" w:hAnsi="Times New Roman" w:eastAsia="仿宋_GB2312" w:cs="Times New Roman"/>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定点零售药店</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按照构建</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eastAsia="zh-CN"/>
        </w:rPr>
        <w:t>“</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15分钟医保服务圈</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eastAsia="zh-CN"/>
        </w:rPr>
        <w:t>”</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要求，实行科学规划、动态调整、合理定点。城</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eastAsia="zh-CN"/>
        </w:rPr>
        <w:t>镇区域以步行15分钟（按</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val="en-US" w:eastAsia="zh-CN"/>
        </w:rPr>
        <w:t>800m</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eastAsia="zh-CN"/>
        </w:rPr>
        <w:t>计） 为服务范围</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进行</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val="en-US" w:eastAsia="zh-CN"/>
        </w:rPr>
        <w:t>规划，服务范围内可配置2家定点零售药店。二级及以上定点医疗机构周围以及</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人口密集区域可适当增加</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val="en-US" w:eastAsia="zh-CN"/>
        </w:rPr>
        <w:t>定点零售药店数量。原则上保障</w:t>
      </w:r>
      <w:r>
        <w:rPr>
          <w:rFonts w:hint="default" w:ascii="Times New Roman" w:hAnsi="Times New Roman" w:eastAsia="仿宋_GB2312" w:cs="Times New Roman"/>
          <w:b w:val="0"/>
          <w:bCs w:val="0"/>
          <w:i w:val="0"/>
          <w:iCs w:val="0"/>
          <w:caps w:val="0"/>
          <w:color w:val="auto"/>
          <w:spacing w:val="0"/>
          <w:sz w:val="32"/>
          <w:szCs w:val="32"/>
          <w:highlight w:val="none"/>
          <w:shd w:val="clear" w:fill="FFFFFF"/>
          <w:lang w:val="en-US" w:eastAsia="zh-CN"/>
        </w:rPr>
        <w:t>乡镇中心区至少1家定点零售药店</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val="en-US" w:eastAsia="zh-CN"/>
        </w:rPr>
        <w:t>，</w:t>
      </w:r>
      <w:r>
        <w:rPr>
          <w:rFonts w:hint="default" w:ascii="Times New Roman" w:hAnsi="Times New Roman" w:eastAsia="仿宋_GB2312" w:cs="Times New Roman"/>
          <w:b w:val="0"/>
          <w:bCs w:val="0"/>
          <w:i w:val="0"/>
          <w:iCs w:val="0"/>
          <w:caps w:val="0"/>
          <w:color w:val="auto"/>
          <w:spacing w:val="0"/>
          <w:sz w:val="32"/>
          <w:szCs w:val="32"/>
          <w:highlight w:val="none"/>
          <w:shd w:val="clear" w:fill="FFFFFF"/>
          <w:lang w:val="en-US" w:eastAsia="zh-CN"/>
        </w:rPr>
        <w:t>每个</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val="en-US" w:eastAsia="zh-CN"/>
        </w:rPr>
        <w:t>县（市、区）</w:t>
      </w:r>
      <w:r>
        <w:rPr>
          <w:rFonts w:hint="default" w:ascii="Times New Roman" w:hAnsi="Times New Roman" w:eastAsia="仿宋_GB2312" w:cs="Times New Roman"/>
          <w:b w:val="0"/>
          <w:bCs w:val="0"/>
          <w:i w:val="0"/>
          <w:iCs w:val="0"/>
          <w:caps w:val="0"/>
          <w:color w:val="auto"/>
          <w:spacing w:val="0"/>
          <w:sz w:val="32"/>
          <w:szCs w:val="32"/>
          <w:highlight w:val="none"/>
          <w:shd w:val="clear" w:fill="FFFFFF"/>
          <w:lang w:val="en-US" w:eastAsia="zh-CN"/>
        </w:rPr>
        <w:t> 至少</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val="en-US" w:eastAsia="zh-CN"/>
        </w:rPr>
        <w:t>有</w:t>
      </w:r>
      <w:r>
        <w:rPr>
          <w:rFonts w:hint="default" w:ascii="Times New Roman" w:hAnsi="Times New Roman" w:eastAsia="仿宋_GB2312" w:cs="Times New Roman"/>
          <w:b w:val="0"/>
          <w:bCs w:val="0"/>
          <w:i w:val="0"/>
          <w:iCs w:val="0"/>
          <w:caps w:val="0"/>
          <w:color w:val="auto"/>
          <w:spacing w:val="0"/>
          <w:sz w:val="32"/>
          <w:szCs w:val="32"/>
          <w:highlight w:val="none"/>
          <w:shd w:val="clear" w:fill="FFFFFF"/>
          <w:lang w:val="en-US" w:eastAsia="zh-CN"/>
        </w:rPr>
        <w:t>1家</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val="en-US" w:eastAsia="zh-CN"/>
        </w:rPr>
        <w:t>“</w:t>
      </w:r>
      <w:r>
        <w:rPr>
          <w:rFonts w:hint="default" w:ascii="Times New Roman" w:hAnsi="Times New Roman" w:eastAsia="仿宋_GB2312" w:cs="Times New Roman"/>
          <w:b w:val="0"/>
          <w:bCs w:val="0"/>
          <w:i w:val="0"/>
          <w:iCs w:val="0"/>
          <w:caps w:val="0"/>
          <w:color w:val="auto"/>
          <w:spacing w:val="0"/>
          <w:sz w:val="32"/>
          <w:szCs w:val="32"/>
          <w:highlight w:val="none"/>
          <w:shd w:val="clear" w:fill="FFFFFF"/>
          <w:lang w:val="en-US" w:eastAsia="zh-CN"/>
        </w:rPr>
        <w:t>双通道</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val="en-US" w:eastAsia="zh-CN"/>
        </w:rPr>
        <w:t>”</w:t>
      </w:r>
      <w:r>
        <w:rPr>
          <w:rFonts w:hint="default" w:ascii="Times New Roman" w:hAnsi="Times New Roman" w:eastAsia="仿宋_GB2312" w:cs="Times New Roman"/>
          <w:b w:val="0"/>
          <w:bCs w:val="0"/>
          <w:i w:val="0"/>
          <w:iCs w:val="0"/>
          <w:caps w:val="0"/>
          <w:color w:val="auto"/>
          <w:spacing w:val="0"/>
          <w:sz w:val="32"/>
          <w:szCs w:val="32"/>
          <w:highlight w:val="none"/>
          <w:shd w:val="clear" w:fill="FFFFFF"/>
          <w:lang w:val="en-US" w:eastAsia="zh-CN"/>
        </w:rPr>
        <w:t>定点零售药店。</w:t>
      </w:r>
    </w:p>
    <w:p>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40" w:lineRule="exact"/>
        <w:ind w:left="0" w:right="0" w:firstLine="640" w:firstLineChars="200"/>
        <w:jc w:val="both"/>
        <w:textAlignment w:val="auto"/>
        <w:rPr>
          <w:rFonts w:hint="default" w:ascii="Times New Roman" w:hAnsi="Times New Roman" w:eastAsia="仿宋_GB2312" w:cs="Times New Roman"/>
          <w:b w:val="0"/>
          <w:bCs w:val="0"/>
          <w:i w:val="0"/>
          <w:iCs w:val="0"/>
          <w:caps w:val="0"/>
          <w:color w:val="auto"/>
          <w:spacing w:val="0"/>
          <w:sz w:val="32"/>
          <w:szCs w:val="32"/>
          <w:highlight w:val="none"/>
          <w:shd w:val="clear" w:fill="FFFFFF"/>
          <w:lang w:val="en-US" w:eastAsia="zh-CN"/>
        </w:rPr>
      </w:pPr>
      <w:r>
        <w:rPr>
          <w:rFonts w:hint="eastAsia" w:ascii="Times New Roman" w:hAnsi="Times New Roman" w:eastAsia="仿宋_GB2312" w:cs="Times New Roman"/>
          <w:b w:val="0"/>
          <w:bCs w:val="0"/>
          <w:i w:val="0"/>
          <w:iCs w:val="0"/>
          <w:caps w:val="0"/>
          <w:color w:val="auto"/>
          <w:spacing w:val="0"/>
          <w:sz w:val="32"/>
          <w:szCs w:val="32"/>
          <w:highlight w:val="none"/>
          <w:shd w:val="clear" w:fill="FFFFFF"/>
          <w:lang w:val="en-US" w:eastAsia="zh-CN"/>
        </w:rPr>
        <w:t>2.</w:t>
      </w:r>
      <w:r>
        <w:rPr>
          <w:rFonts w:hint="default" w:ascii="Times New Roman" w:hAnsi="Times New Roman" w:eastAsia="仿宋_GB2312" w:cs="Times New Roman"/>
          <w:b w:val="0"/>
          <w:bCs w:val="0"/>
          <w:i w:val="0"/>
          <w:iCs w:val="0"/>
          <w:caps w:val="0"/>
          <w:color w:val="auto"/>
          <w:spacing w:val="0"/>
          <w:sz w:val="32"/>
          <w:szCs w:val="32"/>
          <w:highlight w:val="none"/>
          <w:shd w:val="clear" w:fill="FFFFFF"/>
          <w:lang w:val="en-US" w:eastAsia="zh-CN"/>
        </w:rPr>
        <w:t>准入规则</w:t>
      </w:r>
    </w:p>
    <w:p>
      <w:pPr>
        <w:pStyle w:val="6"/>
        <w:keepNext w:val="0"/>
        <w:keepLines w:val="0"/>
        <w:pageBreakBefore w:val="0"/>
        <w:widowControl w:val="0"/>
        <w:suppressLineNumbers w:val="0"/>
        <w:kinsoku/>
        <w:wordWrap/>
        <w:overflowPunct/>
        <w:topLinePunct w:val="0"/>
        <w:autoSpaceDE/>
        <w:autoSpaceDN/>
        <w:bidi w:val="0"/>
        <w:adjustRightInd/>
        <w:snapToGrid/>
        <w:spacing w:beforeAutospacing="0" w:afterAutospacing="0" w:line="540" w:lineRule="exact"/>
        <w:ind w:left="0" w:right="0" w:firstLine="640" w:firstLineChars="200"/>
        <w:textAlignment w:val="auto"/>
        <w:rPr>
          <w:rFonts w:hint="default" w:ascii="Times New Roman" w:hAnsi="Times New Roman" w:eastAsia="仿宋_GB2312" w:cs="Times New Roman"/>
          <w:b w:val="0"/>
          <w:bCs w:val="0"/>
          <w:i w:val="0"/>
          <w:iCs w:val="0"/>
          <w:caps w:val="0"/>
          <w:color w:val="auto"/>
          <w:spacing w:val="0"/>
          <w:sz w:val="32"/>
          <w:szCs w:val="32"/>
          <w:highlight w:val="none"/>
          <w:shd w:val="clear" w:fill="FFFFFF"/>
          <w:lang w:eastAsia="zh-CN"/>
        </w:rPr>
      </w:pPr>
      <w:r>
        <w:rPr>
          <w:rFonts w:hint="eastAsia" w:ascii="Times New Roman" w:hAnsi="Times New Roman" w:eastAsia="仿宋_GB2312" w:cs="Times New Roman"/>
          <w:b w:val="0"/>
          <w:bCs w:val="0"/>
          <w:i w:val="0"/>
          <w:iCs w:val="0"/>
          <w:caps w:val="0"/>
          <w:color w:val="auto"/>
          <w:spacing w:val="0"/>
          <w:sz w:val="32"/>
          <w:szCs w:val="32"/>
          <w:highlight w:val="none"/>
          <w:shd w:val="clear" w:fill="FFFFFF"/>
          <w:lang w:eastAsia="zh-CN"/>
        </w:rPr>
        <w:t>鼓励定点零售药店品牌化、连锁化发展。鼓励和促进零售药店向空白区域、相对不足区域、乡镇和基层分布。</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val="en-US" w:eastAsia="zh-CN"/>
        </w:rPr>
        <w:t>以申请</w:t>
      </w:r>
      <w:r>
        <w:rPr>
          <w:rFonts w:hint="default" w:ascii="Times New Roman" w:hAnsi="Times New Roman" w:eastAsia="仿宋_GB2312" w:cs="Times New Roman"/>
          <w:b w:val="0"/>
          <w:bCs w:val="0"/>
          <w:i w:val="0"/>
          <w:iCs w:val="0"/>
          <w:caps w:val="0"/>
          <w:color w:val="auto"/>
          <w:spacing w:val="0"/>
          <w:sz w:val="32"/>
          <w:szCs w:val="32"/>
          <w:highlight w:val="none"/>
          <w:shd w:val="clear" w:fill="FFFFFF"/>
          <w:lang w:eastAsia="zh-CN"/>
        </w:rPr>
        <w:t>新增</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val="en-US" w:eastAsia="zh-CN"/>
        </w:rPr>
        <w:t>准入</w:t>
      </w:r>
      <w:r>
        <w:rPr>
          <w:rFonts w:hint="default" w:ascii="Times New Roman" w:hAnsi="Times New Roman" w:eastAsia="仿宋_GB2312" w:cs="Times New Roman"/>
          <w:b w:val="0"/>
          <w:bCs w:val="0"/>
          <w:i w:val="0"/>
          <w:iCs w:val="0"/>
          <w:caps w:val="0"/>
          <w:color w:val="auto"/>
          <w:spacing w:val="0"/>
          <w:sz w:val="32"/>
          <w:szCs w:val="32"/>
          <w:highlight w:val="none"/>
          <w:shd w:val="clear" w:fill="FFFFFF"/>
          <w:lang w:eastAsia="zh-CN"/>
        </w:rPr>
        <w:t>零售药店</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val="en-US" w:eastAsia="zh-CN"/>
        </w:rPr>
        <w:t>所在地址为中心，</w:t>
      </w:r>
      <w:r>
        <w:rPr>
          <w:rFonts w:hint="default" w:ascii="Times New Roman" w:hAnsi="Times New Roman" w:eastAsia="仿宋_GB2312" w:cs="Times New Roman"/>
          <w:b w:val="0"/>
          <w:bCs w:val="0"/>
          <w:i w:val="0"/>
          <w:iCs w:val="0"/>
          <w:caps w:val="0"/>
          <w:color w:val="auto"/>
          <w:spacing w:val="0"/>
          <w:sz w:val="32"/>
          <w:szCs w:val="32"/>
          <w:highlight w:val="none"/>
          <w:shd w:val="clear" w:fill="FFFFFF"/>
          <w:lang w:eastAsia="zh-CN"/>
        </w:rPr>
        <w:t>服务范围内</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eastAsia="zh-CN"/>
        </w:rPr>
        <w:t>定点零售药店数量未达限额的，可新增准入；已达到限额的，</w:t>
      </w:r>
      <w:r>
        <w:rPr>
          <w:rFonts w:hint="default" w:ascii="Times New Roman" w:hAnsi="Times New Roman" w:eastAsia="仿宋_GB2312" w:cs="Times New Roman"/>
          <w:b w:val="0"/>
          <w:bCs w:val="0"/>
          <w:i w:val="0"/>
          <w:iCs w:val="0"/>
          <w:caps w:val="0"/>
          <w:color w:val="auto"/>
          <w:spacing w:val="0"/>
          <w:sz w:val="32"/>
          <w:szCs w:val="32"/>
          <w:highlight w:val="none"/>
          <w:shd w:val="clear" w:fill="FFFFFF"/>
          <w:lang w:eastAsia="zh-CN"/>
        </w:rPr>
        <w:t>原则上不再新增</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eastAsia="zh-CN"/>
        </w:rPr>
        <w:t>定点零售药店</w:t>
      </w:r>
      <w:r>
        <w:rPr>
          <w:rFonts w:hint="default" w:ascii="Times New Roman" w:hAnsi="Times New Roman" w:eastAsia="仿宋_GB2312" w:cs="Times New Roman"/>
          <w:b w:val="0"/>
          <w:bCs w:val="0"/>
          <w:i w:val="0"/>
          <w:iCs w:val="0"/>
          <w:caps w:val="0"/>
          <w:color w:val="auto"/>
          <w:spacing w:val="0"/>
          <w:sz w:val="32"/>
          <w:szCs w:val="32"/>
          <w:highlight w:val="none"/>
          <w:shd w:val="clear" w:fill="FFFFFF"/>
          <w:lang w:eastAsia="zh-CN"/>
        </w:rPr>
        <w:t>。</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val="en-US" w:eastAsia="zh-CN"/>
        </w:rPr>
        <w:t>二级和三级定点医疗机构服务范围内分别已有4家和8家定点零售药店的，原则上暂不新增准入。</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eastAsia="zh-CN"/>
        </w:rPr>
        <w:t>人口密集区域以每家定点零售药店平均服务3000名参保人确定</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val="en-US" w:eastAsia="zh-CN"/>
        </w:rPr>
        <w:t>规划定点零售药店数量</w:t>
      </w:r>
      <w:r>
        <w:rPr>
          <w:rFonts w:hint="default" w:ascii="Times New Roman" w:hAnsi="Times New Roman" w:eastAsia="仿宋_GB2312" w:cs="Times New Roman"/>
          <w:b w:val="0"/>
          <w:bCs w:val="0"/>
          <w:i w:val="0"/>
          <w:iCs w:val="0"/>
          <w:caps w:val="0"/>
          <w:color w:val="auto"/>
          <w:spacing w:val="0"/>
          <w:sz w:val="32"/>
          <w:szCs w:val="32"/>
          <w:highlight w:val="none"/>
          <w:shd w:val="clear" w:fill="FFFFFF"/>
          <w:lang w:eastAsia="zh-CN"/>
        </w:rPr>
        <w:t>。</w:t>
      </w:r>
    </w:p>
    <w:p>
      <w:pPr>
        <w:pStyle w:val="6"/>
        <w:keepNext w:val="0"/>
        <w:keepLines w:val="0"/>
        <w:pageBreakBefore w:val="0"/>
        <w:widowControl w:val="0"/>
        <w:suppressLineNumbers w:val="0"/>
        <w:kinsoku/>
        <w:wordWrap/>
        <w:overflowPunct/>
        <w:topLinePunct w:val="0"/>
        <w:autoSpaceDE/>
        <w:autoSpaceDN/>
        <w:bidi w:val="0"/>
        <w:adjustRightInd/>
        <w:snapToGrid/>
        <w:spacing w:beforeAutospacing="0" w:afterAutospacing="0" w:line="540" w:lineRule="exact"/>
        <w:ind w:left="0" w:right="0" w:firstLine="640" w:firstLineChars="200"/>
        <w:textAlignment w:val="auto"/>
        <w:rPr>
          <w:rFonts w:hint="default" w:ascii="Times New Roman" w:hAnsi="Times New Roman" w:eastAsia="仿宋_GB2312" w:cs="Times New Roman"/>
          <w:b w:val="0"/>
          <w:bCs w:val="0"/>
          <w:i w:val="0"/>
          <w:iCs w:val="0"/>
          <w:caps w:val="0"/>
          <w:color w:val="auto"/>
          <w:spacing w:val="0"/>
          <w:sz w:val="32"/>
          <w:szCs w:val="32"/>
          <w:highlight w:val="none"/>
          <w:shd w:val="clear" w:fill="FFFFFF"/>
          <w:lang w:val="en-US" w:eastAsia="zh-CN"/>
        </w:rPr>
      </w:pPr>
      <w:r>
        <w:rPr>
          <w:rFonts w:hint="eastAsia" w:ascii="Times New Roman" w:hAnsi="Times New Roman" w:eastAsia="仿宋_GB2312" w:cs="Times New Roman"/>
          <w:b w:val="0"/>
          <w:bCs w:val="0"/>
          <w:i w:val="0"/>
          <w:iCs w:val="0"/>
          <w:caps w:val="0"/>
          <w:color w:val="auto"/>
          <w:spacing w:val="0"/>
          <w:sz w:val="32"/>
          <w:szCs w:val="32"/>
          <w:highlight w:val="none"/>
          <w:shd w:val="clear" w:fill="FFFFFF"/>
          <w:lang w:val="en-US" w:eastAsia="zh-CN"/>
        </w:rPr>
        <w:t>3.</w:t>
      </w:r>
      <w:r>
        <w:rPr>
          <w:rFonts w:hint="default" w:ascii="Times New Roman" w:hAnsi="Times New Roman" w:eastAsia="仿宋_GB2312" w:cs="Times New Roman"/>
          <w:b w:val="0"/>
          <w:bCs w:val="0"/>
          <w:i w:val="0"/>
          <w:iCs w:val="0"/>
          <w:caps w:val="0"/>
          <w:color w:val="auto"/>
          <w:spacing w:val="0"/>
          <w:sz w:val="32"/>
          <w:szCs w:val="32"/>
          <w:highlight w:val="none"/>
          <w:shd w:val="clear" w:fill="FFFFFF"/>
          <w:lang w:val="en-US" w:eastAsia="zh-CN"/>
        </w:rPr>
        <w:t>存量</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val="en-US" w:eastAsia="zh-CN"/>
        </w:rPr>
        <w:t>管理</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40" w:lineRule="exact"/>
        <w:ind w:left="0" w:right="0" w:firstLine="640" w:firstLineChars="200"/>
        <w:jc w:val="both"/>
        <w:textAlignment w:val="auto"/>
        <w:rPr>
          <w:rFonts w:hint="default" w:ascii="Times New Roman" w:hAnsi="Times New Roman" w:eastAsia="仿宋_GB2312" w:cs="Times New Roman"/>
          <w:b w:val="0"/>
          <w:bCs w:val="0"/>
          <w:i w:val="0"/>
          <w:iCs w:val="0"/>
          <w:caps w:val="0"/>
          <w:color w:val="auto"/>
          <w:spacing w:val="0"/>
          <w:sz w:val="32"/>
          <w:szCs w:val="32"/>
          <w:highlight w:val="none"/>
          <w:shd w:val="clear" w:fill="FFFFFF"/>
        </w:rPr>
      </w:pPr>
      <w:r>
        <w:rPr>
          <w:rFonts w:hint="eastAsia" w:ascii="Times New Roman" w:hAnsi="Times New Roman" w:eastAsia="仿宋_GB2312" w:cs="Times New Roman"/>
          <w:b w:val="0"/>
          <w:bCs w:val="0"/>
          <w:i w:val="0"/>
          <w:iCs w:val="0"/>
          <w:caps w:val="0"/>
          <w:color w:val="auto"/>
          <w:spacing w:val="0"/>
          <w:sz w:val="32"/>
          <w:szCs w:val="32"/>
          <w:highlight w:val="none"/>
          <w:shd w:val="clear" w:fill="FFFFFF"/>
          <w:lang w:val="en-US" w:eastAsia="zh-CN"/>
        </w:rPr>
        <w:t>定点零售药店</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实际配置情况已超</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val="en-US" w:eastAsia="zh-CN"/>
        </w:rPr>
        <w:t>出</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本规划目标的区域，原则上</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eastAsia="zh-CN"/>
        </w:rPr>
        <w:t>暂不</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新增准入，以优化存量为主</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eastAsia="zh-CN"/>
        </w:rPr>
        <w:t>。</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val="en-US" w:eastAsia="zh-CN"/>
        </w:rPr>
        <w:t>医保部门通过健全准入</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退出机制</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eastAsia="zh-CN"/>
        </w:rPr>
        <w:t>，</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val="en-US" w:eastAsia="zh-CN"/>
        </w:rPr>
        <w:t>实现定点零售药店动态管理。</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对合规经营、供应链完善、服务参保人数较多、积极履行社会责任的存量定点零售药店</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val="en-US" w:eastAsia="zh-CN"/>
        </w:rPr>
        <w:t>予以</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优先保留。</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40" w:lineRule="exact"/>
        <w:ind w:left="0" w:right="0" w:firstLine="640" w:firstLineChars="200"/>
        <w:jc w:val="both"/>
        <w:textAlignment w:val="auto"/>
        <w:rPr>
          <w:rFonts w:hint="default" w:ascii="楷体_GB2312" w:hAnsi="楷体_GB2312" w:eastAsia="楷体_GB2312" w:cs="楷体_GB2312"/>
          <w:b w:val="0"/>
          <w:bCs w:val="0"/>
          <w:i w:val="0"/>
          <w:iCs w:val="0"/>
          <w:caps w:val="0"/>
          <w:color w:val="auto"/>
          <w:spacing w:val="0"/>
          <w:sz w:val="32"/>
          <w:szCs w:val="32"/>
          <w:highlight w:val="none"/>
          <w:shd w:val="clear" w:fill="FFFFFF"/>
          <w:lang w:val="en-US" w:eastAsia="zh-CN"/>
        </w:rPr>
      </w:pPr>
      <w:r>
        <w:rPr>
          <w:rFonts w:hint="eastAsia" w:ascii="楷体_GB2312" w:hAnsi="楷体_GB2312" w:eastAsia="楷体_GB2312" w:cs="楷体_GB2312"/>
          <w:b w:val="0"/>
          <w:bCs w:val="0"/>
          <w:i w:val="0"/>
          <w:iCs w:val="0"/>
          <w:caps w:val="0"/>
          <w:color w:val="auto"/>
          <w:spacing w:val="0"/>
          <w:sz w:val="32"/>
          <w:szCs w:val="32"/>
          <w:highlight w:val="none"/>
          <w:shd w:val="clear" w:fill="FFFFFF"/>
          <w:lang w:val="en-US" w:eastAsia="zh-CN"/>
        </w:rPr>
        <w:t>（四）</w:t>
      </w:r>
      <w:r>
        <w:rPr>
          <w:rFonts w:hint="default" w:ascii="楷体_GB2312" w:hAnsi="楷体_GB2312" w:eastAsia="楷体_GB2312" w:cs="楷体_GB2312"/>
          <w:b w:val="0"/>
          <w:bCs w:val="0"/>
          <w:i w:val="0"/>
          <w:iCs w:val="0"/>
          <w:caps w:val="0"/>
          <w:color w:val="auto"/>
          <w:spacing w:val="0"/>
          <w:sz w:val="32"/>
          <w:szCs w:val="32"/>
          <w:highlight w:val="none"/>
          <w:shd w:val="clear" w:fill="FFFFFF"/>
          <w:lang w:val="en-US" w:eastAsia="zh-CN"/>
        </w:rPr>
        <w:t>特殊情形</w:t>
      </w:r>
    </w:p>
    <w:p>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40" w:lineRule="exact"/>
        <w:ind w:left="0" w:right="0" w:firstLine="640" w:firstLineChars="200"/>
        <w:jc w:val="both"/>
        <w:textAlignment w:val="auto"/>
        <w:rPr>
          <w:rFonts w:hint="eastAsia" w:ascii="Times New Roman" w:hAnsi="Times New Roman" w:eastAsia="仿宋_GB2312" w:cs="Times New Roman"/>
          <w:b w:val="0"/>
          <w:bCs w:val="0"/>
          <w:i w:val="0"/>
          <w:iCs w:val="0"/>
          <w:caps w:val="0"/>
          <w:color w:val="auto"/>
          <w:spacing w:val="0"/>
          <w:sz w:val="32"/>
          <w:szCs w:val="32"/>
          <w:highlight w:val="none"/>
          <w:shd w:val="clear" w:fill="FFFFFF"/>
          <w:lang w:val="en-US" w:eastAsia="zh-CN"/>
        </w:rPr>
      </w:pPr>
      <w:r>
        <w:rPr>
          <w:rFonts w:hint="eastAsia" w:ascii="Times New Roman" w:hAnsi="Times New Roman" w:eastAsia="仿宋_GB2312" w:cs="Times New Roman"/>
          <w:b w:val="0"/>
          <w:bCs w:val="0"/>
          <w:i w:val="0"/>
          <w:iCs w:val="0"/>
          <w:caps w:val="0"/>
          <w:color w:val="auto"/>
          <w:spacing w:val="0"/>
          <w:sz w:val="32"/>
          <w:szCs w:val="32"/>
          <w:highlight w:val="none"/>
          <w:shd w:val="clear" w:fill="FFFFFF"/>
          <w:lang w:val="en-US" w:eastAsia="zh-CN"/>
        </w:rPr>
        <w:t>1.纳入规划限制的情形</w:t>
      </w:r>
    </w:p>
    <w:p>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40" w:lineRule="exact"/>
        <w:ind w:left="0" w:right="0" w:firstLine="640" w:firstLineChars="200"/>
        <w:jc w:val="both"/>
        <w:textAlignment w:val="auto"/>
        <w:rPr>
          <w:rFonts w:hint="eastAsia" w:ascii="Times New Roman" w:hAnsi="Times New Roman" w:eastAsia="仿宋_GB2312" w:cs="Times New Roman"/>
          <w:b w:val="0"/>
          <w:bCs w:val="0"/>
          <w:i w:val="0"/>
          <w:iCs w:val="0"/>
          <w:caps w:val="0"/>
          <w:color w:val="auto"/>
          <w:spacing w:val="0"/>
          <w:sz w:val="32"/>
          <w:szCs w:val="32"/>
          <w:highlight w:val="none"/>
          <w:shd w:val="clear" w:fill="FFFFFF"/>
          <w:lang w:eastAsia="zh-CN"/>
        </w:rPr>
      </w:pPr>
      <w:r>
        <w:rPr>
          <w:rFonts w:hint="eastAsia" w:ascii="Times New Roman" w:hAnsi="Times New Roman" w:eastAsia="仿宋_GB2312" w:cs="Times New Roman"/>
          <w:b w:val="0"/>
          <w:bCs w:val="0"/>
          <w:i w:val="0"/>
          <w:iCs w:val="0"/>
          <w:caps w:val="0"/>
          <w:color w:val="auto"/>
          <w:spacing w:val="0"/>
          <w:sz w:val="32"/>
          <w:szCs w:val="32"/>
          <w:highlight w:val="none"/>
          <w:shd w:val="clear" w:fill="FFFFFF"/>
          <w:lang w:eastAsia="zh-CN"/>
        </w:rPr>
        <w:t>（</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1</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eastAsia="zh-CN"/>
        </w:rPr>
        <w:t>）新增执业地点（新设分院区）的定点医疗机构视同新增定点，执行本规划。</w:t>
      </w:r>
    </w:p>
    <w:p>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40" w:lineRule="exact"/>
        <w:ind w:left="0" w:right="0" w:firstLine="640" w:firstLineChars="200"/>
        <w:jc w:val="both"/>
        <w:textAlignment w:val="auto"/>
        <w:rPr>
          <w:rFonts w:hint="eastAsia" w:ascii="Times New Roman" w:hAnsi="Times New Roman" w:eastAsia="仿宋_GB2312" w:cs="Times New Roman"/>
          <w:b w:val="0"/>
          <w:bCs w:val="0"/>
          <w:i w:val="0"/>
          <w:iCs w:val="0"/>
          <w:caps w:val="0"/>
          <w:color w:val="auto"/>
          <w:spacing w:val="0"/>
          <w:sz w:val="32"/>
          <w:szCs w:val="32"/>
          <w:highlight w:val="none"/>
          <w:shd w:val="clear" w:fill="FFFFFF"/>
          <w:lang w:val="en-US" w:eastAsia="zh-CN"/>
        </w:rPr>
      </w:pPr>
      <w:r>
        <w:rPr>
          <w:rFonts w:hint="eastAsia" w:ascii="Times New Roman" w:hAnsi="Times New Roman" w:eastAsia="仿宋_GB2312" w:cs="Times New Roman"/>
          <w:b w:val="0"/>
          <w:bCs w:val="0"/>
          <w:i w:val="0"/>
          <w:iCs w:val="0"/>
          <w:caps w:val="0"/>
          <w:color w:val="auto"/>
          <w:spacing w:val="0"/>
          <w:sz w:val="32"/>
          <w:szCs w:val="32"/>
          <w:highlight w:val="none"/>
          <w:shd w:val="clear" w:fill="FFFFFF"/>
          <w:lang w:eastAsia="zh-CN"/>
        </w:rPr>
        <w:t>（</w:t>
      </w:r>
      <w:r>
        <w:rPr>
          <w:rFonts w:hint="default" w:ascii="Times New Roman" w:hAnsi="Times New Roman" w:eastAsia="仿宋_GB2312" w:cs="Times New Roman"/>
          <w:b w:val="0"/>
          <w:bCs w:val="0"/>
          <w:i w:val="0"/>
          <w:iCs w:val="0"/>
          <w:caps w:val="0"/>
          <w:color w:val="auto"/>
          <w:spacing w:val="0"/>
          <w:sz w:val="32"/>
          <w:szCs w:val="32"/>
          <w:highlight w:val="none"/>
          <w:shd w:val="clear" w:fill="FFFFFF"/>
          <w:lang w:eastAsia="zh-CN"/>
        </w:rPr>
        <w:t>2</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eastAsia="zh-CN"/>
        </w:rPr>
        <w:t>）变更注册地址的定点医药机构，执行本规划。</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val="en-US" w:eastAsia="zh-CN"/>
        </w:rPr>
        <w:t>门诊类定点医疗机构及定点零售药店新注册地址在原注册地址服务范围以内的情形除外。</w:t>
      </w:r>
    </w:p>
    <w:p>
      <w:pPr>
        <w:keepNext w:val="0"/>
        <w:keepLines w:val="0"/>
        <w:pageBreakBefore w:val="0"/>
        <w:widowControl/>
        <w:suppressLineNumbers w:val="0"/>
        <w:pBdr>
          <w:bottom w:val="none" w:color="auto" w:sz="0" w:space="0"/>
        </w:pBdr>
        <w:shd w:val="clear" w:fill="FFFFFF"/>
        <w:kinsoku/>
        <w:wordWrap/>
        <w:overflowPunct/>
        <w:topLinePunct w:val="0"/>
        <w:autoSpaceDE/>
        <w:autoSpaceDN/>
        <w:bidi w:val="0"/>
        <w:adjustRightInd/>
        <w:spacing w:beforeAutospacing="0" w:after="0" w:afterAutospacing="0" w:line="540" w:lineRule="exact"/>
        <w:ind w:right="0" w:firstLine="640" w:firstLineChars="200"/>
        <w:jc w:val="both"/>
        <w:textAlignment w:val="auto"/>
        <w:rPr>
          <w:rFonts w:hint="default" w:ascii="Times New Roman" w:hAnsi="Times New Roman" w:eastAsia="仿宋_GB2312" w:cs="Times New Roman"/>
          <w:b w:val="0"/>
          <w:bCs w:val="0"/>
          <w:i w:val="0"/>
          <w:iCs w:val="0"/>
          <w:caps w:val="0"/>
          <w:color w:val="auto"/>
          <w:spacing w:val="0"/>
          <w:sz w:val="32"/>
          <w:szCs w:val="32"/>
          <w:highlight w:val="none"/>
          <w:shd w:val="clear" w:fill="FFFFFF"/>
          <w:lang w:val="en-US" w:eastAsia="zh-CN"/>
        </w:rPr>
      </w:pPr>
      <w:r>
        <w:rPr>
          <w:rFonts w:hint="eastAsia" w:ascii="Times New Roman" w:hAnsi="Times New Roman" w:eastAsia="仿宋_GB2312" w:cs="Times New Roman"/>
          <w:b w:val="0"/>
          <w:bCs w:val="0"/>
          <w:i w:val="0"/>
          <w:iCs w:val="0"/>
          <w:caps w:val="0"/>
          <w:color w:val="auto"/>
          <w:spacing w:val="0"/>
          <w:sz w:val="32"/>
          <w:szCs w:val="32"/>
          <w:highlight w:val="none"/>
          <w:shd w:val="clear" w:fill="FFFFFF"/>
          <w:lang w:val="en-US" w:eastAsia="zh-CN"/>
        </w:rPr>
        <w:t>2.以下情况</w:t>
      </w:r>
      <w:r>
        <w:rPr>
          <w:rFonts w:hint="default" w:ascii="Times New Roman" w:hAnsi="Times New Roman" w:eastAsia="仿宋_GB2312" w:cs="Times New Roman"/>
          <w:b w:val="0"/>
          <w:bCs w:val="0"/>
          <w:i w:val="0"/>
          <w:iCs w:val="0"/>
          <w:caps w:val="0"/>
          <w:color w:val="auto"/>
          <w:spacing w:val="0"/>
          <w:sz w:val="32"/>
          <w:szCs w:val="32"/>
          <w:highlight w:val="none"/>
          <w:shd w:val="clear" w:fill="FFFFFF"/>
          <w:lang w:val="en-US" w:eastAsia="zh-CN"/>
        </w:rPr>
        <w:t>不纳入规划限制的情形</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val="en-US" w:eastAsia="zh-CN"/>
        </w:rPr>
        <w:t>，但床位数计入相应的规划总量管理。</w:t>
      </w:r>
    </w:p>
    <w:p>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40" w:lineRule="exact"/>
        <w:ind w:left="0" w:right="0" w:firstLine="640" w:firstLineChars="200"/>
        <w:jc w:val="both"/>
        <w:textAlignment w:val="auto"/>
        <w:rPr>
          <w:rFonts w:hint="eastAsia" w:ascii="Times New Roman" w:hAnsi="Times New Roman" w:eastAsia="仿宋_GB2312" w:cs="Times New Roman"/>
          <w:b w:val="0"/>
          <w:bCs w:val="0"/>
          <w:i w:val="0"/>
          <w:iCs w:val="0"/>
          <w:caps w:val="0"/>
          <w:color w:val="auto"/>
          <w:spacing w:val="0"/>
          <w:sz w:val="32"/>
          <w:szCs w:val="32"/>
          <w:highlight w:val="none"/>
          <w:lang w:eastAsia="zh-CN"/>
        </w:rPr>
      </w:pPr>
      <w:r>
        <w:rPr>
          <w:rFonts w:hint="eastAsia" w:ascii="Times New Roman" w:hAnsi="Times New Roman" w:eastAsia="仿宋_GB2312" w:cs="Times New Roman"/>
          <w:b w:val="0"/>
          <w:bCs w:val="0"/>
          <w:i w:val="0"/>
          <w:iCs w:val="0"/>
          <w:caps w:val="0"/>
          <w:color w:val="auto"/>
          <w:spacing w:val="0"/>
          <w:sz w:val="32"/>
          <w:szCs w:val="32"/>
          <w:highlight w:val="none"/>
          <w:shd w:val="clear" w:fill="FFFFFF"/>
          <w:lang w:val="en-US" w:eastAsia="zh-CN"/>
        </w:rPr>
        <w:t>（</w:t>
      </w:r>
      <w:r>
        <w:rPr>
          <w:rFonts w:hint="default" w:ascii="Times New Roman" w:hAnsi="Times New Roman" w:eastAsia="仿宋_GB2312" w:cs="Times New Roman"/>
          <w:b w:val="0"/>
          <w:bCs w:val="0"/>
          <w:i w:val="0"/>
          <w:iCs w:val="0"/>
          <w:caps w:val="0"/>
          <w:color w:val="auto"/>
          <w:spacing w:val="0"/>
          <w:sz w:val="32"/>
          <w:szCs w:val="32"/>
          <w:highlight w:val="none"/>
          <w:shd w:val="clear" w:fill="FFFFFF"/>
          <w:lang w:val="en-US" w:eastAsia="zh-CN"/>
        </w:rPr>
        <w:t>1</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val="en-US" w:eastAsia="zh-CN"/>
        </w:rPr>
        <w:t>）</w:t>
      </w:r>
      <w:r>
        <w:rPr>
          <w:rFonts w:hint="default" w:ascii="Times New Roman" w:hAnsi="Times New Roman" w:eastAsia="仿宋_GB2312" w:cs="Times New Roman"/>
          <w:b w:val="0"/>
          <w:bCs w:val="0"/>
          <w:i w:val="0"/>
          <w:iCs w:val="0"/>
          <w:caps w:val="0"/>
          <w:color w:val="auto"/>
          <w:spacing w:val="0"/>
          <w:sz w:val="32"/>
          <w:szCs w:val="32"/>
          <w:highlight w:val="none"/>
          <w:shd w:val="clear" w:fill="FFFFFF"/>
          <w:lang w:val="en-US" w:eastAsia="zh-CN"/>
        </w:rPr>
        <w:t>列入国家、</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省、市重点建设项目范围的医疗机构</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eastAsia="zh-CN"/>
        </w:rPr>
        <w:t>；</w:t>
      </w:r>
    </w:p>
    <w:p>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40" w:lineRule="exact"/>
        <w:ind w:left="0" w:right="0" w:firstLine="640" w:firstLineChars="200"/>
        <w:jc w:val="both"/>
        <w:textAlignment w:val="auto"/>
        <w:rPr>
          <w:rFonts w:hint="eastAsia" w:ascii="Times New Roman" w:hAnsi="Times New Roman" w:eastAsia="仿宋_GB2312" w:cs="Times New Roman"/>
          <w:b w:val="0"/>
          <w:bCs w:val="0"/>
          <w:i w:val="0"/>
          <w:iCs w:val="0"/>
          <w:caps w:val="0"/>
          <w:color w:val="auto"/>
          <w:spacing w:val="0"/>
          <w:sz w:val="32"/>
          <w:szCs w:val="32"/>
          <w:highlight w:val="none"/>
          <w:shd w:val="clear" w:fill="FFFFFF"/>
          <w:lang w:eastAsia="zh-CN"/>
        </w:rPr>
      </w:pPr>
      <w:r>
        <w:rPr>
          <w:rFonts w:hint="eastAsia" w:ascii="Times New Roman" w:hAnsi="Times New Roman" w:eastAsia="仿宋_GB2312" w:cs="Times New Roman"/>
          <w:b w:val="0"/>
          <w:bCs w:val="0"/>
          <w:i w:val="0"/>
          <w:iCs w:val="0"/>
          <w:caps w:val="0"/>
          <w:color w:val="auto"/>
          <w:spacing w:val="0"/>
          <w:sz w:val="32"/>
          <w:szCs w:val="32"/>
          <w:highlight w:val="none"/>
          <w:shd w:val="clear" w:fill="FFFFFF"/>
          <w:lang w:eastAsia="zh-CN"/>
        </w:rPr>
        <w:t>（</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2</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eastAsia="zh-CN"/>
        </w:rPr>
        <w:t>）</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承担公共卫生服务职能的社区卫生服务</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val="en-US" w:eastAsia="zh-CN"/>
        </w:rPr>
        <w:t>中心</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、乡镇卫生院</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eastAsia="zh-CN"/>
        </w:rPr>
        <w:t>、</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val="en-US" w:eastAsia="zh-CN"/>
        </w:rPr>
        <w:t>村卫生站等</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eastAsia="zh-CN"/>
        </w:rPr>
        <w:t>；</w:t>
      </w:r>
    </w:p>
    <w:p>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40" w:lineRule="exact"/>
        <w:ind w:left="0" w:right="0" w:firstLine="640" w:firstLineChars="200"/>
        <w:jc w:val="both"/>
        <w:textAlignment w:val="auto"/>
        <w:rPr>
          <w:rFonts w:hint="eastAsia" w:ascii="Times New Roman" w:hAnsi="Times New Roman" w:eastAsia="仿宋_GB2312" w:cs="Times New Roman"/>
          <w:b w:val="0"/>
          <w:bCs w:val="0"/>
          <w:i w:val="0"/>
          <w:iCs w:val="0"/>
          <w:caps w:val="0"/>
          <w:color w:val="auto"/>
          <w:spacing w:val="0"/>
          <w:sz w:val="32"/>
          <w:szCs w:val="32"/>
          <w:highlight w:val="none"/>
          <w:lang w:eastAsia="zh-CN"/>
        </w:rPr>
      </w:pPr>
      <w:r>
        <w:rPr>
          <w:rFonts w:hint="eastAsia" w:ascii="Times New Roman" w:hAnsi="Times New Roman" w:eastAsia="仿宋_GB2312" w:cs="Times New Roman"/>
          <w:b w:val="0"/>
          <w:bCs w:val="0"/>
          <w:i w:val="0"/>
          <w:iCs w:val="0"/>
          <w:caps w:val="0"/>
          <w:color w:val="auto"/>
          <w:spacing w:val="0"/>
          <w:sz w:val="32"/>
          <w:szCs w:val="32"/>
          <w:highlight w:val="none"/>
          <w:shd w:val="clear" w:fill="FFFFFF"/>
          <w:lang w:eastAsia="zh-CN"/>
        </w:rPr>
        <w:t>（</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3</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eastAsia="zh-CN"/>
        </w:rPr>
        <w:t>）</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养老机构</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val="en-US" w:eastAsia="zh-CN"/>
        </w:rPr>
        <w:t>内设</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医疗机构</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eastAsia="zh-CN"/>
        </w:rPr>
        <w:t>、</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高校内设</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val="en-US" w:eastAsia="zh-CN"/>
        </w:rPr>
        <w:t>门诊部等主要为内部人员提供服务的机构</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eastAsia="zh-CN"/>
        </w:rPr>
        <w:t>；</w:t>
      </w:r>
    </w:p>
    <w:p>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40" w:lineRule="exact"/>
        <w:ind w:left="0" w:right="0" w:firstLine="640" w:firstLineChars="200"/>
        <w:jc w:val="both"/>
        <w:textAlignment w:val="auto"/>
        <w:rPr>
          <w:rFonts w:hint="eastAsia" w:ascii="Times New Roman" w:hAnsi="Times New Roman" w:eastAsia="仿宋_GB2312" w:cs="Times New Roman"/>
          <w:b w:val="0"/>
          <w:bCs w:val="0"/>
          <w:i w:val="0"/>
          <w:iCs w:val="0"/>
          <w:caps w:val="0"/>
          <w:color w:val="auto"/>
          <w:spacing w:val="0"/>
          <w:sz w:val="32"/>
          <w:szCs w:val="32"/>
          <w:highlight w:val="none"/>
          <w:lang w:eastAsia="zh-CN"/>
        </w:rPr>
      </w:pPr>
      <w:r>
        <w:rPr>
          <w:rFonts w:hint="eastAsia" w:ascii="Times New Roman" w:hAnsi="Times New Roman" w:eastAsia="仿宋_GB2312" w:cs="Times New Roman"/>
          <w:b w:val="0"/>
          <w:bCs w:val="0"/>
          <w:i w:val="0"/>
          <w:iCs w:val="0"/>
          <w:caps w:val="0"/>
          <w:color w:val="auto"/>
          <w:spacing w:val="0"/>
          <w:sz w:val="32"/>
          <w:szCs w:val="32"/>
          <w:highlight w:val="none"/>
          <w:shd w:val="clear" w:fill="FFFFFF"/>
          <w:lang w:eastAsia="zh-CN"/>
        </w:rPr>
        <w:t>（</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4</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eastAsia="zh-CN"/>
        </w:rPr>
        <w:t>）</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val="en-US" w:eastAsia="zh-CN"/>
        </w:rPr>
        <w:t>经会同卫生健康部门评估，确属我市</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医疗技术短板</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val="en-US" w:eastAsia="zh-CN"/>
        </w:rPr>
        <w:t>且能够</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提供高水平差异化服务的专科医疗机构</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eastAsia="zh-CN"/>
        </w:rPr>
        <w:t>。</w:t>
      </w:r>
    </w:p>
    <w:p>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40" w:lineRule="exact"/>
        <w:ind w:left="0" w:right="0" w:firstLine="640" w:firstLineChars="200"/>
        <w:jc w:val="both"/>
        <w:textAlignment w:val="auto"/>
        <w:rPr>
          <w:rFonts w:hint="default" w:ascii="Times New Roman" w:hAnsi="Times New Roman" w:eastAsia="仿宋_GB2312" w:cs="Times New Roman"/>
          <w:b w:val="0"/>
          <w:bCs w:val="0"/>
          <w:i w:val="0"/>
          <w:iCs w:val="0"/>
          <w:caps w:val="0"/>
          <w:color w:val="auto"/>
          <w:spacing w:val="0"/>
          <w:sz w:val="32"/>
          <w:szCs w:val="32"/>
          <w:highlight w:val="none"/>
          <w:shd w:val="clear" w:fill="FFFFFF"/>
          <w:lang w:val="en-US" w:eastAsia="zh-CN"/>
        </w:rPr>
      </w:pPr>
      <w:r>
        <w:rPr>
          <w:rFonts w:hint="eastAsia" w:ascii="Times New Roman" w:hAnsi="Times New Roman" w:eastAsia="仿宋_GB2312" w:cs="Times New Roman"/>
          <w:b w:val="0"/>
          <w:bCs w:val="0"/>
          <w:i w:val="0"/>
          <w:iCs w:val="0"/>
          <w:caps w:val="0"/>
          <w:color w:val="auto"/>
          <w:spacing w:val="0"/>
          <w:sz w:val="32"/>
          <w:szCs w:val="32"/>
          <w:highlight w:val="none"/>
          <w:shd w:val="clear" w:fill="FFFFFF"/>
          <w:lang w:val="en-US" w:eastAsia="zh-CN"/>
        </w:rPr>
        <w:t>3.</w:t>
      </w:r>
      <w:r>
        <w:rPr>
          <w:rFonts w:hint="default" w:ascii="Times New Roman" w:hAnsi="Times New Roman" w:eastAsia="仿宋_GB2312" w:cs="Times New Roman"/>
          <w:b w:val="0"/>
          <w:bCs w:val="0"/>
          <w:i w:val="0"/>
          <w:iCs w:val="0"/>
          <w:caps w:val="0"/>
          <w:color w:val="auto"/>
          <w:spacing w:val="0"/>
          <w:sz w:val="32"/>
          <w:szCs w:val="32"/>
          <w:highlight w:val="none"/>
          <w:shd w:val="clear" w:fill="FFFFFF"/>
          <w:lang w:val="en-US" w:eastAsia="zh-CN"/>
        </w:rPr>
        <w:t>其他特殊情形</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40" w:lineRule="exact"/>
        <w:ind w:left="0" w:right="0" w:firstLine="640" w:firstLineChars="200"/>
        <w:jc w:val="both"/>
        <w:textAlignment w:val="auto"/>
        <w:rPr>
          <w:rFonts w:hint="default" w:ascii="Times New Roman" w:hAnsi="Times New Roman" w:eastAsia="仿宋_GB2312" w:cs="Times New Roman"/>
          <w:b w:val="0"/>
          <w:bCs w:val="0"/>
          <w:i w:val="0"/>
          <w:iCs w:val="0"/>
          <w:caps w:val="0"/>
          <w:color w:val="auto"/>
          <w:spacing w:val="0"/>
          <w:sz w:val="32"/>
          <w:szCs w:val="32"/>
          <w:highlight w:val="none"/>
          <w:shd w:val="clear" w:fill="FFFFFF"/>
        </w:rPr>
      </w:pPr>
      <w:r>
        <w:rPr>
          <w:rFonts w:hint="eastAsia" w:ascii="Times New Roman" w:hAnsi="Times New Roman" w:eastAsia="仿宋_GB2312" w:cs="Times New Roman"/>
          <w:b w:val="0"/>
          <w:bCs w:val="0"/>
          <w:i w:val="0"/>
          <w:iCs w:val="0"/>
          <w:caps w:val="0"/>
          <w:color w:val="auto"/>
          <w:spacing w:val="0"/>
          <w:sz w:val="32"/>
          <w:szCs w:val="32"/>
          <w:highlight w:val="none"/>
          <w:shd w:val="clear" w:fill="FFFFFF"/>
          <w:lang w:val="en-US" w:eastAsia="zh-CN"/>
        </w:rPr>
        <w:t>当</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收到上级医保部门基金运行预警</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val="en-US" w:eastAsia="zh-CN"/>
        </w:rPr>
        <w:t>的</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val="en-US" w:eastAsia="zh-CN"/>
        </w:rPr>
        <w:t>风险解除前，</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原则上不再新增定点医药机构。对连续超过</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val="en-US" w:eastAsia="zh-CN"/>
        </w:rPr>
        <w:t>6</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个月未发生医保结算（包括统筹基金支付与个人账户支付）的定点</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eastAsia="zh-CN"/>
        </w:rPr>
        <w:t>医药机构</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，医保经办机构应及时核查</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eastAsia="zh-CN"/>
        </w:rPr>
        <w:t>，</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并按规定</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val="en-US" w:eastAsia="zh-CN"/>
        </w:rPr>
        <w:t>采取协商</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解除</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val="en-US" w:eastAsia="zh-CN"/>
        </w:rPr>
        <w:t>或到期不再续签</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医保服务协议</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val="en-US" w:eastAsia="zh-CN"/>
        </w:rPr>
        <w:t>的方式</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eastAsia="zh-CN"/>
        </w:rPr>
        <w:t>，</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val="en-US" w:eastAsia="zh-CN"/>
        </w:rPr>
        <w:t>释放</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资源配置额度用于支持服务空白或</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val="en-US" w:eastAsia="zh-CN"/>
        </w:rPr>
        <w:t>较为</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薄弱区域的</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eastAsia="zh-CN"/>
        </w:rPr>
        <w:t>定点医药机构</w:t>
      </w:r>
      <w:r>
        <w:rPr>
          <w:rFonts w:hint="default" w:ascii="Times New Roman" w:hAnsi="Times New Roman" w:eastAsia="仿宋_GB2312" w:cs="Times New Roman"/>
          <w:b w:val="0"/>
          <w:bCs w:val="0"/>
          <w:i w:val="0"/>
          <w:iCs w:val="0"/>
          <w:caps w:val="0"/>
          <w:color w:val="auto"/>
          <w:spacing w:val="0"/>
          <w:sz w:val="32"/>
          <w:szCs w:val="32"/>
          <w:highlight w:val="none"/>
          <w:shd w:val="clear" w:fill="FFFFFF"/>
        </w:rPr>
        <w:t>准入。</w:t>
      </w:r>
    </w:p>
    <w:bookmarkEnd w:id="3"/>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outlineLvl w:val="1"/>
        <w:rPr>
          <w:rFonts w:hint="eastAsia" w:ascii="黑体" w:hAnsi="黑体" w:eastAsia="黑体" w:cs="黑体"/>
          <w:b w:val="0"/>
          <w:bCs w:val="0"/>
          <w:i w:val="0"/>
          <w:iCs w:val="0"/>
          <w:caps w:val="0"/>
          <w:color w:val="auto"/>
          <w:spacing w:val="0"/>
          <w:kern w:val="0"/>
          <w:sz w:val="32"/>
          <w:szCs w:val="32"/>
          <w:highlight w:val="none"/>
          <w:shd w:val="clear" w:fill="FFFFFF"/>
          <w:lang w:val="en-US" w:eastAsia="zh-CN" w:bidi="ar"/>
        </w:rPr>
      </w:pPr>
      <w:bookmarkStart w:id="4" w:name="heading_14"/>
      <w:r>
        <w:rPr>
          <w:rFonts w:hint="eastAsia" w:ascii="黑体" w:hAnsi="黑体" w:eastAsia="黑体" w:cs="黑体"/>
          <w:b w:val="0"/>
          <w:bCs w:val="0"/>
          <w:i w:val="0"/>
          <w:iCs w:val="0"/>
          <w:caps w:val="0"/>
          <w:color w:val="auto"/>
          <w:spacing w:val="0"/>
          <w:kern w:val="0"/>
          <w:sz w:val="32"/>
          <w:szCs w:val="32"/>
          <w:highlight w:val="none"/>
          <w:shd w:val="clear" w:fill="FFFFFF"/>
          <w:lang w:val="en-US" w:eastAsia="zh-CN" w:bidi="ar"/>
        </w:rPr>
        <w:t>五、</w:t>
      </w:r>
      <w:bookmarkEnd w:id="4"/>
      <w:r>
        <w:rPr>
          <w:rFonts w:hint="eastAsia" w:ascii="黑体" w:hAnsi="黑体" w:eastAsia="黑体" w:cs="黑体"/>
          <w:b w:val="0"/>
          <w:bCs w:val="0"/>
          <w:i w:val="0"/>
          <w:iCs w:val="0"/>
          <w:caps w:val="0"/>
          <w:color w:val="auto"/>
          <w:spacing w:val="0"/>
          <w:kern w:val="0"/>
          <w:sz w:val="32"/>
          <w:szCs w:val="32"/>
          <w:highlight w:val="none"/>
          <w:shd w:val="clear" w:fill="FFFFFF"/>
          <w:lang w:val="en-US" w:eastAsia="zh-CN" w:bidi="ar"/>
        </w:rPr>
        <w:t>工作要求</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楷体_GB2312" w:hAnsi="楷体_GB2312" w:eastAsia="楷体_GB2312" w:cs="楷体_GB2312"/>
          <w:b w:val="0"/>
          <w:bCs w:val="0"/>
          <w:i w:val="0"/>
          <w:iCs w:val="0"/>
          <w:caps w:val="0"/>
          <w:color w:val="auto"/>
          <w:spacing w:val="0"/>
          <w:kern w:val="0"/>
          <w:sz w:val="32"/>
          <w:szCs w:val="32"/>
          <w:highlight w:val="none"/>
          <w:shd w:val="clear" w:fill="FFFFFF"/>
          <w:lang w:val="en-US" w:eastAsia="zh-CN" w:bidi="ar"/>
        </w:rPr>
      </w:pPr>
      <w:r>
        <w:rPr>
          <w:rFonts w:hint="eastAsia" w:ascii="楷体_GB2312" w:hAnsi="楷体_GB2312" w:eastAsia="楷体_GB2312" w:cs="楷体_GB2312"/>
          <w:b w:val="0"/>
          <w:bCs w:val="0"/>
          <w:i w:val="0"/>
          <w:iCs w:val="0"/>
          <w:caps w:val="0"/>
          <w:color w:val="auto"/>
          <w:spacing w:val="0"/>
          <w:kern w:val="0"/>
          <w:sz w:val="32"/>
          <w:szCs w:val="32"/>
          <w:highlight w:val="none"/>
          <w:shd w:val="clear" w:fill="FFFFFF"/>
          <w:lang w:val="en-US" w:eastAsia="zh-CN" w:bidi="ar"/>
        </w:rPr>
        <w:t>（一）加强组织领导</w:t>
      </w:r>
    </w:p>
    <w:p>
      <w:pPr>
        <w:pStyle w:val="5"/>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40" w:lineRule="exact"/>
        <w:ind w:left="0" w:right="0" w:firstLine="640" w:firstLineChars="200"/>
        <w:textAlignment w:val="auto"/>
        <w:rPr>
          <w:rFonts w:hint="eastAsia" w:ascii="Times New Roman" w:hAnsi="Times New Roman" w:eastAsia="仿宋_GB2312" w:cs="Times New Roman"/>
          <w:b w:val="0"/>
          <w:bCs w:val="0"/>
          <w:i w:val="0"/>
          <w:iCs w:val="0"/>
          <w:caps w:val="0"/>
          <w:color w:val="auto"/>
          <w:spacing w:val="0"/>
          <w:sz w:val="32"/>
          <w:szCs w:val="32"/>
          <w:highlight w:val="none"/>
          <w:shd w:val="clear" w:fill="FFFFFF"/>
          <w:lang w:eastAsia="zh-CN"/>
        </w:rPr>
      </w:pPr>
      <w:r>
        <w:rPr>
          <w:rFonts w:hint="eastAsia" w:ascii="Times New Roman" w:hAnsi="Times New Roman" w:eastAsia="仿宋_GB2312" w:cs="Times New Roman"/>
          <w:b w:val="0"/>
          <w:bCs w:val="0"/>
          <w:i w:val="0"/>
          <w:iCs w:val="0"/>
          <w:caps w:val="0"/>
          <w:color w:val="auto"/>
          <w:spacing w:val="0"/>
          <w:sz w:val="32"/>
          <w:szCs w:val="32"/>
          <w:highlight w:val="none"/>
          <w:shd w:val="clear" w:fill="FFFFFF"/>
          <w:lang w:eastAsia="zh-CN"/>
        </w:rPr>
        <w:t>各级医保部门要切实加强领导，落实责任，各司其职，协同推进，确保我市定点医药机构资源配置得到落实，平稳有序地开展相关工作。市医保行政部门统筹全市规划实施，市医保经办机构根据规划确定的目标和原则，制定定点医药机构年度受理计划并组织实施。各县（市、区）医保部门、市医保经办机构按辖属管理原则，开展医保协议管理、考核等工作，做好定点医药机构准入、监督、退出的闭环管理，提供经办服务，将规划执行纳入医保重点工作并抓好落地实施，确保定点医药机构资源规划工作平稳开展。</w:t>
      </w:r>
    </w:p>
    <w:p>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Autospacing="0" w:afterAutospacing="0" w:line="540" w:lineRule="exact"/>
        <w:ind w:right="0" w:rightChars="0" w:firstLine="640" w:firstLineChars="200"/>
        <w:jc w:val="both"/>
        <w:textAlignment w:val="auto"/>
        <w:rPr>
          <w:rFonts w:hint="eastAsia" w:ascii="楷体_GB2312" w:hAnsi="楷体_GB2312" w:eastAsia="楷体_GB2312" w:cs="楷体_GB2312"/>
          <w:b w:val="0"/>
          <w:bCs w:val="0"/>
          <w:i w:val="0"/>
          <w:iCs w:val="0"/>
          <w:caps w:val="0"/>
          <w:color w:val="auto"/>
          <w:spacing w:val="0"/>
          <w:kern w:val="0"/>
          <w:sz w:val="32"/>
          <w:szCs w:val="32"/>
          <w:highlight w:val="none"/>
          <w:shd w:val="clear" w:fill="FFFFFF"/>
          <w:lang w:val="en-US" w:eastAsia="zh-CN" w:bidi="ar"/>
        </w:rPr>
      </w:pPr>
      <w:r>
        <w:rPr>
          <w:rFonts w:hint="eastAsia" w:ascii="楷体_GB2312" w:hAnsi="楷体_GB2312" w:eastAsia="楷体_GB2312" w:cs="楷体_GB2312"/>
          <w:b w:val="0"/>
          <w:bCs w:val="0"/>
          <w:i w:val="0"/>
          <w:iCs w:val="0"/>
          <w:caps w:val="0"/>
          <w:color w:val="auto"/>
          <w:spacing w:val="0"/>
          <w:kern w:val="0"/>
          <w:sz w:val="32"/>
          <w:szCs w:val="32"/>
          <w:highlight w:val="none"/>
          <w:shd w:val="clear" w:fill="FFFFFF"/>
          <w:lang w:val="en-US" w:eastAsia="zh-CN" w:bidi="ar"/>
        </w:rPr>
        <w:t>（二）强化管理监督</w:t>
      </w:r>
    </w:p>
    <w:p>
      <w:pPr>
        <w:keepNext w:val="0"/>
        <w:keepLines w:val="0"/>
        <w:pageBreakBefore w:val="0"/>
        <w:kinsoku/>
        <w:wordWrap/>
        <w:overflowPunct/>
        <w:topLinePunct w:val="0"/>
        <w:autoSpaceDE/>
        <w:autoSpaceDN/>
        <w:bidi w:val="0"/>
        <w:adjustRightInd/>
        <w:snapToGrid w:val="0"/>
        <w:spacing w:line="5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color w:val="auto"/>
          <w:sz w:val="32"/>
          <w:szCs w:val="32"/>
        </w:rPr>
        <w:t>各</w:t>
      </w:r>
      <w:r>
        <w:rPr>
          <w:rFonts w:hint="eastAsia" w:ascii="仿宋_GB2312" w:hAnsi="仿宋_GB2312" w:eastAsia="仿宋_GB2312" w:cs="仿宋_GB2312"/>
          <w:color w:val="auto"/>
          <w:sz w:val="32"/>
          <w:szCs w:val="32"/>
          <w:lang w:eastAsia="zh-CN"/>
        </w:rPr>
        <w:t>级</w:t>
      </w:r>
      <w:r>
        <w:rPr>
          <w:rFonts w:hint="eastAsia" w:ascii="仿宋_GB2312" w:hAnsi="仿宋_GB2312" w:eastAsia="仿宋_GB2312" w:cs="仿宋_GB2312"/>
          <w:color w:val="auto"/>
          <w:sz w:val="32"/>
          <w:szCs w:val="32"/>
        </w:rPr>
        <w:t>医保部门</w:t>
      </w:r>
      <w:r>
        <w:rPr>
          <w:rFonts w:hint="eastAsia" w:ascii="仿宋_GB2312" w:hAnsi="仿宋_GB2312" w:eastAsia="仿宋_GB2312" w:cs="仿宋_GB2312"/>
          <w:color w:val="auto"/>
          <w:sz w:val="32"/>
          <w:szCs w:val="32"/>
          <w:lang w:eastAsia="zh-CN"/>
        </w:rPr>
        <w:t>要建立定点医药机构动态管理机制，督促辖属定点医药机构</w:t>
      </w:r>
      <w:r>
        <w:rPr>
          <w:rFonts w:hint="eastAsia" w:ascii="仿宋_GB2312" w:hAnsi="仿宋_GB2312" w:eastAsia="仿宋_GB2312" w:cs="仿宋_GB2312"/>
          <w:sz w:val="32"/>
          <w:szCs w:val="32"/>
          <w:lang w:eastAsia="zh-CN"/>
        </w:rPr>
        <w:t>及时更新十五项动态编码信息，利用国家医保信息平台归集区域内医药资源配置基础信息，为医保资源规划提供决策支持。要加强事前、事中、事后监管，</w:t>
      </w:r>
      <w:r>
        <w:rPr>
          <w:rFonts w:hint="eastAsia" w:ascii="仿宋_GB2312" w:hAnsi="仿宋_GB2312" w:eastAsia="仿宋_GB2312" w:cs="仿宋_GB2312"/>
          <w:sz w:val="32"/>
          <w:szCs w:val="32"/>
        </w:rPr>
        <w:t>加强对定点医药机构协议履行、医保基金使用、医疗服务行为的监督。拓宽监督途径、创新监督方式，发现定点医药机构存在违约和违反法律法规的，及时按照医保协议和相关法律法规进行处理。</w:t>
      </w:r>
    </w:p>
    <w:p>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Autospacing="0" w:afterAutospacing="0" w:line="540" w:lineRule="exact"/>
        <w:ind w:right="0" w:rightChars="0" w:firstLine="640" w:firstLineChars="200"/>
        <w:jc w:val="both"/>
        <w:textAlignment w:val="auto"/>
        <w:rPr>
          <w:rFonts w:hint="eastAsia" w:ascii="楷体_GB2312" w:hAnsi="楷体_GB2312" w:eastAsia="楷体_GB2312" w:cs="楷体_GB2312"/>
          <w:b w:val="0"/>
          <w:bCs w:val="0"/>
          <w:i w:val="0"/>
          <w:iCs w:val="0"/>
          <w:caps w:val="0"/>
          <w:color w:val="000000" w:themeColor="text1"/>
          <w:spacing w:val="0"/>
          <w:kern w:val="0"/>
          <w:sz w:val="32"/>
          <w:szCs w:val="32"/>
          <w:highlight w:val="none"/>
          <w:shd w:val="clear" w:fill="FFFFFF"/>
          <w:lang w:val="en-US" w:eastAsia="zh-CN" w:bidi="ar"/>
          <w14:textFill>
            <w14:solidFill>
              <w14:schemeClr w14:val="tx1"/>
            </w14:solidFill>
          </w14:textFill>
        </w:rPr>
      </w:pPr>
      <w:r>
        <w:rPr>
          <w:rFonts w:hint="eastAsia" w:ascii="楷体_GB2312" w:hAnsi="楷体_GB2312" w:eastAsia="楷体_GB2312" w:cs="楷体_GB2312"/>
          <w:b w:val="0"/>
          <w:bCs w:val="0"/>
          <w:i w:val="0"/>
          <w:iCs w:val="0"/>
          <w:caps w:val="0"/>
          <w:color w:val="000000" w:themeColor="text1"/>
          <w:spacing w:val="0"/>
          <w:kern w:val="0"/>
          <w:sz w:val="32"/>
          <w:szCs w:val="32"/>
          <w:highlight w:val="none"/>
          <w:shd w:val="clear" w:fill="FFFFFF"/>
          <w:lang w:val="en-US" w:eastAsia="zh-CN" w:bidi="ar"/>
          <w14:textFill>
            <w14:solidFill>
              <w14:schemeClr w14:val="tx1"/>
            </w14:solidFill>
          </w14:textFill>
        </w:rPr>
        <w:t>（三）健全评估机制</w:t>
      </w:r>
    </w:p>
    <w:p>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40" w:lineRule="exact"/>
        <w:ind w:right="0" w:rightChars="0" w:firstLine="640" w:firstLineChars="200"/>
        <w:jc w:val="both"/>
        <w:textAlignment w:val="auto"/>
        <w:rPr>
          <w:rFonts w:hint="eastAsia" w:ascii="仿宋_GB2312" w:hAnsi="仿宋_GB2312" w:eastAsia="仿宋_GB2312" w:cs="仿宋_GB2312"/>
          <w:i w:val="0"/>
          <w:caps w:val="0"/>
          <w:color w:val="040404"/>
          <w:spacing w:val="0"/>
          <w:sz w:val="32"/>
          <w:szCs w:val="32"/>
          <w:shd w:val="clear" w:fill="FFFFFF"/>
          <w:lang w:eastAsia="zh-CN"/>
        </w:rPr>
      </w:pPr>
      <w:r>
        <w:rPr>
          <w:rFonts w:hint="eastAsia" w:ascii="仿宋_GB2312" w:hAnsi="仿宋_GB2312" w:eastAsia="仿宋_GB2312" w:cs="仿宋_GB2312"/>
          <w:i w:val="0"/>
          <w:caps w:val="0"/>
          <w:color w:val="040404"/>
          <w:spacing w:val="0"/>
          <w:sz w:val="32"/>
          <w:szCs w:val="32"/>
          <w:shd w:val="clear" w:fill="FFFFFF"/>
        </w:rPr>
        <w:t>市医保行政部门</w:t>
      </w:r>
      <w:r>
        <w:rPr>
          <w:rFonts w:hint="eastAsia" w:ascii="仿宋_GB2312" w:hAnsi="仿宋_GB2312" w:eastAsia="仿宋_GB2312" w:cs="仿宋_GB2312"/>
          <w:i w:val="0"/>
          <w:caps w:val="0"/>
          <w:color w:val="040404"/>
          <w:spacing w:val="0"/>
          <w:sz w:val="32"/>
          <w:szCs w:val="32"/>
          <w:shd w:val="clear" w:fill="FFFFFF"/>
          <w:lang w:eastAsia="zh-CN"/>
        </w:rPr>
        <w:t>将持续</w:t>
      </w:r>
      <w:r>
        <w:rPr>
          <w:rFonts w:hint="eastAsia" w:ascii="仿宋_GB2312" w:hAnsi="仿宋_GB2312" w:eastAsia="仿宋_GB2312" w:cs="仿宋_GB2312"/>
          <w:i w:val="0"/>
          <w:caps w:val="0"/>
          <w:color w:val="040404"/>
          <w:spacing w:val="0"/>
          <w:sz w:val="32"/>
          <w:szCs w:val="32"/>
          <w:shd w:val="clear" w:fill="FFFFFF"/>
        </w:rPr>
        <w:t>关注医保资源配置实施情况，结合本市医疗机构设置规划、居住人口、医保基金收支余等情况，适时对医保资源配置进行阶段性效果评估，及时发现、协调、解决医保资源配置中存在的问题，做好动态调整，更好适应城市人口、社会经济发展。</w:t>
      </w:r>
      <w:r>
        <w:rPr>
          <w:rFonts w:hint="eastAsia" w:ascii="仿宋_GB2312" w:hAnsi="仿宋_GB2312" w:eastAsia="仿宋_GB2312" w:cs="仿宋_GB2312"/>
          <w:i w:val="0"/>
          <w:caps w:val="0"/>
          <w:color w:val="040404"/>
          <w:spacing w:val="0"/>
          <w:sz w:val="32"/>
          <w:szCs w:val="32"/>
          <w:shd w:val="clear" w:fill="FFFFFF"/>
          <w:lang w:eastAsia="zh-CN"/>
        </w:rPr>
        <w:t>各级医保部门要</w:t>
      </w:r>
      <w:r>
        <w:rPr>
          <w:rFonts w:hint="eastAsia" w:ascii="仿宋_GB2312" w:hAnsi="仿宋_GB2312" w:eastAsia="仿宋_GB2312" w:cs="仿宋_GB2312"/>
          <w:i w:val="0"/>
          <w:caps w:val="0"/>
          <w:color w:val="040404"/>
          <w:spacing w:val="0"/>
          <w:sz w:val="32"/>
          <w:szCs w:val="32"/>
          <w:shd w:val="clear" w:fill="FFFFFF"/>
        </w:rPr>
        <w:t>积极推进医保资源配置信息公开，主动做好医保资源配置政策解读和服务宣传，释明医保基金战略购买的重要意义，及时回应社会关切，合理引导预期，更好发挥社会公众、新闻媒体对医保资源配置的监督作用，凝聚社会共识。</w:t>
      </w:r>
    </w:p>
    <w:p>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40" w:lineRule="exact"/>
        <w:ind w:left="0" w:right="0" w:firstLine="640" w:firstLineChars="200"/>
        <w:jc w:val="both"/>
        <w:textAlignment w:val="auto"/>
        <w:rPr>
          <w:rFonts w:hint="default"/>
          <w:color w:val="000000" w:themeColor="text1"/>
          <w:sz w:val="32"/>
          <w:szCs w:val="32"/>
          <w:lang w:val="en-US"/>
          <w14:textFill>
            <w14:solidFill>
              <w14:schemeClr w14:val="tx1"/>
            </w14:solidFill>
          </w14:textFill>
        </w:rPr>
      </w:pPr>
      <w:r>
        <w:rPr>
          <w:rFonts w:hint="eastAsia" w:ascii="仿宋_GB2312" w:hAnsi="仿宋_GB2312" w:eastAsia="仿宋_GB2312" w:cs="仿宋_GB2312"/>
          <w:sz w:val="32"/>
          <w:szCs w:val="32"/>
          <w:lang w:eastAsia="zh-CN"/>
        </w:rPr>
        <w:t>本规划</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eastAsia="zh-CN"/>
        </w:rPr>
        <w:t>自</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val="en-US" w:eastAsia="zh-CN"/>
        </w:rPr>
        <w:t>2026年X月X</w:t>
      </w:r>
      <w:r>
        <w:rPr>
          <w:rFonts w:hint="eastAsia" w:ascii="Times New Roman" w:hAnsi="Times New Roman" w:eastAsia="仿宋_GB2312" w:cs="Times New Roman"/>
          <w:b w:val="0"/>
          <w:bCs w:val="0"/>
          <w:i w:val="0"/>
          <w:iCs w:val="0"/>
          <w:caps w:val="0"/>
          <w:color w:val="auto"/>
          <w:spacing w:val="0"/>
          <w:sz w:val="32"/>
          <w:szCs w:val="32"/>
          <w:highlight w:val="none"/>
          <w:shd w:val="clear" w:fill="FFFFFF"/>
          <w:lang w:eastAsia="zh-CN"/>
        </w:rPr>
        <w:t>日</w:t>
      </w:r>
      <w:r>
        <w:rPr>
          <w:rFonts w:hint="eastAsia" w:ascii="仿宋_GB2312" w:hAnsi="仿宋_GB2312" w:eastAsia="仿宋_GB2312" w:cs="仿宋_GB2312"/>
          <w:sz w:val="32"/>
          <w:szCs w:val="32"/>
          <w:lang w:eastAsia="zh-CN"/>
        </w:rPr>
        <w:t>实施，如国家、省出台新规定，从其规定。本规划实施前已提交申请纳入定点管理的医药机构，不受医保资源配置限制。根据国家和省有关政策、我市经济社会发展实际及医保事业高质量发展的工作要求，市医疗保障行政部门对本规划进行适时调整。</w:t>
      </w:r>
    </w:p>
    <w:p>
      <w:pPr>
        <w:keepNext w:val="0"/>
        <w:keepLines w:val="0"/>
        <w:pageBreakBefore w:val="0"/>
        <w:kinsoku/>
        <w:wordWrap/>
        <w:overflowPunct/>
        <w:topLinePunct w:val="0"/>
        <w:autoSpaceDE/>
        <w:autoSpaceDN/>
        <w:bidi w:val="0"/>
        <w:adjustRightInd/>
        <w:spacing w:line="540" w:lineRule="exact"/>
        <w:textAlignment w:val="auto"/>
      </w:pPr>
      <w:bookmarkStart w:id="5" w:name="_GoBack"/>
      <w:bookmarkEnd w:id="5"/>
    </w:p>
    <w:sectPr>
      <w:pgSz w:w="11906" w:h="16838"/>
      <w:pgMar w:top="1701" w:right="1417" w:bottom="1701"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简体">
    <w:altName w:val="微软雅黑"/>
    <w:panose1 w:val="02000000000000000000"/>
    <w:charset w:val="86"/>
    <w:family w:val="auto"/>
    <w:pitch w:val="default"/>
    <w:sig w:usb0="00000000" w:usb1="00000000" w:usb2="00000012" w:usb3="00000000" w:csb0="00040001" w:csb1="00000000"/>
  </w:font>
  <w:font w:name="Calibri Light">
    <w:panose1 w:val="020F03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85919AD"/>
    <w:rsid w:val="0D310AEC"/>
    <w:rsid w:val="175B21E2"/>
    <w:rsid w:val="1C513EB8"/>
    <w:rsid w:val="1D990F82"/>
    <w:rsid w:val="58A93F02"/>
    <w:rsid w:val="60F64F63"/>
    <w:rsid w:val="785919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sz w:val="21"/>
      <w:szCs w:val="22"/>
    </w:rPr>
  </w:style>
  <w:style w:type="paragraph" w:styleId="5">
    <w:name w:val="heading 2"/>
    <w:basedOn w:val="1"/>
    <w:next w:val="1"/>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7">
    <w:name w:val="Default Paragraph Font"/>
    <w:semiHidden/>
    <w:qFormat/>
    <w:uiPriority w:val="0"/>
  </w:style>
  <w:style w:type="table" w:default="1" w:styleId="8">
    <w:name w:val="Normal Table"/>
    <w:semiHidden/>
    <w:qFormat/>
    <w:uiPriority w:val="0"/>
    <w:tblPr>
      <w:tblLayout w:type="fixed"/>
      <w:tblCellMar>
        <w:top w:w="0" w:type="dxa"/>
        <w:left w:w="108" w:type="dxa"/>
        <w:bottom w:w="0" w:type="dxa"/>
        <w:right w:w="108" w:type="dxa"/>
      </w:tblCellMar>
    </w:tblPr>
  </w:style>
  <w:style w:type="paragraph" w:customStyle="1" w:styleId="2">
    <w:name w:val="Default"/>
    <w:basedOn w:val="3"/>
    <w:next w:val="1"/>
    <w:qFormat/>
    <w:uiPriority w:val="99"/>
    <w:pPr>
      <w:widowControl w:val="0"/>
      <w:autoSpaceDE w:val="0"/>
      <w:autoSpaceDN w:val="0"/>
      <w:adjustRightInd w:val="0"/>
    </w:pPr>
    <w:rPr>
      <w:rFonts w:hint="eastAsia" w:ascii="方正仿宋简体" w:hAnsi="方正仿宋简体" w:eastAsia="方正仿宋简体" w:cs="Times New Roman"/>
      <w:color w:val="000000"/>
      <w:sz w:val="24"/>
      <w:szCs w:val="22"/>
      <w:lang w:val="en-US" w:eastAsia="zh-CN" w:bidi="ar-SA"/>
    </w:rPr>
  </w:style>
  <w:style w:type="paragraph" w:customStyle="1" w:styleId="3">
    <w:name w:val="正文 New"/>
    <w:next w:val="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
    <w:name w:val="标题 2 New"/>
    <w:basedOn w:val="3"/>
    <w:next w:val="3"/>
    <w:qFormat/>
    <w:uiPriority w:val="0"/>
    <w:pPr>
      <w:keepNext/>
      <w:keepLines/>
      <w:spacing w:line="416" w:lineRule="auto"/>
      <w:outlineLvl w:val="1"/>
    </w:pPr>
    <w:rPr>
      <w:rFonts w:ascii="Calibri Light" w:hAnsi="Calibri Light"/>
      <w:b/>
      <w:bCs/>
      <w:szCs w:val="32"/>
    </w:rPr>
  </w:style>
  <w:style w:type="paragraph" w:styleId="6">
    <w:name w:val="Normal (Web)"/>
    <w:basedOn w:val="1"/>
    <w:qFormat/>
    <w:uiPriority w:val="0"/>
    <w:rPr>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揭阳市人力资源和社会保障局</Company>
  <Pages>8</Pages>
  <Words>4122</Words>
  <Characters>4224</Characters>
  <Lines>0</Lines>
  <Paragraphs>0</Paragraphs>
  <TotalTime>0</TotalTime>
  <ScaleCrop>false</ScaleCrop>
  <LinksUpToDate>false</LinksUpToDate>
  <CharactersWithSpaces>4229</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2026-09-22T03:25:00Z</dcterms:created>
  <dc:creator>Administrator</dc:creator>
  <cp:lastModifiedBy>Administrator</cp:lastModifiedBy>
  <dcterms:modified xsi:type="dcterms:W3CDTF">2026-10-19T01:44:33Z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KSOTemplateDocerSaveRecord">
    <vt:lpwstr>eyJoZGlkIjoiZjA5ODlhOWFjMjVlODhmYmE0OGEyZjYzN2EyNzQ1MzMiLCJ1c2VySWQiOiI0NjA1NDI3NjkifQ==</vt:lpwstr>
  </property>
  <property fmtid="{D5CDD505-2E9C-101B-9397-08002B2CF9AE}" pid="4" name="ICV">
    <vt:lpwstr>E4C6F37E88BA49DAB242F6D7AC83868B_12</vt:lpwstr>
  </property>
</Properties>
</file>