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C9E4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附件1</w:t>
      </w:r>
    </w:p>
    <w:p w14:paraId="229C4991">
      <w:pPr>
        <w:keepNext w:val="0"/>
        <w:keepLines w:val="0"/>
        <w:pageBreakBefore w:val="0"/>
        <w:kinsoku/>
        <w:wordWrap/>
        <w:bidi w:val="0"/>
        <w:spacing w:line="560" w:lineRule="exact"/>
        <w:jc w:val="both"/>
        <w:textAlignment w:val="auto"/>
        <w:rPr>
          <w:rFonts w:hint="eastAsia" w:ascii="Times New Roman" w:hAnsi="Times New Roman" w:eastAsia="方正小标宋简体" w:cs="Times New Roman"/>
          <w:sz w:val="44"/>
          <w:szCs w:val="44"/>
        </w:rPr>
      </w:pPr>
    </w:p>
    <w:p w14:paraId="6AB74CAF">
      <w:pPr>
        <w:keepNext w:val="0"/>
        <w:keepLines w:val="0"/>
        <w:pageBreakBefore w:val="0"/>
        <w:kinsoku/>
        <w:wordWrap/>
        <w:bidi w:val="0"/>
        <w:spacing w:line="560" w:lineRule="exact"/>
        <w:jc w:val="center"/>
        <w:textAlignment w:val="auto"/>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揭阳市长期护理保险实施办法</w:t>
      </w:r>
    </w:p>
    <w:p w14:paraId="63D6A280">
      <w:pPr>
        <w:pStyle w:val="13"/>
        <w:keepNext w:val="0"/>
        <w:keepLines w:val="0"/>
        <w:pageBreakBefore w:val="0"/>
        <w:kinsoku/>
        <w:wordWrap/>
        <w:bidi w:val="0"/>
        <w:spacing w:line="560" w:lineRule="exact"/>
        <w:jc w:val="center"/>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hint="eastAsia" w:ascii="Times New Roman" w:hAnsi="Times New Roman" w:eastAsia="仿宋_GB2312" w:cs="Times New Roman"/>
          <w:sz w:val="32"/>
          <w:szCs w:val="32"/>
          <w:lang w:val="en-US" w:eastAsia="zh-CN"/>
        </w:rPr>
        <w:t>次</w:t>
      </w:r>
      <w:r>
        <w:rPr>
          <w:rFonts w:ascii="Times New Roman" w:hAnsi="Times New Roman" w:eastAsia="仿宋_GB2312" w:cs="Times New Roman"/>
          <w:sz w:val="32"/>
          <w:szCs w:val="32"/>
        </w:rPr>
        <w:t>征求意见稿）</w:t>
      </w:r>
    </w:p>
    <w:p w14:paraId="36BA1363">
      <w:pPr>
        <w:pStyle w:val="7"/>
        <w:keepNext w:val="0"/>
        <w:keepLines w:val="0"/>
        <w:pageBreakBefore w:val="0"/>
        <w:kinsoku/>
        <w:wordWrap/>
        <w:topLinePunct/>
        <w:autoSpaceDE w:val="0"/>
        <w:bidi w:val="0"/>
        <w:spacing w:beforeAutospacing="0" w:afterAutospacing="0" w:line="560" w:lineRule="exact"/>
        <w:jc w:val="both"/>
        <w:textAlignment w:val="auto"/>
        <w:rPr>
          <w:rFonts w:hint="eastAsia" w:ascii="Times New Roman" w:hAnsi="Times New Roman" w:eastAsia="仿宋_GB2312" w:cs="Times New Roman"/>
          <w:color w:val="000000" w:themeColor="text1"/>
          <w:sz w:val="32"/>
          <w:szCs w:val="32"/>
          <w:shd w:val="clear" w:color="auto" w:fill="FFFFFF"/>
          <w14:textFill>
            <w14:solidFill>
              <w14:schemeClr w14:val="tx1"/>
            </w14:solidFill>
          </w14:textFill>
        </w:rPr>
      </w:pPr>
    </w:p>
    <w:p w14:paraId="34E3D23E">
      <w:pPr>
        <w:pStyle w:val="7"/>
        <w:keepNext w:val="0"/>
        <w:keepLines w:val="0"/>
        <w:pageBreakBefore w:val="0"/>
        <w:numPr>
          <w:ilvl w:val="0"/>
          <w:numId w:val="1"/>
        </w:numPr>
        <w:kinsoku/>
        <w:wordWrap/>
        <w:topLinePunct/>
        <w:autoSpaceDE w:val="0"/>
        <w:bidi w:val="0"/>
        <w:spacing w:beforeAutospacing="0" w:afterAutospacing="0" w:line="560" w:lineRule="exact"/>
        <w:jc w:val="center"/>
        <w:textAlignment w:val="auto"/>
        <w:rPr>
          <w:rFonts w:hint="eastAsia" w:ascii="Times New Roman" w:hAnsi="Times New Roman" w:eastAsia="黑体" w:cs="Times New Roman"/>
          <w:color w:val="000000" w:themeColor="text1"/>
          <w:sz w:val="32"/>
          <w:szCs w:val="32"/>
          <w:shd w:val="clear" w:color="auto" w:fill="FFFFFF"/>
          <w14:textFill>
            <w14:solidFill>
              <w14:schemeClr w14:val="tx1"/>
            </w14:solidFill>
          </w14:textFill>
        </w:rPr>
      </w:pPr>
      <w:r>
        <w:rPr>
          <w:rFonts w:hint="eastAsia" w:ascii="Times New Roman" w:hAnsi="Times New Roman" w:eastAsia="黑体" w:cs="Times New Roman"/>
          <w:color w:val="000000" w:themeColor="text1"/>
          <w:sz w:val="32"/>
          <w:szCs w:val="32"/>
          <w:shd w:val="clear" w:color="auto" w:fill="FFFFFF"/>
          <w14:textFill>
            <w14:solidFill>
              <w14:schemeClr w14:val="tx1"/>
            </w14:solidFill>
          </w14:textFill>
        </w:rPr>
        <w:t>总  则</w:t>
      </w:r>
    </w:p>
    <w:p w14:paraId="25E0DA12">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sz w:val="32"/>
          <w:szCs w:val="32"/>
          <w:u w:val="none"/>
        </w:rPr>
      </w:pPr>
      <w:r>
        <w:rPr>
          <w:rFonts w:hint="eastAsia" w:ascii="Times New Roman" w:hAnsi="Times New Roman" w:eastAsia="黑体" w:cs="Times New Roman"/>
          <w:sz w:val="32"/>
          <w:szCs w:val="32"/>
        </w:rPr>
        <w:t xml:space="preserve">第一条  </w:t>
      </w:r>
      <w:r>
        <w:rPr>
          <w:rFonts w:hint="default" w:ascii="Times New Roman" w:hAnsi="Times New Roman" w:eastAsia="仿宋_GB2312" w:cs="Times New Roman"/>
          <w:b w:val="0"/>
          <w:bCs w:val="0"/>
          <w:color w:val="auto"/>
          <w:kern w:val="2"/>
          <w:sz w:val="32"/>
          <w:szCs w:val="32"/>
          <w:u w:val="none"/>
          <w:lang w:val="en-US" w:eastAsia="zh-CN"/>
        </w:rPr>
        <w:t>为建立本市长期护理保险制度，保障失能人员基本照护需求，根据《中共中央办公厅 国务院办公厅关于加快建立长期护理保险制度的意见》</w:t>
      </w:r>
      <w:r>
        <w:rPr>
          <w:rFonts w:hint="eastAsia" w:ascii="Times New Roman" w:hAnsi="Times New Roman" w:eastAsia="仿宋_GB2312" w:cs="Times New Roman"/>
          <w:b w:val="0"/>
          <w:bCs w:val="0"/>
          <w:color w:val="auto"/>
          <w:kern w:val="2"/>
          <w:sz w:val="32"/>
          <w:szCs w:val="32"/>
          <w:u w:val="none"/>
          <w:lang w:val="en-US" w:eastAsia="zh-CN"/>
        </w:rPr>
        <w:t>等国家和省关于建立长期护理保险制度的政策</w:t>
      </w:r>
      <w:r>
        <w:rPr>
          <w:rFonts w:hint="default" w:ascii="Times New Roman" w:hAnsi="Times New Roman" w:eastAsia="仿宋_GB2312" w:cs="Times New Roman"/>
          <w:b w:val="0"/>
          <w:bCs w:val="0"/>
          <w:color w:val="auto"/>
          <w:kern w:val="2"/>
          <w:sz w:val="32"/>
          <w:szCs w:val="32"/>
          <w:u w:val="none"/>
          <w:lang w:val="en-US" w:eastAsia="zh-CN"/>
        </w:rPr>
        <w:t>文件</w:t>
      </w:r>
      <w:r>
        <w:rPr>
          <w:rFonts w:hint="eastAsia" w:ascii="Times New Roman" w:hAnsi="Times New Roman" w:eastAsia="仿宋_GB2312" w:cs="Times New Roman"/>
          <w:b w:val="0"/>
          <w:bCs w:val="0"/>
          <w:color w:val="auto"/>
          <w:kern w:val="2"/>
          <w:sz w:val="32"/>
          <w:szCs w:val="32"/>
          <w:u w:val="none"/>
          <w:lang w:val="en-US" w:eastAsia="zh-CN"/>
        </w:rPr>
        <w:t>要求</w:t>
      </w:r>
      <w:r>
        <w:rPr>
          <w:rFonts w:hint="default" w:ascii="Times New Roman" w:hAnsi="Times New Roman" w:eastAsia="仿宋_GB2312" w:cs="Times New Roman"/>
          <w:b w:val="0"/>
          <w:bCs w:val="0"/>
          <w:color w:val="auto"/>
          <w:kern w:val="2"/>
          <w:sz w:val="32"/>
          <w:szCs w:val="32"/>
          <w:u w:val="none"/>
          <w:lang w:val="en-US" w:eastAsia="zh-CN"/>
        </w:rPr>
        <w:t>，结合本市实际，制定本办法。</w:t>
      </w:r>
    </w:p>
    <w:p w14:paraId="5D058F50">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rPr>
      </w:pPr>
      <w:r>
        <w:rPr>
          <w:rFonts w:hint="eastAsia" w:ascii="Times New Roman" w:hAnsi="Times New Roman" w:eastAsia="黑体" w:cs="Times New Roman"/>
          <w:sz w:val="32"/>
          <w:szCs w:val="32"/>
        </w:rPr>
        <w:t xml:space="preserve">第二条  </w:t>
      </w:r>
      <w:r>
        <w:rPr>
          <w:rFonts w:hint="default" w:ascii="Times New Roman" w:hAnsi="Times New Roman" w:eastAsia="仿宋_GB2312" w:cs="Times New Roman"/>
          <w:sz w:val="32"/>
          <w:szCs w:val="32"/>
          <w:lang w:val="en-US" w:eastAsia="zh-CN"/>
        </w:rPr>
        <w:t>本办法所称长期护理保险</w:t>
      </w:r>
      <w:r>
        <w:rPr>
          <w:rFonts w:hint="default" w:ascii="Times New Roman" w:hAnsi="Times New Roman" w:eastAsia="仿宋_GB2312" w:cs="Times New Roman"/>
          <w:b w:val="0"/>
          <w:bCs w:val="0"/>
          <w:color w:val="auto"/>
          <w:kern w:val="2"/>
          <w:sz w:val="32"/>
          <w:szCs w:val="32"/>
          <w:u w:val="none"/>
          <w:lang w:val="en-US" w:eastAsia="zh-CN"/>
        </w:rPr>
        <w:t>是指</w:t>
      </w:r>
      <w:r>
        <w:rPr>
          <w:rFonts w:hint="eastAsia" w:ascii="Times New Roman" w:hAnsi="Times New Roman" w:eastAsia="仿宋_GB2312" w:cs="Times New Roman"/>
          <w:b w:val="0"/>
          <w:bCs w:val="0"/>
          <w:color w:val="auto"/>
          <w:kern w:val="2"/>
          <w:sz w:val="32"/>
          <w:szCs w:val="32"/>
          <w:u w:val="none"/>
          <w:lang w:val="en-US" w:eastAsia="zh-CN"/>
        </w:rPr>
        <w:t>以互助共济方式筹集资金、</w:t>
      </w:r>
      <w:r>
        <w:rPr>
          <w:rFonts w:hint="default" w:ascii="Times New Roman" w:hAnsi="Times New Roman" w:eastAsia="仿宋_GB2312" w:cs="Times New Roman"/>
          <w:b w:val="0"/>
          <w:bCs w:val="0"/>
          <w:color w:val="auto"/>
          <w:kern w:val="2"/>
          <w:sz w:val="32"/>
          <w:szCs w:val="32"/>
          <w:u w:val="none"/>
          <w:lang w:val="en-US" w:eastAsia="zh-CN"/>
        </w:rPr>
        <w:t>为</w:t>
      </w:r>
      <w:r>
        <w:rPr>
          <w:rFonts w:hint="eastAsia" w:ascii="Times New Roman" w:hAnsi="Times New Roman" w:eastAsia="仿宋_GB2312" w:cs="Times New Roman"/>
          <w:b w:val="0"/>
          <w:bCs w:val="0"/>
          <w:color w:val="auto"/>
          <w:kern w:val="2"/>
          <w:sz w:val="32"/>
          <w:szCs w:val="32"/>
          <w:u w:val="none"/>
          <w:lang w:val="en-US" w:eastAsia="zh-CN"/>
        </w:rPr>
        <w:t>长期</w:t>
      </w:r>
      <w:r>
        <w:rPr>
          <w:rFonts w:hint="default" w:ascii="Times New Roman" w:hAnsi="Times New Roman" w:eastAsia="仿宋_GB2312" w:cs="Times New Roman"/>
          <w:b w:val="0"/>
          <w:bCs w:val="0"/>
          <w:color w:val="auto"/>
          <w:kern w:val="2"/>
          <w:sz w:val="32"/>
          <w:szCs w:val="32"/>
          <w:u w:val="none"/>
          <w:lang w:val="en-US" w:eastAsia="zh-CN"/>
        </w:rPr>
        <w:t>失能人员的基本生活照料和与之密切相关的医疗护理提供服务</w:t>
      </w:r>
      <w:r>
        <w:rPr>
          <w:rFonts w:hint="eastAsia" w:ascii="Times New Roman" w:hAnsi="Times New Roman" w:eastAsia="仿宋_GB2312" w:cs="Times New Roman"/>
          <w:b w:val="0"/>
          <w:bCs w:val="0"/>
          <w:color w:val="auto"/>
          <w:kern w:val="2"/>
          <w:sz w:val="32"/>
          <w:szCs w:val="32"/>
          <w:u w:val="none"/>
          <w:lang w:val="en-US" w:eastAsia="zh-CN"/>
        </w:rPr>
        <w:t>或者</w:t>
      </w:r>
      <w:r>
        <w:rPr>
          <w:rFonts w:hint="default" w:ascii="Times New Roman" w:hAnsi="Times New Roman" w:eastAsia="仿宋_GB2312" w:cs="Times New Roman"/>
          <w:b w:val="0"/>
          <w:bCs w:val="0"/>
          <w:color w:val="auto"/>
          <w:kern w:val="2"/>
          <w:sz w:val="32"/>
          <w:szCs w:val="32"/>
          <w:u w:val="none"/>
          <w:lang w:val="en-US" w:eastAsia="zh-CN"/>
        </w:rPr>
        <w:t>资金保障的社会保险制度。</w:t>
      </w:r>
    </w:p>
    <w:p w14:paraId="0B1D3112">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zh-CN" w:eastAsia="zh-CN"/>
        </w:rPr>
      </w:pPr>
      <w:r>
        <w:rPr>
          <w:rFonts w:hint="eastAsia" w:ascii="Times New Roman" w:hAnsi="Times New Roman" w:eastAsia="黑体" w:cs="Times New Roman"/>
          <w:sz w:val="32"/>
          <w:szCs w:val="32"/>
        </w:rPr>
        <w:t>第三条</w:t>
      </w:r>
      <w:r>
        <w:rPr>
          <w:rFonts w:hint="eastAsia"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本办法适用于本市行政区域内</w:t>
      </w:r>
      <w:r>
        <w:rPr>
          <w:rFonts w:hint="eastAsia" w:ascii="Times New Roman" w:hAnsi="Times New Roman" w:eastAsia="仿宋_GB2312" w:cs="Times New Roman"/>
          <w:sz w:val="32"/>
          <w:szCs w:val="32"/>
          <w:lang w:val="en-US" w:eastAsia="zh-CN"/>
        </w:rPr>
        <w:t>长期护理保险</w:t>
      </w:r>
      <w:r>
        <w:rPr>
          <w:rFonts w:hint="default" w:ascii="Times New Roman" w:hAnsi="Times New Roman" w:eastAsia="仿宋_GB2312" w:cs="Times New Roman"/>
          <w:b w:val="0"/>
          <w:bCs w:val="0"/>
          <w:color w:val="auto"/>
          <w:kern w:val="2"/>
          <w:sz w:val="32"/>
          <w:szCs w:val="32"/>
          <w:u w:val="none"/>
          <w:lang w:val="en-US" w:eastAsia="zh-CN"/>
        </w:rPr>
        <w:t>参保筹资、待遇支付、失能等级评估、基金管理及经办服务等事项。</w:t>
      </w:r>
    </w:p>
    <w:p w14:paraId="2737B2AA">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rPr>
      </w:pPr>
      <w:r>
        <w:rPr>
          <w:rFonts w:hint="eastAsia" w:ascii="Times New Roman" w:hAnsi="Times New Roman" w:eastAsia="黑体" w:cs="Times New Roman"/>
          <w:sz w:val="32"/>
          <w:szCs w:val="32"/>
        </w:rPr>
        <w:t xml:space="preserve">第四条 </w:t>
      </w:r>
      <w:r>
        <w:rPr>
          <w:rFonts w:hint="eastAsia" w:ascii="Times New Roman" w:hAnsi="Times New Roman" w:eastAsia="仿宋_GB2312" w:cs="Times New Roman"/>
          <w:b w:val="0"/>
          <w:bCs w:val="0"/>
          <w:color w:val="auto"/>
          <w:kern w:val="2"/>
          <w:sz w:val="32"/>
          <w:szCs w:val="32"/>
          <w:u w:val="none"/>
          <w:lang w:val="en-US" w:eastAsia="zh-CN"/>
        </w:rPr>
        <w:t xml:space="preserve"> 长期护理保险按照覆盖全民、统筹城乡、公平统一、安全规范、可持续的要求推进实施。坚持“以收定支、收支平衡、略有结余”的原则，坚持市级统筹、统收统支、分级经办、属地负责，政策制度、基金管理、信息管理全市统一。</w:t>
      </w:r>
    </w:p>
    <w:p w14:paraId="6E7B618F">
      <w:pPr>
        <w:keepNext w:val="0"/>
        <w:keepLines w:val="0"/>
        <w:pageBreakBefore w:val="0"/>
        <w:kinsoku/>
        <w:wordWrap/>
        <w:bidi w:val="0"/>
        <w:spacing w:line="560" w:lineRule="exact"/>
        <w:ind w:firstLine="640" w:firstLineChars="200"/>
        <w:textAlignment w:val="auto"/>
        <w:rPr>
          <w:rFonts w:ascii="Times New Roman" w:hAnsi="Times New Roman" w:eastAsia="仿宋_GB2312" w:cs="Times New Roman"/>
          <w:color w:val="auto"/>
          <w:sz w:val="32"/>
          <w:szCs w:val="32"/>
        </w:rPr>
      </w:pPr>
      <w:r>
        <w:rPr>
          <w:rFonts w:hint="eastAsia" w:ascii="Times New Roman" w:hAnsi="Times New Roman" w:eastAsia="黑体" w:cs="Times New Roman"/>
          <w:kern w:val="0"/>
          <w:sz w:val="32"/>
          <w:szCs w:val="32"/>
        </w:rPr>
        <w:t>第五条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color w:val="auto"/>
          <w:sz w:val="32"/>
          <w:szCs w:val="32"/>
          <w:lang w:eastAsia="zh-CN"/>
        </w:rPr>
        <w:t>市医疗保障行政部门</w:t>
      </w:r>
      <w:r>
        <w:rPr>
          <w:rFonts w:hint="eastAsia" w:ascii="Times New Roman" w:hAnsi="Times New Roman" w:eastAsia="仿宋_GB2312" w:cs="Times New Roman"/>
          <w:color w:val="auto"/>
          <w:sz w:val="32"/>
          <w:szCs w:val="32"/>
        </w:rPr>
        <w:t>牵头做好</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sz w:val="32"/>
          <w:szCs w:val="32"/>
        </w:rPr>
        <w:t>制度建设工作，负责</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sz w:val="32"/>
          <w:szCs w:val="32"/>
        </w:rPr>
        <w:t>的政策制定、组织实施和监督管理，指导做好</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sz w:val="32"/>
          <w:szCs w:val="32"/>
        </w:rPr>
        <w:t>经办工作；联合</w:t>
      </w:r>
      <w:r>
        <w:rPr>
          <w:rFonts w:hint="eastAsia" w:ascii="Times New Roman" w:hAnsi="Times New Roman" w:eastAsia="仿宋_GB2312" w:cs="Times New Roman"/>
          <w:color w:val="auto"/>
          <w:sz w:val="32"/>
          <w:szCs w:val="32"/>
          <w:lang w:eastAsia="zh-CN"/>
        </w:rPr>
        <w:t>人力资源和社会保障</w:t>
      </w:r>
      <w:r>
        <w:rPr>
          <w:rFonts w:hint="eastAsia" w:ascii="Times New Roman" w:hAnsi="Times New Roman" w:eastAsia="仿宋_GB2312" w:cs="Times New Roman"/>
          <w:color w:val="auto"/>
          <w:sz w:val="32"/>
          <w:szCs w:val="32"/>
        </w:rPr>
        <w:t>部门做好长期照护师培训培养和职业技能等级认定工作，加强长期照护师职业技能等级认定工作监督管理指导。</w:t>
      </w:r>
    </w:p>
    <w:p w14:paraId="0CD39C8E">
      <w:pPr>
        <w:pStyle w:val="13"/>
        <w:keepNext w:val="0"/>
        <w:keepLines w:val="0"/>
        <w:pageBreakBefore w:val="0"/>
        <w:kinsoku/>
        <w:wordWrap/>
        <w:bidi w:val="0"/>
        <w:spacing w:line="560" w:lineRule="exact"/>
        <w:ind w:firstLine="640" w:firstLineChars="200"/>
        <w:textAlignment w:val="auto"/>
        <w:rPr>
          <w:rFonts w:ascii="Times New Roman" w:hAnsi="Times New Roman" w:cs="Times New Roman"/>
          <w:b w:val="0"/>
          <w:bCs w:val="0"/>
          <w:color w:val="auto"/>
          <w:u w:val="none"/>
        </w:rPr>
      </w:pPr>
      <w:r>
        <w:rPr>
          <w:rFonts w:hint="eastAsia" w:ascii="Times New Roman" w:hAnsi="Times New Roman" w:eastAsia="仿宋_GB2312" w:cs="Times New Roman"/>
          <w:b w:val="0"/>
          <w:bCs w:val="0"/>
          <w:color w:val="auto"/>
          <w:sz w:val="32"/>
          <w:szCs w:val="32"/>
          <w:u w:val="none"/>
          <w:lang w:val="en-US" w:eastAsia="zh-CN"/>
        </w:rPr>
        <w:t>市医疗保障经办机构负责统筹全市政策落地、定点评估机构和定点长期护理保险护理服务机构（以下简称长护服务机构）确定、基金汇总拨付、信息系统管理、第三方经办机构管理等工作。</w:t>
      </w:r>
    </w:p>
    <w:p w14:paraId="08E9A256">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u w:val="none"/>
          <w:lang w:val="en-US" w:eastAsia="zh-CN"/>
        </w:rPr>
      </w:pPr>
      <w:r>
        <w:rPr>
          <w:rFonts w:hint="eastAsia" w:ascii="Times New Roman" w:hAnsi="Times New Roman" w:eastAsia="仿宋_GB2312" w:cs="Times New Roman"/>
          <w:b w:val="0"/>
          <w:bCs w:val="0"/>
          <w:color w:val="auto"/>
          <w:sz w:val="32"/>
          <w:szCs w:val="32"/>
          <w:u w:val="none"/>
          <w:lang w:val="en-US" w:eastAsia="zh-CN"/>
        </w:rPr>
        <w:t>各地医疗保障行政部门做好辖区内</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sz w:val="32"/>
          <w:szCs w:val="32"/>
          <w:u w:val="none"/>
          <w:lang w:val="en-US" w:eastAsia="zh-CN"/>
        </w:rPr>
        <w:t>政策贯彻实施、属地行政监督管理工作；各地医疗保障经办机构承担辖区内</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sz w:val="32"/>
          <w:szCs w:val="32"/>
          <w:u w:val="none"/>
          <w:lang w:val="en-US" w:eastAsia="zh-CN"/>
        </w:rPr>
        <w:t>具体经办工作，负责参保管理、失能评估受理与组织评估、定点评估机构和定点长护服务机构准入申请及组织评估、协议管理、待遇费用审批、核查等经办事务。</w:t>
      </w:r>
    </w:p>
    <w:p w14:paraId="7EDD4F85">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财政部门负责及时足额安排相关财政补助资金，配合</w:t>
      </w:r>
      <w:r>
        <w:rPr>
          <w:rFonts w:hint="eastAsia" w:ascii="Times New Roman" w:hAnsi="Times New Roman" w:eastAsia="仿宋_GB2312" w:cs="Times New Roman"/>
          <w:sz w:val="32"/>
          <w:szCs w:val="32"/>
          <w:lang w:eastAsia="zh-CN"/>
        </w:rPr>
        <w:t>医疗保障</w:t>
      </w:r>
      <w:r>
        <w:rPr>
          <w:rFonts w:hint="eastAsia" w:ascii="Times New Roman" w:hAnsi="Times New Roman" w:eastAsia="仿宋_GB2312" w:cs="Times New Roman"/>
          <w:sz w:val="32"/>
          <w:szCs w:val="32"/>
        </w:rPr>
        <w:t>部门做好基金测算等。</w:t>
      </w:r>
    </w:p>
    <w:p w14:paraId="0304E0B5">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税务部门负责做好保费征收等工作。</w:t>
      </w:r>
    </w:p>
    <w:p w14:paraId="44F46B8F">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民政部门负责加强养老服务行业监管，做好相关数据信息共享，与财政部门、</w:t>
      </w:r>
      <w:r>
        <w:rPr>
          <w:rFonts w:hint="eastAsia" w:ascii="Times New Roman" w:hAnsi="Times New Roman" w:eastAsia="仿宋_GB2312" w:cs="Times New Roman"/>
          <w:sz w:val="32"/>
          <w:szCs w:val="32"/>
          <w:lang w:eastAsia="zh-CN"/>
        </w:rPr>
        <w:t>医疗保障</w:t>
      </w:r>
      <w:r>
        <w:rPr>
          <w:rFonts w:hint="eastAsia" w:ascii="Times New Roman" w:hAnsi="Times New Roman" w:eastAsia="仿宋_GB2312" w:cs="Times New Roman"/>
          <w:sz w:val="32"/>
          <w:szCs w:val="32"/>
        </w:rPr>
        <w:t>部门、</w:t>
      </w:r>
      <w:r>
        <w:rPr>
          <w:rFonts w:hint="eastAsia" w:ascii="Times New Roman" w:hAnsi="Times New Roman" w:eastAsia="仿宋_GB2312" w:cs="Times New Roman"/>
          <w:sz w:val="32"/>
          <w:szCs w:val="32"/>
          <w:lang w:eastAsia="zh-CN"/>
        </w:rPr>
        <w:t>残疾人联合会</w:t>
      </w:r>
      <w:r>
        <w:rPr>
          <w:rFonts w:hint="eastAsia" w:ascii="Times New Roman" w:hAnsi="Times New Roman" w:eastAsia="仿宋_GB2312" w:cs="Times New Roman"/>
          <w:sz w:val="32"/>
          <w:szCs w:val="32"/>
        </w:rPr>
        <w:t>共同做好</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政策与相关津补贴制度的衔接，探索失能等级评估结果跨部门互认机制等。</w:t>
      </w:r>
    </w:p>
    <w:p w14:paraId="28CD352B">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卫生健康</w:t>
      </w:r>
      <w:r>
        <w:rPr>
          <w:rFonts w:hint="eastAsia" w:ascii="Times New Roman" w:hAnsi="Times New Roman" w:eastAsia="仿宋_GB2312" w:cs="Times New Roman"/>
          <w:sz w:val="32"/>
          <w:szCs w:val="32"/>
        </w:rPr>
        <w:t>部门负责开展长期护理服务的医疗机构的行业管理和医疗服务技术指导，为失能等级评估工作提供支持，鼓励基层医疗卫生机构提供长期护理服务。</w:t>
      </w:r>
    </w:p>
    <w:p w14:paraId="2D90FF24">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人力资源和社会保障</w:t>
      </w:r>
      <w:r>
        <w:rPr>
          <w:rFonts w:hint="eastAsia" w:ascii="Times New Roman" w:hAnsi="Times New Roman" w:eastAsia="仿宋_GB2312" w:cs="Times New Roman"/>
          <w:sz w:val="32"/>
          <w:szCs w:val="32"/>
        </w:rPr>
        <w:t>部门负责支持配合做好长期照护师培训评价和</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与工伤保险衔接、退休人员保费代扣代缴等工作，并做好相关数据信息共享。</w:t>
      </w:r>
    </w:p>
    <w:p w14:paraId="5E85FFCE">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农业农村部门负责做好防止返贫致贫对象认定和帮扶工作。</w:t>
      </w:r>
    </w:p>
    <w:p w14:paraId="657EE326">
      <w:pPr>
        <w:pStyle w:val="13"/>
        <w:keepNext w:val="0"/>
        <w:keepLines w:val="0"/>
        <w:pageBreakBefore w:val="0"/>
        <w:kinsoku/>
        <w:wordWrap/>
        <w:bidi w:val="0"/>
        <w:spacing w:line="560" w:lineRule="exact"/>
        <w:ind w:firstLine="640" w:firstLineChars="200"/>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残疾人联合会</w:t>
      </w:r>
      <w:r>
        <w:rPr>
          <w:rFonts w:ascii="Times New Roman" w:hAnsi="Times New Roman" w:eastAsia="仿宋_GB2312" w:cs="Times New Roman"/>
          <w:color w:val="auto"/>
          <w:sz w:val="32"/>
          <w:szCs w:val="32"/>
        </w:rPr>
        <w:t>负责做好相关残疾人数据共享，协同做好残疾人参保相关工作。</w:t>
      </w:r>
    </w:p>
    <w:p w14:paraId="238B0B4A">
      <w:pPr>
        <w:pStyle w:val="13"/>
        <w:keepNext w:val="0"/>
        <w:keepLines w:val="0"/>
        <w:pageBreakBefore w:val="0"/>
        <w:kinsoku/>
        <w:wordWrap/>
        <w:bidi w:val="0"/>
        <w:spacing w:line="560" w:lineRule="exact"/>
        <w:ind w:firstLine="640" w:firstLineChars="200"/>
        <w:textAlignment w:val="auto"/>
        <w:rPr>
          <w:rFonts w:ascii="Times New Roman" w:hAnsi="Times New Roman" w:eastAsia="仿宋_GB2312" w:cs="Times New Roman"/>
          <w:b/>
          <w:color w:val="auto"/>
          <w:kern w:val="44"/>
          <w:sz w:val="32"/>
          <w:szCs w:val="32"/>
        </w:rPr>
      </w:pPr>
      <w:r>
        <w:rPr>
          <w:rFonts w:ascii="Times New Roman" w:hAnsi="Times New Roman" w:eastAsia="仿宋_GB2312" w:cs="Times New Roman"/>
          <w:color w:val="auto"/>
          <w:sz w:val="32"/>
          <w:szCs w:val="32"/>
        </w:rPr>
        <w:t>各</w:t>
      </w:r>
      <w:r>
        <w:rPr>
          <w:rFonts w:hint="eastAsia" w:ascii="Times New Roman" w:hAnsi="Times New Roman" w:eastAsia="仿宋_GB2312" w:cs="Times New Roman"/>
          <w:color w:val="auto"/>
          <w:sz w:val="32"/>
          <w:szCs w:val="32"/>
          <w:lang w:eastAsia="zh-CN"/>
        </w:rPr>
        <w:t>级人民</w:t>
      </w:r>
      <w:r>
        <w:rPr>
          <w:rFonts w:ascii="Times New Roman" w:hAnsi="Times New Roman" w:eastAsia="仿宋_GB2312" w:cs="Times New Roman"/>
          <w:color w:val="auto"/>
          <w:sz w:val="32"/>
          <w:szCs w:val="32"/>
        </w:rPr>
        <w:t>政府应当履行属地责任，统筹区域医疗卫生与养老服务资源，支持有条件的医疗机构增设养老床位，开展医养结合服务，推动医养结合深度融合，鼓励企业开发适老化产品与服务，促进银发经济创新升级，落实</w:t>
      </w:r>
      <w:r>
        <w:rPr>
          <w:rFonts w:hint="eastAsia" w:ascii="Times New Roman" w:hAnsi="Times New Roman" w:eastAsia="仿宋_GB2312" w:cs="Times New Roman"/>
          <w:color w:val="auto"/>
          <w:sz w:val="32"/>
          <w:szCs w:val="32"/>
          <w:lang w:eastAsia="zh-CN"/>
        </w:rPr>
        <w:t>长期护理保险</w:t>
      </w:r>
      <w:r>
        <w:rPr>
          <w:rFonts w:ascii="Times New Roman" w:hAnsi="Times New Roman" w:eastAsia="仿宋_GB2312" w:cs="Times New Roman"/>
          <w:color w:val="auto"/>
          <w:sz w:val="32"/>
          <w:szCs w:val="32"/>
        </w:rPr>
        <w:t>制度的相关工作。乡镇（街道）、村（社区）配合做好</w:t>
      </w:r>
      <w:r>
        <w:rPr>
          <w:rFonts w:hint="eastAsia" w:ascii="Times New Roman" w:hAnsi="Times New Roman" w:eastAsia="仿宋_GB2312" w:cs="Times New Roman"/>
          <w:color w:val="auto"/>
          <w:sz w:val="32"/>
          <w:szCs w:val="32"/>
          <w:lang w:eastAsia="zh-CN"/>
        </w:rPr>
        <w:t>长期护理保险</w:t>
      </w:r>
      <w:r>
        <w:rPr>
          <w:rFonts w:ascii="Times New Roman" w:hAnsi="Times New Roman" w:eastAsia="仿宋_GB2312" w:cs="Times New Roman"/>
          <w:color w:val="auto"/>
          <w:sz w:val="32"/>
          <w:szCs w:val="32"/>
        </w:rPr>
        <w:t>制度相关工作。</w:t>
      </w:r>
    </w:p>
    <w:p w14:paraId="483C4C8D">
      <w:pPr>
        <w:pStyle w:val="18"/>
        <w:keepNext w:val="0"/>
        <w:keepLines w:val="0"/>
        <w:pageBreakBefore w:val="0"/>
        <w:widowControl w:val="0"/>
        <w:kinsoku/>
        <w:wordWrap/>
        <w:topLinePunct/>
        <w:autoSpaceDE w:val="0"/>
        <w:bidi w:val="0"/>
        <w:spacing w:before="0" w:after="0" w:line="560" w:lineRule="exact"/>
        <w:ind w:firstLine="640" w:firstLineChars="200"/>
        <w:jc w:val="both"/>
        <w:textAlignment w:val="auto"/>
        <w:rPr>
          <w:rFonts w:hint="eastAsia" w:ascii="Times New Roman" w:hAnsi="Times New Roman" w:eastAsia="仿宋_GB2312" w:cs="Times New Roman"/>
          <w:sz w:val="32"/>
          <w:szCs w:val="32"/>
        </w:rPr>
      </w:pPr>
    </w:p>
    <w:p w14:paraId="3DE66051">
      <w:pPr>
        <w:pStyle w:val="7"/>
        <w:keepNext w:val="0"/>
        <w:keepLines w:val="0"/>
        <w:pageBreakBefore w:val="0"/>
        <w:numPr>
          <w:ilvl w:val="0"/>
          <w:numId w:val="2"/>
        </w:numPr>
        <w:kinsoku/>
        <w:wordWrap/>
        <w:topLinePunct/>
        <w:autoSpaceDE w:val="0"/>
        <w:bidi w:val="0"/>
        <w:spacing w:beforeAutospacing="0" w:afterAutospacing="0" w:line="560" w:lineRule="exact"/>
        <w:jc w:val="center"/>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参保缴费</w:t>
      </w:r>
    </w:p>
    <w:p w14:paraId="381858FE">
      <w:pPr>
        <w:pStyle w:val="7"/>
        <w:keepNext w:val="0"/>
        <w:keepLines w:val="0"/>
        <w:pageBreakBefore w:val="0"/>
        <w:kinsoku/>
        <w:wordWrap/>
        <w:topLinePunct/>
        <w:autoSpaceDE w:val="0"/>
        <w:bidi w:val="0"/>
        <w:spacing w:beforeAutospacing="0" w:afterAutospacing="0" w:line="560" w:lineRule="exact"/>
        <w:jc w:val="both"/>
        <w:textAlignment w:val="auto"/>
        <w:rPr>
          <w:rFonts w:hint="eastAsia" w:ascii="Times New Roman" w:hAnsi="Times New Roman" w:eastAsia="仿宋_GB2312" w:cs="Times New Roman"/>
          <w:sz w:val="32"/>
          <w:szCs w:val="32"/>
        </w:rPr>
      </w:pPr>
    </w:p>
    <w:p w14:paraId="050CEC86">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黑体" w:cs="Times New Roman"/>
          <w:sz w:val="32"/>
          <w:szCs w:val="32"/>
        </w:rPr>
        <w:t>第六条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用人单位（包括企业、事业单位、机关、社会组织）及单位职工、退休人员、灵活就业人员</w:t>
      </w:r>
      <w:r>
        <w:rPr>
          <w:rFonts w:hint="eastAsia" w:ascii="Times New Roman" w:hAnsi="Times New Roman" w:eastAsia="仿宋_GB2312" w:cs="Times New Roman"/>
          <w:sz w:val="32"/>
          <w:szCs w:val="32"/>
          <w:lang w:eastAsia="zh-CN"/>
        </w:rPr>
        <w:t>（以下简称职工）</w:t>
      </w:r>
      <w:r>
        <w:rPr>
          <w:rFonts w:hint="eastAsia" w:ascii="Times New Roman" w:hAnsi="Times New Roman" w:eastAsia="仿宋_GB2312" w:cs="Times New Roman"/>
          <w:sz w:val="32"/>
          <w:szCs w:val="32"/>
        </w:rPr>
        <w:t>和未就业城乡居民</w:t>
      </w:r>
      <w:r>
        <w:rPr>
          <w:rFonts w:hint="eastAsia" w:ascii="Times New Roman" w:hAnsi="Times New Roman" w:eastAsia="仿宋_GB2312" w:cs="Times New Roman"/>
          <w:sz w:val="32"/>
          <w:szCs w:val="32"/>
          <w:lang w:eastAsia="zh-CN"/>
        </w:rPr>
        <w:t>（以下简称居民）</w:t>
      </w:r>
      <w:r>
        <w:rPr>
          <w:rFonts w:hint="eastAsia" w:ascii="Times New Roman" w:hAnsi="Times New Roman" w:eastAsia="仿宋_GB2312" w:cs="Times New Roman"/>
          <w:sz w:val="32"/>
          <w:szCs w:val="32"/>
        </w:rPr>
        <w:t>等按照属地管理原则参加</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w:t>
      </w:r>
    </w:p>
    <w:p w14:paraId="18734430">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黑体" w:cs="Times New Roman"/>
          <w:sz w:val="32"/>
          <w:szCs w:val="32"/>
        </w:rPr>
        <w:t>第七条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保险费与基本医疗保险同步征收，分为月度缴费和年度缴费，其中按职工参保政策参保的按月度缴费，按居民参保政策参保的按年度缴费。</w:t>
      </w:r>
    </w:p>
    <w:p w14:paraId="78EA7CBD">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楷体_GB2312" w:cs="Times New Roman"/>
          <w:sz w:val="32"/>
          <w:szCs w:val="32"/>
        </w:rPr>
      </w:pPr>
      <w:r>
        <w:rPr>
          <w:rFonts w:hint="eastAsia" w:ascii="Times New Roman" w:hAnsi="Times New Roman" w:eastAsia="黑体" w:cs="Times New Roman"/>
          <w:sz w:val="32"/>
          <w:szCs w:val="32"/>
        </w:rPr>
        <w:t>第八条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构建与经济发展水平相适应、与各方负担能力相匹配、可持续的多元筹资机制，并按照以下缴费标准执行：</w:t>
      </w:r>
    </w:p>
    <w:p w14:paraId="396C4BA0">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一</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单位职工。</w:t>
      </w:r>
      <w:r>
        <w:rPr>
          <w:rFonts w:hint="eastAsia" w:ascii="Times New Roman" w:hAnsi="Times New Roman" w:eastAsia="仿宋_GB2312" w:cs="Times New Roman"/>
          <w:sz w:val="32"/>
          <w:szCs w:val="32"/>
        </w:rPr>
        <w:t>缴费费率为0.3%，由用人单位和个人各按0.15%同比例分担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个人缴纳部分由单位代扣代缴。</w:t>
      </w:r>
      <w:r>
        <w:rPr>
          <w:rFonts w:hint="eastAsia" w:ascii="Times New Roman" w:hAnsi="Times New Roman" w:eastAsia="仿宋_GB2312" w:cs="Times New Roman"/>
          <w:sz w:val="32"/>
          <w:szCs w:val="32"/>
        </w:rPr>
        <w:t>缴费基数</w:t>
      </w:r>
      <w:r>
        <w:rPr>
          <w:rFonts w:hint="eastAsia" w:ascii="Times New Roman" w:hAnsi="Times New Roman" w:eastAsia="仿宋_GB2312" w:cs="Times New Roman"/>
          <w:sz w:val="32"/>
          <w:szCs w:val="32"/>
          <w:lang w:val="en-US" w:eastAsia="zh-CN"/>
        </w:rPr>
        <w:t>及上下限</w:t>
      </w:r>
      <w:r>
        <w:rPr>
          <w:rFonts w:hint="eastAsia" w:ascii="Times New Roman" w:hAnsi="Times New Roman" w:eastAsia="仿宋_GB2312" w:cs="Times New Roman"/>
          <w:sz w:val="32"/>
          <w:szCs w:val="32"/>
        </w:rPr>
        <w:t>与职工基本医疗保险保持一致</w:t>
      </w:r>
      <w:r>
        <w:rPr>
          <w:rFonts w:hint="eastAsia" w:ascii="Times New Roman" w:hAnsi="Times New Roman" w:eastAsia="仿宋_GB2312" w:cs="Times New Roman"/>
          <w:sz w:val="32"/>
          <w:szCs w:val="32"/>
          <w:lang w:eastAsia="zh-CN"/>
        </w:rPr>
        <w:t>。</w:t>
      </w:r>
    </w:p>
    <w:p w14:paraId="215E64A8">
      <w:pPr>
        <w:pStyle w:val="7"/>
        <w:keepNext w:val="0"/>
        <w:keepLines w:val="0"/>
        <w:pageBreakBefore w:val="0"/>
        <w:kinsoku/>
        <w:wordWrap/>
        <w:topLinePunct/>
        <w:autoSpaceDE w:val="0"/>
        <w:bidi w:val="0"/>
        <w:spacing w:before="100" w:beforeAutospacing="0" w:after="100" w:afterAutospacing="0"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b w:val="0"/>
          <w:bCs w:val="0"/>
          <w:color w:val="auto"/>
          <w:kern w:val="2"/>
          <w:sz w:val="32"/>
          <w:szCs w:val="32"/>
          <w:u w:val="none"/>
          <w:lang w:eastAsia="zh-CN"/>
        </w:rPr>
        <w:t>（</w:t>
      </w:r>
      <w:r>
        <w:rPr>
          <w:rFonts w:hint="eastAsia" w:ascii="Times New Roman" w:hAnsi="Times New Roman" w:eastAsia="仿宋_GB2312" w:cs="Times New Roman"/>
          <w:b w:val="0"/>
          <w:bCs w:val="0"/>
          <w:color w:val="auto"/>
          <w:kern w:val="2"/>
          <w:sz w:val="32"/>
          <w:szCs w:val="32"/>
          <w:u w:val="none"/>
          <w:lang w:val="en-US" w:eastAsia="zh-CN"/>
        </w:rPr>
        <w:t>二</w:t>
      </w:r>
      <w:r>
        <w:rPr>
          <w:rFonts w:hint="eastAsia" w:ascii="Times New Roman" w:hAnsi="Times New Roman" w:eastAsia="仿宋_GB2312" w:cs="Times New Roman"/>
          <w:b w:val="0"/>
          <w:bCs w:val="0"/>
          <w:color w:val="auto"/>
          <w:kern w:val="2"/>
          <w:sz w:val="32"/>
          <w:szCs w:val="32"/>
          <w:u w:val="none"/>
          <w:lang w:eastAsia="zh-CN"/>
        </w:rPr>
        <w:t>）</w:t>
      </w:r>
      <w:r>
        <w:rPr>
          <w:rFonts w:hint="eastAsia" w:ascii="Times New Roman" w:hAnsi="Times New Roman" w:eastAsia="仿宋_GB2312" w:cs="Times New Roman"/>
          <w:b w:val="0"/>
          <w:bCs w:val="0"/>
          <w:color w:val="auto"/>
          <w:kern w:val="2"/>
          <w:sz w:val="32"/>
          <w:szCs w:val="32"/>
          <w:u w:val="none"/>
        </w:rPr>
        <w:t>退休人员。退休人员由个人缴费，原用人单位不缴费</w:t>
      </w:r>
      <w:r>
        <w:rPr>
          <w:rFonts w:hint="eastAsia" w:ascii="Times New Roman" w:hAnsi="Times New Roman" w:eastAsia="仿宋_GB2312" w:cs="Times New Roman"/>
          <w:b w:val="0"/>
          <w:bCs w:val="0"/>
          <w:color w:val="auto"/>
          <w:kern w:val="2"/>
          <w:sz w:val="32"/>
          <w:szCs w:val="32"/>
          <w:u w:val="none"/>
          <w:lang w:eastAsia="zh-CN"/>
        </w:rPr>
        <w:t>；</w:t>
      </w:r>
      <w:r>
        <w:rPr>
          <w:rFonts w:hint="default" w:ascii="Times New Roman" w:hAnsi="Times New Roman" w:eastAsia="仿宋_GB2312" w:cs="Times New Roman"/>
          <w:b w:val="0"/>
          <w:bCs w:val="0"/>
          <w:color w:val="auto"/>
          <w:kern w:val="2"/>
          <w:sz w:val="32"/>
          <w:szCs w:val="32"/>
          <w:u w:val="none"/>
          <w:lang w:val="en" w:eastAsia="zh-CN"/>
        </w:rPr>
        <w:t>缴</w:t>
      </w:r>
      <w:r>
        <w:rPr>
          <w:rFonts w:hint="eastAsia" w:ascii="Times New Roman" w:hAnsi="Times New Roman" w:eastAsia="仿宋_GB2312" w:cs="Times New Roman"/>
          <w:b w:val="0"/>
          <w:bCs w:val="0"/>
          <w:color w:val="auto"/>
          <w:kern w:val="2"/>
          <w:sz w:val="32"/>
          <w:szCs w:val="32"/>
          <w:u w:val="none"/>
        </w:rPr>
        <w:t>费基数</w:t>
      </w:r>
      <w:r>
        <w:rPr>
          <w:rFonts w:hint="eastAsia" w:ascii="Times New Roman" w:hAnsi="Times New Roman" w:eastAsia="仿宋_GB2312" w:cs="Times New Roman"/>
          <w:b w:val="0"/>
          <w:bCs w:val="0"/>
          <w:color w:val="auto"/>
          <w:kern w:val="2"/>
          <w:sz w:val="32"/>
          <w:szCs w:val="32"/>
          <w:u w:val="none"/>
          <w:lang w:eastAsia="zh-CN"/>
        </w:rPr>
        <w:t>原则上</w:t>
      </w:r>
      <w:r>
        <w:rPr>
          <w:rFonts w:hint="eastAsia" w:ascii="Times New Roman" w:hAnsi="Times New Roman" w:eastAsia="仿宋_GB2312" w:cs="Times New Roman"/>
          <w:b w:val="0"/>
          <w:bCs w:val="0"/>
          <w:color w:val="auto"/>
          <w:kern w:val="2"/>
          <w:sz w:val="32"/>
          <w:szCs w:val="32"/>
          <w:u w:val="none"/>
        </w:rPr>
        <w:t>为本人基本养老金</w:t>
      </w:r>
      <w:r>
        <w:rPr>
          <w:rFonts w:hint="eastAsia" w:ascii="Times New Roman" w:hAnsi="Times New Roman" w:eastAsia="仿宋_GB2312" w:cs="Times New Roman"/>
          <w:b w:val="0"/>
          <w:bCs w:val="0"/>
          <w:color w:val="auto"/>
          <w:kern w:val="2"/>
          <w:sz w:val="32"/>
          <w:szCs w:val="32"/>
          <w:u w:val="none"/>
          <w:lang w:eastAsia="zh-CN"/>
        </w:rPr>
        <w:t>；</w:t>
      </w:r>
      <w:r>
        <w:rPr>
          <w:rFonts w:hint="eastAsia" w:ascii="Times New Roman" w:hAnsi="Times New Roman" w:eastAsia="仿宋_GB2312" w:cs="Times New Roman"/>
          <w:b w:val="0"/>
          <w:bCs w:val="0"/>
          <w:color w:val="auto"/>
          <w:kern w:val="2"/>
          <w:sz w:val="32"/>
          <w:szCs w:val="32"/>
          <w:u w:val="none"/>
        </w:rPr>
        <w:t>缴费费率为0.15%</w:t>
      </w:r>
      <w:r>
        <w:rPr>
          <w:rFonts w:hint="eastAsia" w:ascii="Times New Roman" w:hAnsi="Times New Roman" w:eastAsia="仿宋_GB2312" w:cs="Times New Roman"/>
          <w:b w:val="0"/>
          <w:bCs w:val="0"/>
          <w:color w:val="auto"/>
          <w:kern w:val="2"/>
          <w:sz w:val="32"/>
          <w:szCs w:val="32"/>
          <w:u w:val="none"/>
          <w:lang w:eastAsia="zh-CN"/>
        </w:rPr>
        <w:t>。</w:t>
      </w:r>
      <w:r>
        <w:rPr>
          <w:rFonts w:hint="eastAsia" w:ascii="Times New Roman" w:hAnsi="Times New Roman" w:eastAsia="仿宋_GB2312" w:cs="Times New Roman"/>
          <w:b w:val="0"/>
          <w:bCs w:val="0"/>
          <w:color w:val="auto"/>
          <w:kern w:val="2"/>
          <w:sz w:val="32"/>
          <w:szCs w:val="32"/>
          <w:u w:val="none"/>
        </w:rPr>
        <w:t>未领取职工基本养老金或无法通过数据共享等途径获取职工基本养老金数据的人员，建制当年以本市上年度退休人员平均基本养老金</w:t>
      </w:r>
      <w:r>
        <w:rPr>
          <w:rFonts w:hint="eastAsia" w:ascii="Times New Roman" w:hAnsi="Times New Roman" w:eastAsia="仿宋_GB2312" w:cs="Times New Roman"/>
          <w:sz w:val="32"/>
          <w:szCs w:val="32"/>
        </w:rPr>
        <w:t>（企业、机关事业单位）、制度实施次年起以本市上年度退休人员</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缴费基数平均值核定其</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缴费基数。按照国家规定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 w:eastAsia="zh-CN"/>
        </w:rPr>
        <w:t>有职工医保个人</w:t>
      </w:r>
      <w:r>
        <w:rPr>
          <w:rFonts w:hint="eastAsia" w:ascii="Times New Roman" w:hAnsi="Times New Roman" w:eastAsia="仿宋_GB2312" w:cs="Times New Roman"/>
          <w:sz w:val="32"/>
          <w:szCs w:val="32"/>
        </w:rPr>
        <w:t>账户</w:t>
      </w:r>
      <w:r>
        <w:rPr>
          <w:rFonts w:hint="default" w:ascii="Times New Roman" w:hAnsi="Times New Roman" w:eastAsia="仿宋_GB2312" w:cs="Times New Roman"/>
          <w:sz w:val="32"/>
          <w:szCs w:val="32"/>
          <w:lang w:val="en" w:eastAsia="zh-CN"/>
        </w:rPr>
        <w:t>的，</w:t>
      </w:r>
      <w:r>
        <w:rPr>
          <w:rFonts w:hint="eastAsia" w:ascii="Times New Roman" w:hAnsi="Times New Roman" w:eastAsia="仿宋_GB2312" w:cs="Times New Roman"/>
          <w:sz w:val="32"/>
          <w:szCs w:val="32"/>
        </w:rPr>
        <w:t>费款优先</w:t>
      </w:r>
      <w:r>
        <w:rPr>
          <w:rFonts w:hint="eastAsia" w:ascii="Times New Roman" w:hAnsi="Times New Roman" w:eastAsia="仿宋_GB2312" w:cs="Times New Roman"/>
          <w:sz w:val="32"/>
          <w:szCs w:val="32"/>
          <w:lang w:val="en-US" w:eastAsia="zh-CN"/>
        </w:rPr>
        <w:t>由医疗保障部门</w:t>
      </w:r>
      <w:r>
        <w:rPr>
          <w:rFonts w:hint="eastAsia" w:ascii="Times New Roman" w:hAnsi="Times New Roman" w:eastAsia="仿宋_GB2312" w:cs="Times New Roman"/>
          <w:sz w:val="32"/>
          <w:szCs w:val="32"/>
        </w:rPr>
        <w:t>从</w:t>
      </w:r>
      <w:r>
        <w:rPr>
          <w:rFonts w:hint="eastAsia" w:ascii="Times New Roman" w:hAnsi="Times New Roman" w:eastAsia="仿宋_GB2312" w:cs="Times New Roman"/>
          <w:sz w:val="32"/>
          <w:szCs w:val="32"/>
          <w:lang w:val="en-US" w:eastAsia="zh-CN"/>
        </w:rPr>
        <w:t>职工本人</w:t>
      </w:r>
      <w:r>
        <w:rPr>
          <w:rFonts w:hint="eastAsia" w:ascii="Times New Roman" w:hAnsi="Times New Roman" w:eastAsia="仿宋_GB2312" w:cs="Times New Roman"/>
          <w:sz w:val="32"/>
          <w:szCs w:val="32"/>
        </w:rPr>
        <w:t>职工</w:t>
      </w:r>
      <w:r>
        <w:rPr>
          <w:rFonts w:hint="eastAsia" w:ascii="Times New Roman" w:hAnsi="Times New Roman" w:eastAsia="仿宋_GB2312" w:cs="Times New Roman"/>
          <w:sz w:val="32"/>
          <w:szCs w:val="32"/>
          <w:lang w:val="en-US" w:eastAsia="zh-CN"/>
        </w:rPr>
        <w:t>医保</w:t>
      </w:r>
      <w:r>
        <w:rPr>
          <w:rFonts w:hint="eastAsia" w:ascii="Times New Roman" w:hAnsi="Times New Roman" w:eastAsia="仿宋_GB2312" w:cs="Times New Roman"/>
          <w:sz w:val="32"/>
          <w:szCs w:val="32"/>
        </w:rPr>
        <w:t>个人账户中代扣代缴；待条件成熟时，探索由发放基本养老金的社会保险经办机构代扣代缴</w:t>
      </w:r>
      <w:r>
        <w:rPr>
          <w:rFonts w:hint="eastAsia" w:ascii="Times New Roman" w:hAnsi="Times New Roman" w:eastAsia="仿宋_GB2312" w:cs="Times New Roman"/>
          <w:sz w:val="32"/>
          <w:szCs w:val="32"/>
          <w:lang w:eastAsia="zh-CN"/>
        </w:rPr>
        <w:t>。</w:t>
      </w:r>
    </w:p>
    <w:p w14:paraId="4114F458">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三</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rPr>
        <w:t>困难企业退休人员。符合《转发市劳动保障局 财政局关于揭阳市困难企业退休人员参加城镇职工基本医疗保险实施意见的通知》（</w:t>
      </w:r>
      <w:r>
        <w:rPr>
          <w:rFonts w:hint="eastAsia" w:ascii="Times New Roman" w:hAnsi="Times New Roman" w:eastAsia="仿宋_GB2312" w:cs="Times New Roman"/>
          <w:sz w:val="32"/>
          <w:szCs w:val="32"/>
        </w:rPr>
        <w:t>揭府办〔2007〕192号</w:t>
      </w:r>
      <w:r>
        <w:rPr>
          <w:rFonts w:hint="eastAsia" w:ascii="Times New Roman" w:hAnsi="Times New Roman" w:eastAsia="仿宋_GB2312" w:cs="Times New Roman"/>
          <w:kern w:val="2"/>
          <w:sz w:val="32"/>
          <w:szCs w:val="32"/>
        </w:rPr>
        <w:t>）规定的困难企业退休人员，</w:t>
      </w:r>
      <w:r>
        <w:rPr>
          <w:rFonts w:hint="eastAsia" w:ascii="Times New Roman" w:hAnsi="Times New Roman" w:eastAsia="仿宋_GB2312" w:cs="Times New Roman"/>
          <w:sz w:val="32"/>
          <w:szCs w:val="32"/>
        </w:rPr>
        <w:t>以本人基本养老金为缴费基数，缴费费率按0.15%，其个人缴费部分由财政资金给予资助。</w:t>
      </w:r>
    </w:p>
    <w:p w14:paraId="19239D3E">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sz w:val="32"/>
          <w:szCs w:val="32"/>
        </w:rPr>
        <w:t>（四）灵活就业人</w:t>
      </w:r>
      <w:r>
        <w:rPr>
          <w:rFonts w:hint="eastAsia" w:ascii="Times New Roman" w:hAnsi="Times New Roman" w:eastAsia="仿宋_GB2312" w:cs="Times New Roman"/>
          <w:kern w:val="0"/>
          <w:sz w:val="32"/>
          <w:szCs w:val="32"/>
          <w:lang w:val="en-US" w:eastAsia="zh-CN" w:bidi="ar"/>
        </w:rPr>
        <w:t>员。鼓励灵活就业人员按单位职工费率标准参保，缴费基数及上下限与职工基本医疗保险保持一致，缴费费率为0.3%。个人部分缴费费率为0.15%，由个人向税务部门申报并按时足额缴纳。灵活就业人员也可选择按居民参保政策参保缴费。按职工参保政策参保的灵活就业人员达到法定退休年龄的，由个人自行申请调整按职工退休人员规定参保缴费。</w:t>
      </w:r>
    </w:p>
    <w:p w14:paraId="1A620EF8">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b w:val="0"/>
          <w:bCs w:val="0"/>
          <w:color w:val="auto"/>
          <w:sz w:val="32"/>
          <w:szCs w:val="32"/>
          <w:u w:val="none"/>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居民。</w:t>
      </w:r>
      <w:r>
        <w:rPr>
          <w:rFonts w:hint="eastAsia" w:ascii="Times New Roman" w:hAnsi="Times New Roman" w:eastAsia="仿宋_GB2312" w:cs="Times New Roman"/>
          <w:sz w:val="32"/>
          <w:szCs w:val="32"/>
        </w:rPr>
        <w:t>居民以本市上年度城乡居民人均可支配收入为缴费基数，缴费费率从0.15%起步，用5年时间逐步过渡到0</w:t>
      </w:r>
      <w:r>
        <w:rPr>
          <w:rFonts w:hint="eastAsia" w:ascii="Times New Roman" w:hAnsi="Times New Roman" w:eastAsia="仿宋_GB2312" w:cs="Times New Roman"/>
          <w:b w:val="0"/>
          <w:bCs w:val="0"/>
          <w:color w:val="auto"/>
          <w:sz w:val="32"/>
          <w:szCs w:val="32"/>
          <w:u w:val="none"/>
        </w:rPr>
        <w:t>.3%（若当年基金出现收不抵支情况，可提前调整至0.3%）</w:t>
      </w:r>
      <w:r>
        <w:rPr>
          <w:rFonts w:hint="eastAsia" w:ascii="Times New Roman" w:hAnsi="Times New Roman" w:eastAsia="仿宋_GB2312" w:cs="Times New Roman"/>
          <w:b w:val="0"/>
          <w:bCs w:val="0"/>
          <w:color w:val="auto"/>
          <w:sz w:val="32"/>
          <w:szCs w:val="32"/>
          <w:u w:val="none"/>
          <w:lang w:eastAsia="zh-CN"/>
        </w:rPr>
        <w:t>。</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sz w:val="32"/>
          <w:szCs w:val="32"/>
          <w:u w:val="none"/>
          <w:lang w:val="en-US" w:eastAsia="zh-CN"/>
        </w:rPr>
        <w:t>保费由个人缴费和政府补助按1：1同比例分担。政府补助由中央财政和地方财政共同承担，按国家、省具体补助办法执行。</w:t>
      </w:r>
      <w:r>
        <w:rPr>
          <w:rFonts w:hint="eastAsia" w:ascii="Times New Roman" w:hAnsi="Times New Roman" w:eastAsia="仿宋_GB2312" w:cs="Times New Roman"/>
          <w:b w:val="0"/>
          <w:bCs w:val="0"/>
          <w:color w:val="000000" w:themeColor="text1"/>
          <w:sz w:val="32"/>
          <w:szCs w:val="32"/>
          <w:highlight w:val="none"/>
          <w:u w:val="none"/>
          <w:lang w:val="en-US" w:eastAsia="zh-CN"/>
          <w14:textFill>
            <w14:solidFill>
              <w14:schemeClr w14:val="tx1"/>
            </w14:solidFill>
          </w14:textFill>
        </w:rPr>
        <w:t>过渡期间各医</w:t>
      </w:r>
      <w:r>
        <w:rPr>
          <w:rFonts w:hint="eastAsia" w:ascii="Times New Roman" w:hAnsi="Times New Roman" w:eastAsia="仿宋_GB2312" w:cs="Times New Roman"/>
          <w:b w:val="0"/>
          <w:bCs w:val="0"/>
          <w:color w:val="000000" w:themeColor="text1"/>
          <w:sz w:val="32"/>
          <w:szCs w:val="32"/>
          <w:u w:val="none"/>
          <w:lang w:val="en-US" w:eastAsia="zh-CN"/>
          <w14:textFill>
            <w14:solidFill>
              <w14:schemeClr w14:val="tx1"/>
            </w14:solidFill>
          </w14:textFill>
        </w:rPr>
        <w:t>保年度长期护理保险费率如需调整，由市医疗保障行政部门联合市财政部门另行公布。</w:t>
      </w:r>
    </w:p>
    <w:p w14:paraId="2A01D5EA">
      <w:pPr>
        <w:pStyle w:val="3"/>
        <w:keepNext w:val="0"/>
        <w:keepLines w:val="0"/>
        <w:pageBreakBefore w:val="0"/>
        <w:kinsoku/>
        <w:wordWrap/>
        <w:bidi w:val="0"/>
        <w:spacing w:line="560" w:lineRule="exact"/>
        <w:ind w:firstLine="640" w:firstLineChars="200"/>
        <w:jc w:val="both"/>
        <w:textAlignment w:val="auto"/>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color w:val="auto"/>
          <w:kern w:val="0"/>
          <w:sz w:val="32"/>
          <w:szCs w:val="32"/>
          <w:u w:val="none"/>
          <w:lang w:eastAsia="zh-CN"/>
        </w:rPr>
        <w:t>（</w:t>
      </w:r>
      <w:r>
        <w:rPr>
          <w:rFonts w:hint="eastAsia" w:ascii="Times New Roman" w:hAnsi="Times New Roman" w:eastAsia="仿宋_GB2312" w:cs="Times New Roman"/>
          <w:b w:val="0"/>
          <w:bCs w:val="0"/>
          <w:color w:val="auto"/>
          <w:kern w:val="0"/>
          <w:sz w:val="32"/>
          <w:szCs w:val="32"/>
          <w:u w:val="none"/>
          <w:lang w:val="en-US" w:eastAsia="zh-CN"/>
        </w:rPr>
        <w:t>六</w:t>
      </w:r>
      <w:r>
        <w:rPr>
          <w:rFonts w:hint="eastAsia" w:ascii="Times New Roman" w:hAnsi="Times New Roman" w:eastAsia="仿宋_GB2312" w:cs="Times New Roman"/>
          <w:b w:val="0"/>
          <w:bCs w:val="0"/>
          <w:color w:val="auto"/>
          <w:kern w:val="0"/>
          <w:sz w:val="32"/>
          <w:szCs w:val="32"/>
          <w:u w:val="none"/>
          <w:lang w:eastAsia="zh-CN"/>
        </w:rPr>
        <w:t>）</w:t>
      </w:r>
      <w:r>
        <w:rPr>
          <w:rFonts w:hint="eastAsia" w:ascii="Times New Roman" w:hAnsi="Times New Roman" w:eastAsia="仿宋_GB2312" w:cs="Times New Roman"/>
          <w:b w:val="0"/>
          <w:bCs w:val="0"/>
          <w:color w:val="auto"/>
          <w:kern w:val="0"/>
          <w:sz w:val="32"/>
          <w:szCs w:val="32"/>
          <w:u w:val="none"/>
          <w:shd w:val="clear" w:color="auto" w:fill="auto"/>
        </w:rPr>
        <w:t>18周岁以下</w:t>
      </w:r>
      <w:r>
        <w:rPr>
          <w:rFonts w:hint="eastAsia" w:ascii="Times New Roman" w:hAnsi="Times New Roman" w:eastAsia="仿宋_GB2312" w:cs="Times New Roman"/>
          <w:b w:val="0"/>
          <w:bCs w:val="0"/>
          <w:color w:val="auto"/>
          <w:kern w:val="0"/>
          <w:sz w:val="32"/>
          <w:szCs w:val="32"/>
          <w:u w:val="none"/>
          <w:shd w:val="clear" w:color="auto" w:fill="auto"/>
          <w:lang w:val="en-US" w:eastAsia="zh-CN"/>
        </w:rPr>
        <w:t>人员。</w:t>
      </w:r>
      <w:r>
        <w:rPr>
          <w:rFonts w:hint="eastAsia" w:ascii="Times New Roman" w:hAnsi="Times New Roman" w:eastAsia="仿宋_GB2312" w:cs="Times New Roman"/>
          <w:b w:val="0"/>
          <w:bCs w:val="0"/>
          <w:color w:val="auto"/>
          <w:kern w:val="0"/>
          <w:sz w:val="32"/>
          <w:szCs w:val="32"/>
          <w:u w:val="none"/>
          <w:shd w:val="clear" w:color="auto" w:fill="auto"/>
        </w:rPr>
        <w:t>18周岁以下</w:t>
      </w:r>
      <w:r>
        <w:rPr>
          <w:rFonts w:hint="eastAsia" w:ascii="Times New Roman" w:hAnsi="Times New Roman" w:eastAsia="仿宋_GB2312" w:cs="Times New Roman"/>
          <w:b w:val="0"/>
          <w:bCs w:val="0"/>
          <w:color w:val="auto"/>
          <w:kern w:val="0"/>
          <w:sz w:val="32"/>
          <w:szCs w:val="32"/>
          <w:u w:val="none"/>
          <w:shd w:val="clear" w:color="auto" w:fill="auto"/>
          <w:lang w:val="en-US" w:eastAsia="zh-CN"/>
        </w:rPr>
        <w:t>未就业人员</w:t>
      </w:r>
      <w:r>
        <w:rPr>
          <w:rFonts w:hint="eastAsia" w:ascii="Times New Roman" w:hAnsi="Times New Roman" w:eastAsia="仿宋_GB2312" w:cs="Times New Roman"/>
          <w:b w:val="0"/>
          <w:bCs w:val="0"/>
          <w:color w:val="auto"/>
          <w:kern w:val="0"/>
          <w:sz w:val="32"/>
          <w:szCs w:val="32"/>
          <w:u w:val="none"/>
        </w:rPr>
        <w:t>跟随父母或其他法定抚养</w:t>
      </w:r>
      <w:r>
        <w:rPr>
          <w:rFonts w:hint="eastAsia" w:ascii="Times New Roman" w:hAnsi="Times New Roman" w:eastAsia="仿宋_GB2312" w:cs="Times New Roman"/>
          <w:b w:val="0"/>
          <w:bCs w:val="0"/>
          <w:kern w:val="0"/>
          <w:sz w:val="32"/>
          <w:szCs w:val="32"/>
        </w:rPr>
        <w:t>人等参保，不单独筹资，</w:t>
      </w:r>
      <w:r>
        <w:rPr>
          <w:rFonts w:hint="eastAsia" w:ascii="Times New Roman" w:hAnsi="Times New Roman" w:eastAsia="仿宋_GB2312" w:cs="Times New Roman"/>
          <w:b w:val="0"/>
          <w:bCs w:val="0"/>
          <w:kern w:val="0"/>
          <w:sz w:val="32"/>
          <w:szCs w:val="32"/>
          <w:lang w:eastAsia="zh-CN"/>
        </w:rPr>
        <w:t>符合待遇享受条件的按居民</w:t>
      </w:r>
      <w:r>
        <w:rPr>
          <w:rFonts w:hint="eastAsia" w:ascii="Times New Roman" w:hAnsi="Times New Roman" w:eastAsia="仿宋_GB2312" w:cs="Times New Roman"/>
          <w:b w:val="0"/>
          <w:bCs w:val="0"/>
          <w:kern w:val="0"/>
          <w:sz w:val="32"/>
          <w:szCs w:val="32"/>
        </w:rPr>
        <w:t>待遇标准</w:t>
      </w:r>
      <w:r>
        <w:rPr>
          <w:rFonts w:hint="eastAsia" w:ascii="Times New Roman" w:hAnsi="Times New Roman" w:eastAsia="仿宋_GB2312" w:cs="Times New Roman"/>
          <w:b w:val="0"/>
          <w:bCs w:val="0"/>
          <w:kern w:val="0"/>
          <w:sz w:val="32"/>
          <w:szCs w:val="32"/>
          <w:lang w:eastAsia="zh-CN"/>
        </w:rPr>
        <w:t>享受待遇</w:t>
      </w:r>
      <w:r>
        <w:rPr>
          <w:rFonts w:hint="eastAsia" w:ascii="Times New Roman" w:hAnsi="Times New Roman" w:eastAsia="仿宋_GB2312" w:cs="Times New Roman"/>
          <w:b w:val="0"/>
          <w:bCs w:val="0"/>
          <w:kern w:val="0"/>
          <w:sz w:val="32"/>
          <w:szCs w:val="32"/>
        </w:rPr>
        <w:t>。</w:t>
      </w:r>
      <w:r>
        <w:rPr>
          <w:rFonts w:hint="eastAsia" w:ascii="Times New Roman" w:hAnsi="Times New Roman" w:eastAsia="仿宋_GB2312" w:cs="Times New Roman"/>
          <w:b w:val="0"/>
          <w:bCs w:val="0"/>
          <w:kern w:val="0"/>
          <w:sz w:val="32"/>
          <w:szCs w:val="32"/>
          <w:lang w:eastAsia="zh-CN"/>
        </w:rPr>
        <w:t>参加本市基本医疗保险的</w:t>
      </w:r>
      <w:r>
        <w:rPr>
          <w:rFonts w:hint="eastAsia" w:ascii="Times New Roman" w:hAnsi="Times New Roman" w:eastAsia="仿宋_GB2312" w:cs="Times New Roman"/>
          <w:b w:val="0"/>
          <w:bCs w:val="0"/>
          <w:kern w:val="0"/>
          <w:sz w:val="32"/>
          <w:szCs w:val="32"/>
        </w:rPr>
        <w:t>孤儿、事实无人抚养儿童中无法跟从参保的，视同参保。</w:t>
      </w:r>
    </w:p>
    <w:p w14:paraId="5DDA34EC">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困难人员。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政府对符合规定的困难人员以未就业城乡居民身份参加本市长期护理保险个人缴费部分给予资助</w:t>
      </w:r>
      <w:r>
        <w:rPr>
          <w:rFonts w:hint="eastAsia" w:ascii="Times New Roman" w:hAnsi="Times New Roman" w:eastAsia="仿宋_GB2312" w:cs="Times New Roman"/>
          <w:b w:val="0"/>
          <w:bCs w:val="0"/>
          <w:color w:val="auto"/>
          <w:kern w:val="2"/>
          <w:sz w:val="32"/>
          <w:szCs w:val="32"/>
          <w:u w:val="none"/>
          <w:lang w:val="en-US" w:eastAsia="zh-CN"/>
        </w:rPr>
        <w:t>，资助对象范围、资助比例、资金来源等与资助参加本市城乡居民基本医疗保险一致。</w:t>
      </w:r>
    </w:p>
    <w:p w14:paraId="36BE42D4">
      <w:pPr>
        <w:keepNext w:val="0"/>
        <w:keepLines w:val="0"/>
        <w:pageBreakBefore w:val="0"/>
        <w:kinsoku/>
        <w:wordWrap/>
        <w:topLinePunct/>
        <w:autoSpaceDE w:val="0"/>
        <w:bidi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黑体" w:cs="Times New Roman"/>
          <w:kern w:val="0"/>
          <w:sz w:val="32"/>
          <w:szCs w:val="32"/>
        </w:rPr>
        <w:t>第九条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职工基本医疗保险个人账户可以用于本人及其近亲属（包括配偶、父母、子女、兄弟姐妹、祖父母、外祖父母、孙子女、外孙子女）参加</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的个人缴费。</w:t>
      </w:r>
    </w:p>
    <w:p w14:paraId="313E254D">
      <w:pPr>
        <w:pStyle w:val="13"/>
        <w:keepNext w:val="0"/>
        <w:keepLines w:val="0"/>
        <w:pageBreakBefore w:val="0"/>
        <w:kinsoku/>
        <w:wordWrap/>
        <w:topLinePunct/>
        <w:autoSpaceDE w:val="0"/>
        <w:bidi w:val="0"/>
        <w:spacing w:line="560" w:lineRule="exact"/>
        <w:ind w:firstLine="640" w:firstLineChars="200"/>
        <w:textAlignment w:val="auto"/>
        <w:rPr>
          <w:rFonts w:hint="eastAsia" w:ascii="Times New Roman" w:hAnsi="Times New Roman" w:cs="Times New Roman"/>
        </w:rPr>
      </w:pPr>
      <w:r>
        <w:rPr>
          <w:rFonts w:hint="eastAsia" w:ascii="Times New Roman" w:hAnsi="Times New Roman" w:eastAsia="黑体" w:cs="Times New Roman"/>
          <w:color w:val="auto"/>
          <w:kern w:val="0"/>
          <w:sz w:val="32"/>
          <w:szCs w:val="32"/>
        </w:rPr>
        <w:t>第十条</w:t>
      </w:r>
      <w:r>
        <w:rPr>
          <w:rFonts w:ascii="Times New Roman" w:hAnsi="Times New Roman" w:eastAsia="黑体" w:cs="Times New Roman"/>
          <w:color w:val="auto"/>
          <w:kern w:val="0"/>
          <w:sz w:val="32"/>
          <w:szCs w:val="32"/>
        </w:rPr>
        <w:t xml:space="preserve">  </w:t>
      </w:r>
      <w:r>
        <w:rPr>
          <w:rFonts w:ascii="Times New Roman" w:hAnsi="Times New Roman" w:eastAsia="仿宋_GB2312" w:cs="Times New Roman"/>
          <w:color w:val="auto"/>
          <w:kern w:val="2"/>
          <w:sz w:val="32"/>
          <w:szCs w:val="32"/>
        </w:rPr>
        <w:t>在年度中途参加居民医保的人员，其</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lang w:eastAsia="zh-CN"/>
        </w:rPr>
        <w:t>保</w:t>
      </w:r>
      <w:r>
        <w:rPr>
          <w:rFonts w:ascii="Times New Roman" w:hAnsi="Times New Roman" w:eastAsia="仿宋_GB2312" w:cs="Times New Roman"/>
          <w:color w:val="auto"/>
          <w:kern w:val="2"/>
          <w:sz w:val="32"/>
          <w:szCs w:val="32"/>
        </w:rPr>
        <w:t>费按全年标准一次性缴纳。待遇享受期开始后，参保人员已缴纳的</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lang w:eastAsia="zh-CN"/>
        </w:rPr>
        <w:t>保</w:t>
      </w:r>
      <w:r>
        <w:rPr>
          <w:rFonts w:ascii="Times New Roman" w:hAnsi="Times New Roman" w:eastAsia="仿宋_GB2312" w:cs="Times New Roman"/>
          <w:color w:val="auto"/>
          <w:kern w:val="2"/>
          <w:sz w:val="32"/>
          <w:szCs w:val="32"/>
        </w:rPr>
        <w:t>费不予退回。参保人</w:t>
      </w:r>
      <w:r>
        <w:rPr>
          <w:rFonts w:hint="eastAsia" w:ascii="Times New Roman" w:hAnsi="Times New Roman" w:eastAsia="仿宋_GB2312" w:cs="Times New Roman"/>
          <w:color w:val="auto"/>
          <w:kern w:val="2"/>
          <w:sz w:val="32"/>
          <w:szCs w:val="32"/>
          <w:lang w:eastAsia="zh-CN"/>
        </w:rPr>
        <w:t>员</w:t>
      </w:r>
      <w:r>
        <w:rPr>
          <w:rFonts w:ascii="Times New Roman" w:hAnsi="Times New Roman" w:eastAsia="仿宋_GB2312" w:cs="Times New Roman"/>
          <w:color w:val="auto"/>
          <w:kern w:val="2"/>
          <w:sz w:val="32"/>
          <w:szCs w:val="32"/>
        </w:rPr>
        <w:t>按规定补缴基本医疗保险费时，其应缴未</w:t>
      </w:r>
      <w:r>
        <w:rPr>
          <w:rFonts w:ascii="Times New Roman" w:hAnsi="Times New Roman" w:eastAsia="仿宋_GB2312" w:cs="Times New Roman"/>
          <w:b w:val="0"/>
          <w:bCs w:val="0"/>
          <w:color w:val="auto"/>
          <w:kern w:val="2"/>
          <w:sz w:val="32"/>
          <w:szCs w:val="32"/>
          <w:u w:val="none"/>
        </w:rPr>
        <w:t>缴的</w:t>
      </w:r>
      <w:r>
        <w:rPr>
          <w:rFonts w:hint="eastAsia" w:ascii="Times New Roman" w:hAnsi="Times New Roman" w:eastAsia="仿宋_GB2312" w:cs="Times New Roman"/>
          <w:color w:val="auto"/>
          <w:sz w:val="32"/>
          <w:szCs w:val="32"/>
          <w:lang w:eastAsia="zh-CN"/>
        </w:rPr>
        <w:t>长期护理保险</w:t>
      </w:r>
      <w:r>
        <w:rPr>
          <w:rFonts w:ascii="Times New Roman" w:hAnsi="Times New Roman" w:eastAsia="仿宋_GB2312" w:cs="Times New Roman"/>
          <w:b w:val="0"/>
          <w:bCs w:val="0"/>
          <w:color w:val="auto"/>
          <w:kern w:val="2"/>
          <w:sz w:val="32"/>
          <w:szCs w:val="32"/>
          <w:u w:val="none"/>
        </w:rPr>
        <w:t>保费同步补缴，补缴起始时间不早于本办法施行之日。</w:t>
      </w:r>
      <w:r>
        <w:rPr>
          <w:rFonts w:hint="eastAsia" w:ascii="Times New Roman" w:hAnsi="Times New Roman" w:eastAsia="仿宋_GB2312" w:cs="Times New Roman"/>
          <w:b w:val="0"/>
          <w:bCs w:val="0"/>
          <w:color w:val="auto"/>
          <w:kern w:val="2"/>
          <w:sz w:val="32"/>
          <w:szCs w:val="32"/>
          <w:u w:val="none"/>
          <w:shd w:val="clear" w:color="auto" w:fill="auto"/>
          <w:lang w:val="en-US" w:eastAsia="zh-CN"/>
        </w:rPr>
        <w:t>参保人员</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shd w:val="clear" w:color="auto" w:fill="auto"/>
          <w:lang w:val="en-US" w:eastAsia="zh-CN"/>
        </w:rPr>
        <w:t>补缴及退费情形参照基本医疗保险有关规定执行。职工与居民参保关系相互转换的，其缴费规则同基本医疗保险。</w:t>
      </w:r>
    </w:p>
    <w:p w14:paraId="5C2EE64A">
      <w:pPr>
        <w:pStyle w:val="18"/>
        <w:keepNext w:val="0"/>
        <w:keepLines w:val="0"/>
        <w:pageBreakBefore w:val="0"/>
        <w:widowControl w:val="0"/>
        <w:kinsoku/>
        <w:wordWrap/>
        <w:topLinePunct/>
        <w:autoSpaceDE w:val="0"/>
        <w:bidi w:val="0"/>
        <w:spacing w:before="0" w:after="0" w:line="560" w:lineRule="exact"/>
        <w:ind w:firstLine="640" w:firstLineChars="200"/>
        <w:jc w:val="both"/>
        <w:textAlignment w:val="auto"/>
        <w:rPr>
          <w:rFonts w:hint="eastAsia" w:ascii="Times New Roman" w:hAnsi="Times New Roman" w:eastAsia="仿宋_GB2312" w:cs="Times New Roman"/>
          <w:sz w:val="32"/>
          <w:szCs w:val="32"/>
        </w:rPr>
      </w:pPr>
    </w:p>
    <w:p w14:paraId="0AA5E4B3">
      <w:pPr>
        <w:pStyle w:val="7"/>
        <w:keepNext w:val="0"/>
        <w:keepLines w:val="0"/>
        <w:pageBreakBefore w:val="0"/>
        <w:numPr>
          <w:ilvl w:val="0"/>
          <w:numId w:val="0"/>
        </w:numPr>
        <w:kinsoku/>
        <w:wordWrap/>
        <w:topLinePunct/>
        <w:autoSpaceDE w:val="0"/>
        <w:bidi w:val="0"/>
        <w:spacing w:beforeAutospacing="0" w:afterAutospacing="0" w:line="560" w:lineRule="exact"/>
        <w:ind w:left="0" w:leftChars="0" w:right="0" w:rightChars="0"/>
        <w:jc w:val="center"/>
        <w:textAlignment w:val="auto"/>
        <w:rPr>
          <w:rFonts w:hint="eastAsia" w:ascii="Times New Roman" w:hAnsi="Times New Roman" w:eastAsia="黑体" w:cs="Times New Roman"/>
          <w:sz w:val="32"/>
          <w:szCs w:val="32"/>
        </w:rPr>
      </w:pPr>
      <w:r>
        <w:rPr>
          <w:rFonts w:hint="eastAsia" w:ascii="Times New Roman" w:hAnsi="Times New Roman" w:eastAsia="黑体" w:cs="Times New Roman"/>
          <w:kern w:val="0"/>
          <w:sz w:val="32"/>
          <w:szCs w:val="32"/>
          <w:lang w:val="en-US" w:eastAsia="zh-CN" w:bidi="ar"/>
        </w:rPr>
        <w:t xml:space="preserve">第三章 </w:t>
      </w:r>
      <w:r>
        <w:rPr>
          <w:rFonts w:hint="eastAsia" w:ascii="Times New Roman" w:hAnsi="Times New Roman" w:eastAsia="黑体" w:cs="Times New Roman"/>
          <w:sz w:val="32"/>
          <w:szCs w:val="32"/>
        </w:rPr>
        <w:t>基金管理</w:t>
      </w:r>
    </w:p>
    <w:p w14:paraId="1C906F0E">
      <w:pPr>
        <w:pStyle w:val="7"/>
        <w:keepNext w:val="0"/>
        <w:keepLines w:val="0"/>
        <w:pageBreakBefore w:val="0"/>
        <w:kinsoku/>
        <w:wordWrap/>
        <w:topLinePunct/>
        <w:autoSpaceDE w:val="0"/>
        <w:bidi w:val="0"/>
        <w:spacing w:beforeAutospacing="0" w:afterAutospacing="0" w:line="560" w:lineRule="exact"/>
        <w:jc w:val="both"/>
        <w:textAlignment w:val="auto"/>
        <w:rPr>
          <w:rFonts w:hint="eastAsia" w:ascii="Times New Roman" w:hAnsi="Times New Roman" w:eastAsia="仿宋_GB2312" w:cs="Times New Roman"/>
          <w:sz w:val="32"/>
          <w:szCs w:val="32"/>
        </w:rPr>
      </w:pPr>
    </w:p>
    <w:p w14:paraId="3DC34A71">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 w:eastAsia="zh-CN"/>
        </w:rPr>
      </w:pPr>
      <w:r>
        <w:rPr>
          <w:rFonts w:hint="eastAsia" w:ascii="Times New Roman" w:hAnsi="Times New Roman" w:eastAsia="黑体" w:cs="Times New Roman"/>
          <w:sz w:val="32"/>
          <w:szCs w:val="32"/>
        </w:rPr>
        <w:t>第</w:t>
      </w:r>
      <w:r>
        <w:rPr>
          <w:rFonts w:hint="eastAsia" w:ascii="Times New Roman" w:hAnsi="Times New Roman" w:eastAsia="黑体" w:cs="Times New Roman"/>
          <w:sz w:val="32"/>
          <w:szCs w:val="32"/>
          <w:lang w:eastAsia="zh-CN"/>
        </w:rPr>
        <w:t>十一</w:t>
      </w:r>
      <w:r>
        <w:rPr>
          <w:rFonts w:hint="eastAsia" w:ascii="Times New Roman" w:hAnsi="Times New Roman" w:eastAsia="黑体" w:cs="Times New Roman"/>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color w:val="auto"/>
          <w:sz w:val="32"/>
          <w:szCs w:val="32"/>
          <w:lang w:eastAsia="zh-CN"/>
        </w:rPr>
        <w:t>长期护理保险</w:t>
      </w:r>
      <w:r>
        <w:rPr>
          <w:rStyle w:val="12"/>
          <w:rFonts w:hint="eastAsia" w:ascii="Times New Roman" w:hAnsi="Times New Roman" w:eastAsia="仿宋_GB2312" w:cs="Times New Roman"/>
          <w:b w:val="0"/>
          <w:sz w:val="32"/>
          <w:szCs w:val="32"/>
        </w:rPr>
        <w:t>基金纳入市社会保障基金财政专户管理，单独建账，单独管理，专款专用。</w:t>
      </w:r>
      <w:r>
        <w:rPr>
          <w:rStyle w:val="12"/>
          <w:rFonts w:hint="eastAsia" w:ascii="Times New Roman" w:hAnsi="Times New Roman" w:eastAsia="仿宋_GB2312" w:cs="Times New Roman"/>
          <w:b w:val="0"/>
          <w:sz w:val="32"/>
          <w:szCs w:val="32"/>
          <w:lang w:val="en-US" w:eastAsia="zh-CN"/>
        </w:rPr>
        <w:t>将</w:t>
      </w:r>
      <w:r>
        <w:rPr>
          <w:rFonts w:hint="eastAsia" w:ascii="Times New Roman" w:hAnsi="Times New Roman" w:eastAsia="仿宋_GB2312" w:cs="Times New Roman"/>
          <w:color w:val="auto"/>
          <w:sz w:val="32"/>
          <w:szCs w:val="32"/>
          <w:lang w:eastAsia="zh-CN"/>
        </w:rPr>
        <w:t>长期护理保险</w:t>
      </w:r>
      <w:r>
        <w:rPr>
          <w:rStyle w:val="12"/>
          <w:rFonts w:hint="eastAsia" w:ascii="Times New Roman" w:hAnsi="Times New Roman" w:eastAsia="仿宋_GB2312" w:cs="Times New Roman"/>
          <w:b w:val="0"/>
          <w:sz w:val="32"/>
          <w:szCs w:val="32"/>
          <w:lang w:val="en-US" w:eastAsia="zh-CN"/>
        </w:rPr>
        <w:t>纳入社会保险基金预算编制范围，科学编制收支预算，加强预算绩效管理，健全基金预算管理制度。</w:t>
      </w:r>
      <w:r>
        <w:rPr>
          <w:rFonts w:hint="eastAsia" w:ascii="Times New Roman" w:hAnsi="Times New Roman" w:eastAsia="仿宋_GB2312" w:cs="Times New Roman"/>
          <w:b w:val="0"/>
          <w:bCs w:val="0"/>
          <w:color w:val="auto"/>
          <w:kern w:val="2"/>
          <w:sz w:val="32"/>
          <w:szCs w:val="32"/>
          <w:u w:val="none"/>
          <w:lang w:val="en-US" w:eastAsia="zh-CN"/>
        </w:rPr>
        <w:t>严格执行相关财务制度和会计制度，加强基金管理，规范基金收支，</w:t>
      </w:r>
      <w:r>
        <w:rPr>
          <w:rFonts w:hint="eastAsia" w:ascii="Times New Roman" w:hAnsi="Times New Roman" w:eastAsia="仿宋_GB2312" w:cs="Times New Roman"/>
          <w:b w:val="0"/>
          <w:bCs w:val="0"/>
          <w:color w:val="auto"/>
          <w:kern w:val="2"/>
          <w:sz w:val="32"/>
          <w:szCs w:val="32"/>
          <w:u w:val="none"/>
          <w:lang w:val="en" w:eastAsia="zh-CN"/>
        </w:rPr>
        <w:t>不得将</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 w:eastAsia="zh-CN"/>
        </w:rPr>
        <w:t>基金交由经办长期护理保险的第三方机构代管代拨。</w:t>
      </w:r>
    </w:p>
    <w:p w14:paraId="02E668A6">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 w:eastAsia="zh-CN"/>
        </w:rPr>
      </w:pPr>
      <w:r>
        <w:rPr>
          <w:rFonts w:hint="eastAsia" w:ascii="Times New Roman" w:hAnsi="Times New Roman" w:eastAsia="仿宋_GB2312" w:cs="Times New Roman"/>
          <w:b w:val="0"/>
          <w:bCs w:val="0"/>
          <w:color w:val="auto"/>
          <w:kern w:val="2"/>
          <w:sz w:val="32"/>
          <w:szCs w:val="32"/>
          <w:u w:val="none"/>
          <w:lang w:val="en" w:eastAsia="zh-CN"/>
        </w:rPr>
        <w:t>做</w:t>
      </w:r>
      <w:r>
        <w:rPr>
          <w:rFonts w:hint="default" w:ascii="Times New Roman" w:hAnsi="Times New Roman" w:eastAsia="仿宋_GB2312" w:cs="Times New Roman"/>
          <w:b w:val="0"/>
          <w:bCs w:val="0"/>
          <w:color w:val="auto"/>
          <w:kern w:val="2"/>
          <w:sz w:val="32"/>
          <w:szCs w:val="32"/>
          <w:u w:val="none"/>
          <w:lang w:val="en-US" w:eastAsia="zh-CN"/>
        </w:rPr>
        <w:t>好基金会计核算和统计分析。坚持以收定支、收支平衡</w:t>
      </w:r>
      <w:r>
        <w:rPr>
          <w:rFonts w:hint="eastAsia" w:ascii="Times New Roman" w:hAnsi="Times New Roman" w:eastAsia="仿宋_GB2312" w:cs="Times New Roman"/>
          <w:b w:val="0"/>
          <w:bCs w:val="0"/>
          <w:color w:val="auto"/>
          <w:kern w:val="2"/>
          <w:sz w:val="32"/>
          <w:szCs w:val="32"/>
          <w:u w:val="none"/>
          <w:lang w:val="en-US" w:eastAsia="zh-CN"/>
        </w:rPr>
        <w:t>，</w:t>
      </w:r>
      <w:r>
        <w:rPr>
          <w:rFonts w:hint="default" w:ascii="Times New Roman" w:hAnsi="Times New Roman" w:eastAsia="仿宋_GB2312" w:cs="Times New Roman"/>
          <w:b w:val="0"/>
          <w:bCs w:val="0"/>
          <w:color w:val="auto"/>
          <w:kern w:val="2"/>
          <w:sz w:val="32"/>
          <w:szCs w:val="32"/>
          <w:u w:val="none"/>
          <w:lang w:val="en-US" w:eastAsia="zh-CN"/>
        </w:rPr>
        <w:t>建立基金运行监控和风险防范机制</w:t>
      </w:r>
      <w:r>
        <w:rPr>
          <w:rFonts w:hint="default" w:ascii="Times New Roman" w:hAnsi="Times New Roman" w:eastAsia="仿宋_GB2312" w:cs="Times New Roman"/>
          <w:b w:val="0"/>
          <w:bCs w:val="0"/>
          <w:color w:val="auto"/>
          <w:kern w:val="2"/>
          <w:sz w:val="32"/>
          <w:szCs w:val="32"/>
          <w:u w:val="none"/>
          <w:lang w:val="en" w:eastAsia="zh-CN"/>
        </w:rPr>
        <w:t>，</w:t>
      </w:r>
      <w:r>
        <w:rPr>
          <w:rFonts w:hint="default" w:ascii="Times New Roman" w:hAnsi="Times New Roman" w:eastAsia="仿宋_GB2312" w:cs="Times New Roman"/>
          <w:b w:val="0"/>
          <w:bCs w:val="0"/>
          <w:color w:val="auto"/>
          <w:kern w:val="2"/>
          <w:sz w:val="32"/>
          <w:szCs w:val="32"/>
          <w:u w:val="none"/>
          <w:lang w:val="en-US" w:eastAsia="zh-CN"/>
        </w:rPr>
        <w:t>做好中长期精算分析。在长期护理保险基金出现支付困难时，应当按照规定</w:t>
      </w:r>
      <w:r>
        <w:rPr>
          <w:rFonts w:hint="eastAsia" w:ascii="Times New Roman" w:hAnsi="Times New Roman" w:eastAsia="仿宋_GB2312" w:cs="Times New Roman"/>
          <w:b w:val="0"/>
          <w:bCs w:val="0"/>
          <w:color w:val="auto"/>
          <w:kern w:val="2"/>
          <w:sz w:val="32"/>
          <w:szCs w:val="32"/>
          <w:u w:val="none"/>
          <w:lang w:val="en-US" w:eastAsia="zh-CN"/>
        </w:rPr>
        <w:t>及时调整</w:t>
      </w:r>
      <w:r>
        <w:rPr>
          <w:rFonts w:hint="default" w:ascii="Times New Roman" w:hAnsi="Times New Roman" w:eastAsia="仿宋_GB2312" w:cs="Times New Roman"/>
          <w:b w:val="0"/>
          <w:bCs w:val="0"/>
          <w:color w:val="auto"/>
          <w:kern w:val="2"/>
          <w:sz w:val="32"/>
          <w:szCs w:val="32"/>
          <w:u w:val="none"/>
          <w:lang w:val="en-US" w:eastAsia="zh-CN"/>
        </w:rPr>
        <w:t>筹资</w:t>
      </w:r>
      <w:r>
        <w:rPr>
          <w:rFonts w:hint="eastAsia" w:ascii="Times New Roman" w:hAnsi="Times New Roman" w:eastAsia="仿宋_GB2312" w:cs="Times New Roman"/>
          <w:b w:val="0"/>
          <w:bCs w:val="0"/>
          <w:color w:val="auto"/>
          <w:kern w:val="2"/>
          <w:sz w:val="32"/>
          <w:szCs w:val="32"/>
          <w:u w:val="none"/>
          <w:lang w:val="en-US" w:eastAsia="zh-CN"/>
        </w:rPr>
        <w:t>、</w:t>
      </w:r>
      <w:r>
        <w:rPr>
          <w:rFonts w:hint="default" w:ascii="Times New Roman" w:hAnsi="Times New Roman" w:eastAsia="仿宋_GB2312" w:cs="Times New Roman"/>
          <w:b w:val="0"/>
          <w:bCs w:val="0"/>
          <w:color w:val="auto"/>
          <w:kern w:val="2"/>
          <w:sz w:val="32"/>
          <w:szCs w:val="32"/>
          <w:u w:val="none"/>
          <w:lang w:val="en-US" w:eastAsia="zh-CN"/>
        </w:rPr>
        <w:t>待遇政策</w:t>
      </w:r>
      <w:r>
        <w:rPr>
          <w:rFonts w:hint="eastAsia" w:ascii="Times New Roman" w:hAnsi="Times New Roman" w:eastAsia="仿宋_GB2312" w:cs="Times New Roman"/>
          <w:b w:val="0"/>
          <w:bCs w:val="0"/>
          <w:color w:val="auto"/>
          <w:kern w:val="2"/>
          <w:sz w:val="32"/>
          <w:szCs w:val="32"/>
          <w:u w:val="none"/>
          <w:lang w:val="en-US" w:eastAsia="zh-CN"/>
        </w:rPr>
        <w:t>。</w:t>
      </w:r>
      <w:r>
        <w:rPr>
          <w:rFonts w:hint="default" w:ascii="Times New Roman" w:hAnsi="Times New Roman" w:eastAsia="仿宋_GB2312" w:cs="Times New Roman"/>
          <w:b w:val="0"/>
          <w:bCs w:val="0"/>
          <w:color w:val="auto"/>
          <w:kern w:val="2"/>
          <w:sz w:val="32"/>
          <w:szCs w:val="32"/>
          <w:u w:val="none"/>
          <w:lang w:val="en-US" w:eastAsia="zh-CN"/>
        </w:rPr>
        <w:t>建立健全基金监管体系</w:t>
      </w:r>
      <w:r>
        <w:rPr>
          <w:rFonts w:hint="default" w:ascii="Times New Roman" w:hAnsi="Times New Roman" w:eastAsia="仿宋_GB2312" w:cs="Times New Roman"/>
          <w:b w:val="0"/>
          <w:bCs w:val="0"/>
          <w:color w:val="auto"/>
          <w:kern w:val="2"/>
          <w:sz w:val="32"/>
          <w:szCs w:val="32"/>
          <w:u w:val="none"/>
          <w:lang w:val="en" w:eastAsia="zh-CN"/>
        </w:rPr>
        <w:t>，</w:t>
      </w:r>
      <w:r>
        <w:rPr>
          <w:rFonts w:hint="default" w:ascii="Times New Roman" w:hAnsi="Times New Roman" w:eastAsia="仿宋_GB2312" w:cs="Times New Roman"/>
          <w:b w:val="0"/>
          <w:bCs w:val="0"/>
          <w:color w:val="auto"/>
          <w:kern w:val="2"/>
          <w:sz w:val="32"/>
          <w:szCs w:val="32"/>
          <w:u w:val="none"/>
          <w:lang w:val="en-US" w:eastAsia="zh-CN"/>
        </w:rPr>
        <w:t>完善对欺诈骗保人员、机构惩戒机制</w:t>
      </w:r>
      <w:r>
        <w:rPr>
          <w:rFonts w:hint="default" w:ascii="Times New Roman" w:hAnsi="Times New Roman" w:eastAsia="仿宋_GB2312" w:cs="Times New Roman"/>
          <w:b w:val="0"/>
          <w:bCs w:val="0"/>
          <w:color w:val="auto"/>
          <w:kern w:val="2"/>
          <w:sz w:val="32"/>
          <w:szCs w:val="32"/>
          <w:u w:val="none"/>
          <w:lang w:val="en" w:eastAsia="zh-CN"/>
        </w:rPr>
        <w:t>，</w:t>
      </w:r>
      <w:r>
        <w:rPr>
          <w:rFonts w:hint="default" w:ascii="Times New Roman" w:hAnsi="Times New Roman" w:eastAsia="仿宋_GB2312" w:cs="Times New Roman"/>
          <w:b w:val="0"/>
          <w:bCs w:val="0"/>
          <w:color w:val="auto"/>
          <w:kern w:val="2"/>
          <w:sz w:val="32"/>
          <w:szCs w:val="32"/>
          <w:u w:val="none"/>
          <w:lang w:val="en-US" w:eastAsia="zh-CN"/>
        </w:rPr>
        <w:t>强化基金监管</w:t>
      </w:r>
      <w:r>
        <w:rPr>
          <w:rFonts w:hint="default" w:ascii="Times New Roman" w:hAnsi="Times New Roman" w:eastAsia="仿宋_GB2312" w:cs="Times New Roman"/>
          <w:b w:val="0"/>
          <w:bCs w:val="0"/>
          <w:color w:val="auto"/>
          <w:kern w:val="2"/>
          <w:sz w:val="32"/>
          <w:szCs w:val="32"/>
          <w:u w:val="none"/>
          <w:lang w:val="en" w:eastAsia="zh-CN"/>
        </w:rPr>
        <w:t>，</w:t>
      </w:r>
      <w:r>
        <w:rPr>
          <w:rFonts w:hint="default" w:ascii="Times New Roman" w:hAnsi="Times New Roman" w:eastAsia="仿宋_GB2312" w:cs="Times New Roman"/>
          <w:b w:val="0"/>
          <w:bCs w:val="0"/>
          <w:color w:val="auto"/>
          <w:kern w:val="2"/>
          <w:sz w:val="32"/>
          <w:szCs w:val="32"/>
          <w:u w:val="none"/>
          <w:lang w:val="en-US" w:eastAsia="zh-CN"/>
        </w:rPr>
        <w:t>加强财会监督和审计监督</w:t>
      </w:r>
      <w:r>
        <w:rPr>
          <w:rFonts w:hint="default" w:ascii="Times New Roman" w:hAnsi="Times New Roman" w:eastAsia="仿宋_GB2312" w:cs="Times New Roman"/>
          <w:b w:val="0"/>
          <w:bCs w:val="0"/>
          <w:color w:val="auto"/>
          <w:kern w:val="2"/>
          <w:sz w:val="32"/>
          <w:szCs w:val="32"/>
          <w:u w:val="none"/>
          <w:lang w:val="en" w:eastAsia="zh-CN"/>
        </w:rPr>
        <w:t>，</w:t>
      </w:r>
      <w:r>
        <w:rPr>
          <w:rFonts w:hint="default" w:ascii="Times New Roman" w:hAnsi="Times New Roman" w:eastAsia="仿宋_GB2312" w:cs="Times New Roman"/>
          <w:b w:val="0"/>
          <w:bCs w:val="0"/>
          <w:color w:val="auto"/>
          <w:kern w:val="2"/>
          <w:sz w:val="32"/>
          <w:szCs w:val="32"/>
          <w:u w:val="none"/>
          <w:lang w:val="en-US" w:eastAsia="zh-CN"/>
        </w:rPr>
        <w:t>严肃财经纪律</w:t>
      </w:r>
      <w:r>
        <w:rPr>
          <w:rFonts w:hint="default" w:ascii="Times New Roman" w:hAnsi="Times New Roman" w:eastAsia="仿宋_GB2312" w:cs="Times New Roman"/>
          <w:b w:val="0"/>
          <w:bCs w:val="0"/>
          <w:color w:val="auto"/>
          <w:kern w:val="2"/>
          <w:sz w:val="32"/>
          <w:szCs w:val="32"/>
          <w:u w:val="none"/>
          <w:lang w:val="en" w:eastAsia="zh-CN"/>
        </w:rPr>
        <w:t>，</w:t>
      </w:r>
      <w:r>
        <w:rPr>
          <w:rFonts w:hint="default" w:ascii="Times New Roman" w:hAnsi="Times New Roman" w:eastAsia="仿宋_GB2312" w:cs="Times New Roman"/>
          <w:b w:val="0"/>
          <w:bCs w:val="0"/>
          <w:color w:val="auto"/>
          <w:kern w:val="2"/>
          <w:sz w:val="32"/>
          <w:szCs w:val="32"/>
          <w:u w:val="none"/>
          <w:lang w:val="en-US" w:eastAsia="zh-CN"/>
        </w:rPr>
        <w:t>确保基金安全</w:t>
      </w:r>
      <w:r>
        <w:rPr>
          <w:rFonts w:hint="eastAsia" w:ascii="Times New Roman" w:hAnsi="Times New Roman" w:eastAsia="仿宋_GB2312" w:cs="Times New Roman"/>
          <w:b w:val="0"/>
          <w:bCs w:val="0"/>
          <w:color w:val="auto"/>
          <w:kern w:val="2"/>
          <w:sz w:val="32"/>
          <w:szCs w:val="32"/>
          <w:u w:val="none"/>
          <w:lang w:val="en-US" w:eastAsia="zh-CN"/>
        </w:rPr>
        <w:t>。</w:t>
      </w:r>
    </w:p>
    <w:p w14:paraId="3F7031CE">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kern w:val="2"/>
          <w:sz w:val="32"/>
          <w:szCs w:val="32"/>
        </w:rPr>
      </w:pPr>
      <w:r>
        <w:rPr>
          <w:rFonts w:hint="eastAsia" w:ascii="Times New Roman" w:hAnsi="Times New Roman" w:eastAsia="黑体" w:cs="Times New Roman"/>
          <w:sz w:val="32"/>
          <w:szCs w:val="32"/>
        </w:rPr>
        <w:t>第</w:t>
      </w:r>
      <w:r>
        <w:rPr>
          <w:rFonts w:hint="eastAsia" w:ascii="Times New Roman" w:hAnsi="Times New Roman" w:eastAsia="黑体" w:cs="Times New Roman"/>
          <w:sz w:val="32"/>
          <w:szCs w:val="32"/>
          <w:lang w:eastAsia="zh-CN"/>
        </w:rPr>
        <w:t>十二</w:t>
      </w:r>
      <w:r>
        <w:rPr>
          <w:rFonts w:hint="eastAsia" w:ascii="Times New Roman" w:hAnsi="Times New Roman" w:eastAsia="黑体" w:cs="Times New Roman"/>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b/>
          <w:bCs/>
          <w:color w:val="0000FF"/>
          <w:sz w:val="32"/>
          <w:szCs w:val="32"/>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kern w:val="2"/>
          <w:sz w:val="32"/>
          <w:szCs w:val="32"/>
          <w:lang w:val="en-US" w:eastAsia="zh-CN"/>
        </w:rPr>
        <w:t>基金收入</w:t>
      </w:r>
      <w:r>
        <w:rPr>
          <w:rFonts w:hint="eastAsia" w:ascii="Times New Roman" w:hAnsi="Times New Roman" w:eastAsia="仿宋_GB2312" w:cs="Times New Roman"/>
          <w:kern w:val="2"/>
          <w:sz w:val="32"/>
          <w:szCs w:val="32"/>
          <w:lang w:val="en-US" w:eastAsia="zh-CN"/>
        </w:rPr>
        <w:t>包括保费收入、财政补助收入、利息收入、转移收入、上级补助收入、下级上解收入、其他收入等。</w:t>
      </w:r>
    </w:p>
    <w:p w14:paraId="4CE16022">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黑体" w:cs="Times New Roman"/>
          <w:sz w:val="32"/>
          <w:szCs w:val="32"/>
        </w:rPr>
        <w:t>第十</w:t>
      </w:r>
      <w:r>
        <w:rPr>
          <w:rFonts w:hint="eastAsia" w:ascii="Times New Roman" w:hAnsi="Times New Roman" w:eastAsia="黑体" w:cs="Times New Roman"/>
          <w:sz w:val="32"/>
          <w:szCs w:val="32"/>
          <w:lang w:eastAsia="zh-CN"/>
        </w:rPr>
        <w:t>三</w:t>
      </w:r>
      <w:r>
        <w:rPr>
          <w:rFonts w:hint="eastAsia" w:ascii="Times New Roman" w:hAnsi="Times New Roman" w:eastAsia="黑体" w:cs="Times New Roman"/>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kern w:val="2"/>
          <w:sz w:val="32"/>
          <w:szCs w:val="32"/>
          <w:lang w:val="en-US" w:eastAsia="zh-CN"/>
        </w:rPr>
        <w:t>基金支出包括待遇支出、失能等级评估费支出、委托经办服务费支出、转移支出、补助下级支出、上解上级支出、其他支出等。</w:t>
      </w:r>
    </w:p>
    <w:p w14:paraId="29EE905F">
      <w:pPr>
        <w:keepNext w:val="0"/>
        <w:keepLines w:val="0"/>
        <w:pageBreakBefore w:val="0"/>
        <w:kinsoku/>
        <w:wordWrap/>
        <w:topLinePunct/>
        <w:autoSpaceDE w:val="0"/>
        <w:bidi w:val="0"/>
        <w:spacing w:line="560" w:lineRule="exact"/>
        <w:ind w:firstLine="600"/>
        <w:textAlignment w:val="auto"/>
        <w:rPr>
          <w:rStyle w:val="12"/>
          <w:rFonts w:hint="eastAsia" w:ascii="Times New Roman" w:hAnsi="Times New Roman" w:eastAsia="仿宋_GB2312" w:cs="Times New Roman"/>
          <w:b w:val="0"/>
          <w:kern w:val="0"/>
          <w:sz w:val="32"/>
          <w:szCs w:val="32"/>
        </w:rPr>
      </w:pPr>
      <w:r>
        <w:rPr>
          <w:rFonts w:hint="eastAsia" w:ascii="Times New Roman" w:hAnsi="Times New Roman" w:eastAsia="黑体" w:cs="Times New Roman"/>
          <w:kern w:val="0"/>
          <w:sz w:val="32"/>
          <w:szCs w:val="32"/>
        </w:rPr>
        <w:t>第</w:t>
      </w:r>
      <w:r>
        <w:rPr>
          <w:rFonts w:hint="eastAsia" w:ascii="Times New Roman" w:hAnsi="Times New Roman" w:eastAsia="黑体" w:cs="Times New Roman"/>
          <w:kern w:val="0"/>
          <w:sz w:val="32"/>
          <w:szCs w:val="32"/>
          <w:lang w:eastAsia="zh-CN"/>
        </w:rPr>
        <w:t>十四</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b/>
          <w:bCs/>
          <w:sz w:val="32"/>
          <w:szCs w:val="32"/>
        </w:rPr>
        <w:t xml:space="preserve">  </w:t>
      </w:r>
      <w:r>
        <w:rPr>
          <w:rStyle w:val="12"/>
          <w:rFonts w:hint="eastAsia" w:ascii="Times New Roman" w:hAnsi="Times New Roman" w:eastAsia="仿宋_GB2312" w:cs="Times New Roman"/>
          <w:b w:val="0"/>
          <w:kern w:val="0"/>
          <w:sz w:val="32"/>
          <w:szCs w:val="32"/>
        </w:rPr>
        <w:t>下列</w:t>
      </w:r>
      <w:r>
        <w:rPr>
          <w:rStyle w:val="12"/>
          <w:rFonts w:hint="eastAsia" w:ascii="Times New Roman" w:hAnsi="Times New Roman" w:eastAsia="仿宋_GB2312" w:cs="Times New Roman"/>
          <w:b w:val="0"/>
          <w:kern w:val="0"/>
          <w:sz w:val="32"/>
          <w:szCs w:val="32"/>
          <w:lang w:eastAsia="zh-CN"/>
        </w:rPr>
        <w:t>费用不纳入基金支付范围：</w:t>
      </w:r>
    </w:p>
    <w:p w14:paraId="50C298A8">
      <w:pPr>
        <w:keepNext w:val="0"/>
        <w:keepLines w:val="0"/>
        <w:pageBreakBefore w:val="0"/>
        <w:kinsoku/>
        <w:wordWrap/>
        <w:topLinePunct/>
        <w:autoSpaceDE w:val="0"/>
        <w:bidi w:val="0"/>
        <w:spacing w:line="560" w:lineRule="exact"/>
        <w:ind w:firstLine="600"/>
        <w:textAlignment w:val="auto"/>
        <w:rPr>
          <w:rStyle w:val="12"/>
          <w:rFonts w:hint="eastAsia" w:ascii="Times New Roman" w:hAnsi="Times New Roman" w:eastAsia="仿宋_GB2312" w:cs="Times New Roman"/>
          <w:b w:val="0"/>
          <w:kern w:val="0"/>
          <w:sz w:val="32"/>
          <w:szCs w:val="32"/>
        </w:rPr>
      </w:pPr>
      <w:r>
        <w:rPr>
          <w:rStyle w:val="12"/>
          <w:rFonts w:hint="eastAsia" w:ascii="Times New Roman" w:hAnsi="Times New Roman" w:eastAsia="仿宋_GB2312" w:cs="Times New Roman"/>
          <w:b w:val="0"/>
          <w:kern w:val="0"/>
          <w:sz w:val="32"/>
          <w:szCs w:val="32"/>
        </w:rPr>
        <w:t>（一）应当由基本医疗保险基金；</w:t>
      </w:r>
    </w:p>
    <w:p w14:paraId="197768D3">
      <w:pPr>
        <w:keepNext w:val="0"/>
        <w:keepLines w:val="0"/>
        <w:pageBreakBefore w:val="0"/>
        <w:kinsoku/>
        <w:wordWrap/>
        <w:topLinePunct/>
        <w:autoSpaceDE w:val="0"/>
        <w:bidi w:val="0"/>
        <w:spacing w:line="560" w:lineRule="exact"/>
        <w:ind w:firstLine="600"/>
        <w:textAlignment w:val="auto"/>
        <w:rPr>
          <w:rStyle w:val="12"/>
          <w:rFonts w:hint="eastAsia" w:ascii="Times New Roman" w:hAnsi="Times New Roman" w:eastAsia="仿宋_GB2312" w:cs="Times New Roman"/>
          <w:b w:val="0"/>
          <w:kern w:val="0"/>
          <w:sz w:val="32"/>
          <w:szCs w:val="32"/>
        </w:rPr>
      </w:pPr>
      <w:r>
        <w:rPr>
          <w:rStyle w:val="12"/>
          <w:rFonts w:hint="eastAsia" w:ascii="Times New Roman" w:hAnsi="Times New Roman" w:eastAsia="仿宋_GB2312" w:cs="Times New Roman"/>
          <w:b w:val="0"/>
          <w:kern w:val="0"/>
          <w:sz w:val="32"/>
          <w:szCs w:val="32"/>
        </w:rPr>
        <w:t>（二）应当由第三人负担的；</w:t>
      </w:r>
    </w:p>
    <w:p w14:paraId="2FD93748">
      <w:pPr>
        <w:keepNext w:val="0"/>
        <w:keepLines w:val="0"/>
        <w:pageBreakBefore w:val="0"/>
        <w:kinsoku/>
        <w:wordWrap/>
        <w:topLinePunct/>
        <w:autoSpaceDE w:val="0"/>
        <w:bidi w:val="0"/>
        <w:spacing w:line="560" w:lineRule="exact"/>
        <w:ind w:firstLine="600"/>
        <w:textAlignment w:val="auto"/>
        <w:rPr>
          <w:rStyle w:val="12"/>
          <w:rFonts w:hint="eastAsia" w:ascii="Times New Roman" w:hAnsi="Times New Roman" w:eastAsia="仿宋_GB2312" w:cs="Times New Roman"/>
          <w:b w:val="0"/>
          <w:kern w:val="0"/>
          <w:sz w:val="32"/>
          <w:szCs w:val="32"/>
        </w:rPr>
      </w:pPr>
      <w:r>
        <w:rPr>
          <w:rStyle w:val="12"/>
          <w:rFonts w:hint="eastAsia" w:ascii="Times New Roman" w:hAnsi="Times New Roman" w:eastAsia="仿宋_GB2312" w:cs="Times New Roman"/>
          <w:b w:val="0"/>
          <w:kern w:val="0"/>
          <w:sz w:val="32"/>
          <w:szCs w:val="32"/>
        </w:rPr>
        <w:t>（三）非协议管理定点机构发生的；</w:t>
      </w:r>
    </w:p>
    <w:p w14:paraId="1C6E2048">
      <w:pPr>
        <w:keepNext w:val="0"/>
        <w:keepLines w:val="0"/>
        <w:pageBreakBefore w:val="0"/>
        <w:kinsoku/>
        <w:wordWrap/>
        <w:topLinePunct/>
        <w:autoSpaceDE w:val="0"/>
        <w:bidi w:val="0"/>
        <w:spacing w:line="560" w:lineRule="exact"/>
        <w:ind w:firstLine="600"/>
        <w:textAlignment w:val="auto"/>
        <w:rPr>
          <w:rStyle w:val="12"/>
          <w:rFonts w:hint="eastAsia" w:ascii="Times New Roman" w:hAnsi="Times New Roman" w:eastAsia="仿宋_GB2312" w:cs="Times New Roman"/>
          <w:b w:val="0"/>
          <w:kern w:val="0"/>
          <w:sz w:val="32"/>
          <w:szCs w:val="32"/>
        </w:rPr>
      </w:pPr>
      <w:r>
        <w:rPr>
          <w:rStyle w:val="12"/>
          <w:rFonts w:hint="eastAsia" w:ascii="Times New Roman" w:hAnsi="Times New Roman" w:eastAsia="仿宋_GB2312" w:cs="Times New Roman"/>
          <w:b w:val="0"/>
          <w:kern w:val="0"/>
          <w:sz w:val="32"/>
          <w:szCs w:val="32"/>
        </w:rPr>
        <w:t>（四）机构床位费、膳食费等非护理服务费用；</w:t>
      </w:r>
    </w:p>
    <w:p w14:paraId="334D4DB0">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Style w:val="12"/>
          <w:rFonts w:hint="eastAsia" w:ascii="Times New Roman" w:hAnsi="Times New Roman" w:eastAsia="仿宋_GB2312" w:cs="Times New Roman"/>
          <w:b w:val="0"/>
          <w:sz w:val="32"/>
          <w:szCs w:val="32"/>
          <w:lang w:eastAsia="zh-CN"/>
        </w:rPr>
      </w:pPr>
      <w:r>
        <w:rPr>
          <w:rStyle w:val="12"/>
          <w:rFonts w:hint="eastAsia" w:ascii="Times New Roman" w:hAnsi="Times New Roman" w:eastAsia="仿宋_GB2312" w:cs="Times New Roman"/>
          <w:b w:val="0"/>
          <w:sz w:val="32"/>
          <w:szCs w:val="32"/>
        </w:rPr>
        <w:t>（五）在境外发生的护理费用</w:t>
      </w:r>
      <w:r>
        <w:rPr>
          <w:rStyle w:val="12"/>
          <w:rFonts w:hint="eastAsia" w:ascii="Times New Roman" w:hAnsi="Times New Roman" w:eastAsia="仿宋_GB2312" w:cs="Times New Roman"/>
          <w:b w:val="0"/>
          <w:sz w:val="32"/>
          <w:szCs w:val="32"/>
          <w:lang w:eastAsia="zh-CN"/>
        </w:rPr>
        <w:t>；</w:t>
      </w:r>
    </w:p>
    <w:p w14:paraId="190DC621">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Style w:val="12"/>
          <w:rFonts w:hint="eastAsia" w:ascii="Times New Roman" w:hAnsi="Times New Roman" w:eastAsia="仿宋_GB2312" w:cs="Times New Roman"/>
          <w:b w:val="0"/>
          <w:sz w:val="32"/>
          <w:szCs w:val="32"/>
        </w:rPr>
      </w:pPr>
      <w:r>
        <w:rPr>
          <w:rStyle w:val="12"/>
          <w:rFonts w:hint="eastAsia" w:ascii="Times New Roman" w:hAnsi="Times New Roman" w:eastAsia="仿宋_GB2312" w:cs="Times New Roman"/>
          <w:b w:val="0"/>
          <w:sz w:val="32"/>
          <w:szCs w:val="32"/>
        </w:rPr>
        <w:t>（六）</w:t>
      </w:r>
      <w:r>
        <w:rPr>
          <w:rStyle w:val="12"/>
          <w:rFonts w:hint="eastAsia" w:ascii="Times New Roman" w:hAnsi="Times New Roman" w:eastAsia="仿宋_GB2312" w:cs="Times New Roman"/>
          <w:b w:val="0"/>
          <w:sz w:val="32"/>
          <w:szCs w:val="32"/>
          <w:lang w:eastAsia="zh-CN"/>
        </w:rPr>
        <w:t>国家和省</w:t>
      </w:r>
      <w:r>
        <w:rPr>
          <w:rStyle w:val="12"/>
          <w:rFonts w:hint="eastAsia" w:ascii="Times New Roman" w:hAnsi="Times New Roman" w:eastAsia="仿宋_GB2312" w:cs="Times New Roman"/>
          <w:b w:val="0"/>
          <w:sz w:val="32"/>
          <w:szCs w:val="32"/>
        </w:rPr>
        <w:t>规定不予支付的</w:t>
      </w:r>
      <w:r>
        <w:rPr>
          <w:rStyle w:val="12"/>
          <w:rFonts w:hint="eastAsia" w:ascii="Times New Roman" w:hAnsi="Times New Roman" w:eastAsia="仿宋_GB2312" w:cs="Times New Roman"/>
          <w:b w:val="0"/>
          <w:sz w:val="32"/>
          <w:szCs w:val="32"/>
          <w:lang w:eastAsia="zh-CN"/>
        </w:rPr>
        <w:t>费用</w:t>
      </w:r>
      <w:r>
        <w:rPr>
          <w:rStyle w:val="12"/>
          <w:rFonts w:hint="eastAsia" w:ascii="Times New Roman" w:hAnsi="Times New Roman" w:eastAsia="仿宋_GB2312" w:cs="Times New Roman"/>
          <w:b w:val="0"/>
          <w:sz w:val="32"/>
          <w:szCs w:val="32"/>
        </w:rPr>
        <w:t>。</w:t>
      </w:r>
    </w:p>
    <w:p w14:paraId="0890E291">
      <w:pPr>
        <w:pStyle w:val="7"/>
        <w:keepNext w:val="0"/>
        <w:keepLines w:val="0"/>
        <w:pageBreakBefore w:val="0"/>
        <w:kinsoku/>
        <w:wordWrap/>
        <w:topLinePunct/>
        <w:autoSpaceDE w:val="0"/>
        <w:bidi w:val="0"/>
        <w:spacing w:beforeAutospacing="0" w:afterAutospacing="0" w:line="560" w:lineRule="exact"/>
        <w:jc w:val="both"/>
        <w:textAlignment w:val="auto"/>
        <w:rPr>
          <w:rFonts w:hint="eastAsia" w:ascii="Times New Roman" w:hAnsi="Times New Roman" w:eastAsia="仿宋_GB2312" w:cs="Times New Roman"/>
          <w:kern w:val="2"/>
          <w:sz w:val="32"/>
          <w:szCs w:val="32"/>
          <w:lang w:val="en-US" w:eastAsia="zh-CN"/>
        </w:rPr>
      </w:pPr>
    </w:p>
    <w:p w14:paraId="393D6BFF">
      <w:pPr>
        <w:pStyle w:val="7"/>
        <w:keepNext w:val="0"/>
        <w:keepLines w:val="0"/>
        <w:pageBreakBefore w:val="0"/>
        <w:numPr>
          <w:ilvl w:val="0"/>
          <w:numId w:val="0"/>
        </w:numPr>
        <w:kinsoku/>
        <w:wordWrap/>
        <w:topLinePunct/>
        <w:autoSpaceDE w:val="0"/>
        <w:bidi w:val="0"/>
        <w:spacing w:beforeAutospacing="0" w:afterAutospacing="0" w:line="560" w:lineRule="exact"/>
        <w:ind w:left="0" w:leftChars="0" w:right="0" w:rightChars="0"/>
        <w:jc w:val="center"/>
        <w:textAlignment w:val="auto"/>
        <w:rPr>
          <w:rFonts w:hint="eastAsia" w:ascii="Times New Roman" w:hAnsi="Times New Roman" w:eastAsia="黑体" w:cs="Times New Roman"/>
          <w:sz w:val="32"/>
          <w:szCs w:val="32"/>
        </w:rPr>
      </w:pPr>
      <w:r>
        <w:rPr>
          <w:rFonts w:hint="eastAsia" w:ascii="Times New Roman" w:hAnsi="Times New Roman" w:eastAsia="黑体" w:cs="Times New Roman"/>
          <w:kern w:val="0"/>
          <w:sz w:val="32"/>
          <w:szCs w:val="32"/>
          <w:lang w:val="en-US" w:eastAsia="zh-CN" w:bidi="ar"/>
        </w:rPr>
        <w:t xml:space="preserve">第四章 </w:t>
      </w:r>
      <w:r>
        <w:rPr>
          <w:rFonts w:hint="eastAsia" w:ascii="Times New Roman" w:hAnsi="Times New Roman" w:eastAsia="黑体" w:cs="Times New Roman"/>
          <w:sz w:val="32"/>
          <w:szCs w:val="32"/>
        </w:rPr>
        <w:t>待遇保障</w:t>
      </w:r>
    </w:p>
    <w:p w14:paraId="30F24101">
      <w:pPr>
        <w:pStyle w:val="7"/>
        <w:keepNext w:val="0"/>
        <w:keepLines w:val="0"/>
        <w:pageBreakBefore w:val="0"/>
        <w:kinsoku/>
        <w:wordWrap/>
        <w:topLinePunct/>
        <w:autoSpaceDE w:val="0"/>
        <w:bidi w:val="0"/>
        <w:spacing w:beforeAutospacing="0" w:afterAutospacing="0" w:line="560" w:lineRule="exact"/>
        <w:jc w:val="both"/>
        <w:textAlignment w:val="auto"/>
        <w:rPr>
          <w:rFonts w:hint="eastAsia" w:ascii="Times New Roman" w:hAnsi="Times New Roman" w:eastAsia="仿宋_GB2312" w:cs="Times New Roman"/>
          <w:sz w:val="32"/>
          <w:szCs w:val="32"/>
        </w:rPr>
      </w:pPr>
    </w:p>
    <w:p w14:paraId="16558164">
      <w:pPr>
        <w:keepNext w:val="0"/>
        <w:keepLines w:val="0"/>
        <w:pageBreakBefore w:val="0"/>
        <w:kinsoku/>
        <w:wordWrap/>
        <w:overflowPunct w:val="0"/>
        <w:bidi w:val="0"/>
        <w:spacing w:line="560" w:lineRule="exact"/>
        <w:ind w:firstLine="640" w:firstLineChars="200"/>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黑体" w:cs="Times New Roman"/>
          <w:kern w:val="0"/>
          <w:sz w:val="32"/>
          <w:szCs w:val="32"/>
        </w:rPr>
        <w:t>第十</w:t>
      </w:r>
      <w:r>
        <w:rPr>
          <w:rFonts w:hint="eastAsia" w:ascii="Times New Roman" w:hAnsi="Times New Roman" w:eastAsia="黑体" w:cs="Times New Roman"/>
          <w:kern w:val="0"/>
          <w:sz w:val="32"/>
          <w:szCs w:val="32"/>
          <w:lang w:eastAsia="zh-CN"/>
        </w:rPr>
        <w:t>五</w:t>
      </w:r>
      <w:r>
        <w:rPr>
          <w:rFonts w:hint="eastAsia" w:ascii="Times New Roman" w:hAnsi="Times New Roman" w:eastAsia="黑体" w:cs="Times New Roman"/>
          <w:kern w:val="0"/>
          <w:sz w:val="32"/>
          <w:szCs w:val="32"/>
        </w:rPr>
        <w:t>条</w:t>
      </w:r>
      <w:r>
        <w:rPr>
          <w:rFonts w:hint="eastAsia" w:ascii="Times New Roman" w:hAnsi="Times New Roman" w:eastAsia="黑体" w:cs="Times New Roman"/>
          <w:kern w:val="0"/>
          <w:sz w:val="32"/>
          <w:szCs w:val="32"/>
          <w:lang w:val="en-US" w:eastAsia="zh-CN"/>
        </w:rPr>
        <w:t xml:space="preserve">  </w:t>
      </w:r>
      <w:r>
        <w:rPr>
          <w:rFonts w:hint="eastAsia" w:ascii="Times New Roman" w:hAnsi="Times New Roman" w:eastAsia="仿宋_GB2312" w:cs="Times New Roman"/>
          <w:b w:val="0"/>
          <w:bCs w:val="0"/>
          <w:color w:val="auto"/>
          <w:kern w:val="0"/>
          <w:sz w:val="32"/>
          <w:szCs w:val="32"/>
          <w:u w:val="none"/>
          <w:shd w:val="clear" w:color="auto" w:fill="auto"/>
          <w:lang w:val="en-US" w:eastAsia="zh-CN"/>
        </w:rPr>
        <w:t>按规定参保缴费且</w:t>
      </w:r>
      <w:r>
        <w:rPr>
          <w:rFonts w:hint="eastAsia" w:ascii="Times New Roman" w:hAnsi="Times New Roman" w:eastAsia="仿宋_GB2312" w:cs="Times New Roman"/>
          <w:b w:val="0"/>
          <w:bCs w:val="0"/>
          <w:color w:val="auto"/>
          <w:kern w:val="0"/>
          <w:sz w:val="32"/>
          <w:szCs w:val="32"/>
          <w:u w:val="none"/>
        </w:rPr>
        <w:t>失</w:t>
      </w:r>
      <w:r>
        <w:rPr>
          <w:rFonts w:hint="eastAsia" w:ascii="Times New Roman" w:hAnsi="Times New Roman" w:eastAsia="仿宋_GB2312" w:cs="Times New Roman"/>
          <w:kern w:val="0"/>
          <w:sz w:val="32"/>
          <w:szCs w:val="32"/>
        </w:rPr>
        <w:t>能状态持续</w:t>
      </w:r>
      <w:r>
        <w:rPr>
          <w:rFonts w:hint="eastAsia" w:ascii="Times New Roman" w:hAnsi="Times New Roman" w:eastAsia="仿宋_GB2312" w:cs="Times New Roman"/>
          <w:kern w:val="0"/>
          <w:sz w:val="32"/>
          <w:szCs w:val="32"/>
          <w:lang w:eastAsia="zh-CN"/>
        </w:rPr>
        <w:t>长期持续（</w:t>
      </w:r>
      <w:r>
        <w:rPr>
          <w:rFonts w:hint="eastAsia" w:ascii="Times New Roman" w:hAnsi="Times New Roman" w:eastAsia="仿宋_GB2312" w:cs="Times New Roman"/>
          <w:kern w:val="0"/>
          <w:sz w:val="32"/>
          <w:szCs w:val="32"/>
        </w:rPr>
        <w:t>6个月以上</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，经申请</w:t>
      </w:r>
      <w:r>
        <w:rPr>
          <w:rFonts w:hint="eastAsia" w:ascii="Times New Roman" w:hAnsi="Times New Roman" w:eastAsia="仿宋_GB2312" w:cs="Times New Roman"/>
          <w:kern w:val="0"/>
          <w:sz w:val="32"/>
          <w:szCs w:val="32"/>
          <w:lang w:eastAsia="zh-CN"/>
        </w:rPr>
        <w:t>通过评估认定</w:t>
      </w:r>
      <w:r>
        <w:rPr>
          <w:rFonts w:hint="eastAsia" w:ascii="Times New Roman" w:hAnsi="Times New Roman" w:eastAsia="仿宋_GB2312" w:cs="Times New Roman"/>
          <w:kern w:val="0"/>
          <w:sz w:val="32"/>
          <w:szCs w:val="32"/>
        </w:rPr>
        <w:t>为重度失能的参保人员，自评估</w:t>
      </w:r>
      <w:r>
        <w:rPr>
          <w:rFonts w:hint="eastAsia" w:ascii="Times New Roman" w:hAnsi="Times New Roman" w:eastAsia="仿宋_GB2312" w:cs="Times New Roman"/>
          <w:kern w:val="0"/>
          <w:sz w:val="32"/>
          <w:szCs w:val="32"/>
          <w:lang w:eastAsia="zh-CN"/>
        </w:rPr>
        <w:t>认定</w:t>
      </w:r>
      <w:r>
        <w:rPr>
          <w:rFonts w:hint="eastAsia" w:ascii="Times New Roman" w:hAnsi="Times New Roman" w:eastAsia="仿宋_GB2312" w:cs="Times New Roman"/>
          <w:kern w:val="0"/>
          <w:sz w:val="32"/>
          <w:szCs w:val="32"/>
        </w:rPr>
        <w:t>作出次月</w:t>
      </w:r>
      <w:r>
        <w:rPr>
          <w:rFonts w:hint="eastAsia" w:ascii="Times New Roman" w:hAnsi="Times New Roman" w:eastAsia="仿宋_GB2312" w:cs="Times New Roman"/>
          <w:b w:val="0"/>
          <w:bCs w:val="0"/>
          <w:color w:val="auto"/>
          <w:kern w:val="2"/>
          <w:sz w:val="32"/>
          <w:szCs w:val="32"/>
          <w:u w:val="none"/>
          <w:lang w:val="en-US" w:eastAsia="zh-CN" w:bidi="ar"/>
        </w:rPr>
        <w:t>起，在评估结论有效期内按规定享受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待遇。原则上不直接向失能人员发放现金。</w:t>
      </w:r>
    </w:p>
    <w:p w14:paraId="61298392">
      <w:pPr>
        <w:keepNext w:val="0"/>
        <w:keepLines w:val="0"/>
        <w:pageBreakBefore w:val="0"/>
        <w:kinsoku/>
        <w:wordWrap/>
        <w:overflowPunct w:val="0"/>
        <w:bidi w:val="0"/>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长</w:t>
      </w:r>
      <w:r>
        <w:rPr>
          <w:rFonts w:hint="eastAsia" w:ascii="Times New Roman" w:hAnsi="Times New Roman" w:eastAsia="仿宋_GB2312" w:cs="Times New Roman"/>
          <w:sz w:val="32"/>
          <w:szCs w:val="32"/>
          <w:lang w:val="en-US" w:eastAsia="zh-CN"/>
        </w:rPr>
        <w:t>期</w:t>
      </w:r>
      <w:r>
        <w:rPr>
          <w:rFonts w:hint="default" w:ascii="Times New Roman" w:hAnsi="Times New Roman" w:eastAsia="仿宋_GB2312" w:cs="Times New Roman"/>
          <w:sz w:val="32"/>
          <w:szCs w:val="32"/>
          <w:lang w:val="en-US" w:eastAsia="zh-CN"/>
        </w:rPr>
        <w:t>护</w:t>
      </w:r>
      <w:r>
        <w:rPr>
          <w:rFonts w:hint="eastAsia" w:ascii="Times New Roman" w:hAnsi="Times New Roman" w:eastAsia="仿宋_GB2312" w:cs="Times New Roman"/>
          <w:sz w:val="32"/>
          <w:szCs w:val="32"/>
          <w:lang w:val="en-US" w:eastAsia="zh-CN"/>
        </w:rPr>
        <w:t>理保</w:t>
      </w:r>
      <w:r>
        <w:rPr>
          <w:rFonts w:hint="default" w:ascii="Times New Roman" w:hAnsi="Times New Roman" w:eastAsia="仿宋_GB2312" w:cs="Times New Roman"/>
          <w:sz w:val="32"/>
          <w:szCs w:val="32"/>
          <w:lang w:val="en-US" w:eastAsia="zh-CN"/>
        </w:rPr>
        <w:t>险制度起步阶段保障重度失能人员。</w:t>
      </w:r>
      <w:r>
        <w:rPr>
          <w:rFonts w:hint="eastAsia" w:ascii="Times New Roman" w:hAnsi="Times New Roman" w:eastAsia="仿宋_GB2312" w:cs="Times New Roman"/>
          <w:sz w:val="32"/>
          <w:szCs w:val="32"/>
          <w:lang w:val="en-US" w:eastAsia="zh-CN"/>
        </w:rPr>
        <w:t>按照国家和省统一部署逐步扩大保障对象范围</w:t>
      </w:r>
      <w:r>
        <w:rPr>
          <w:rFonts w:hint="default" w:ascii="Times New Roman" w:hAnsi="Times New Roman" w:eastAsia="仿宋_GB2312" w:cs="Times New Roman"/>
          <w:sz w:val="32"/>
          <w:szCs w:val="32"/>
          <w:lang w:val="en-US" w:eastAsia="zh-CN"/>
        </w:rPr>
        <w:t>。</w:t>
      </w:r>
    </w:p>
    <w:p w14:paraId="43155821">
      <w:pPr>
        <w:keepNext w:val="0"/>
        <w:keepLines w:val="0"/>
        <w:pageBreakBefore w:val="0"/>
        <w:kinsoku/>
        <w:wordWrap/>
        <w:overflowPunct w:val="0"/>
        <w:bidi w:val="0"/>
        <w:spacing w:line="560" w:lineRule="exact"/>
        <w:ind w:firstLine="640" w:firstLineChars="200"/>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黑体" w:cs="Times New Roman"/>
          <w:kern w:val="0"/>
          <w:sz w:val="32"/>
          <w:szCs w:val="32"/>
          <w:lang w:eastAsia="zh-CN"/>
        </w:rPr>
        <w:t>第</w:t>
      </w:r>
      <w:r>
        <w:rPr>
          <w:rFonts w:hint="eastAsia" w:ascii="Times New Roman" w:hAnsi="Times New Roman" w:eastAsia="黑体" w:cs="Times New Roman"/>
          <w:kern w:val="0"/>
          <w:sz w:val="32"/>
          <w:szCs w:val="32"/>
          <w:lang w:val="en-US" w:eastAsia="zh-CN"/>
        </w:rPr>
        <w:t>十六条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b w:val="0"/>
          <w:bCs w:val="0"/>
          <w:color w:val="auto"/>
          <w:kern w:val="2"/>
          <w:sz w:val="32"/>
          <w:szCs w:val="32"/>
          <w:u w:val="none"/>
          <w:lang w:val="en-US" w:eastAsia="zh-CN" w:bidi="ar"/>
        </w:rPr>
        <w:t>按照国家和省相关规定建立本市</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参保长效机制。除新生儿、医疗救助对象等特殊群体外，对未在</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制度启动时初次参保或中断缴费后再次参保的人员设置待遇等待期；探索建立缴费时长和待遇水平相挂钩的连续参保激励机制，具体办法按照国家和省有关规定执行。</w:t>
      </w:r>
    </w:p>
    <w:p w14:paraId="61992629">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u w:val="none"/>
          <w:lang w:val="en-US" w:eastAsia="zh-CN" w:bidi="ar"/>
        </w:rPr>
      </w:pPr>
      <w:r>
        <w:rPr>
          <w:rFonts w:hint="default" w:ascii="Times New Roman" w:hAnsi="Times New Roman" w:eastAsia="黑体" w:cs="Times New Roman"/>
          <w:bCs w:val="0"/>
          <w:color w:val="auto"/>
          <w:sz w:val="32"/>
          <w:szCs w:val="32"/>
          <w:highlight w:val="none"/>
          <w:lang w:val="en-US" w:eastAsia="zh-CN"/>
        </w:rPr>
        <w:t>第</w:t>
      </w:r>
      <w:r>
        <w:rPr>
          <w:rFonts w:hint="eastAsia" w:ascii="Times New Roman" w:hAnsi="Times New Roman" w:eastAsia="黑体" w:cs="Times New Roman"/>
          <w:bCs w:val="0"/>
          <w:color w:val="auto"/>
          <w:sz w:val="32"/>
          <w:szCs w:val="32"/>
          <w:highlight w:val="none"/>
          <w:lang w:val="en-US" w:eastAsia="zh-CN"/>
        </w:rPr>
        <w:t>十七</w:t>
      </w:r>
      <w:r>
        <w:rPr>
          <w:rFonts w:hint="default" w:ascii="Times New Roman" w:hAnsi="Times New Roman" w:eastAsia="黑体" w:cs="Times New Roman"/>
          <w:bCs w:val="0"/>
          <w:color w:val="auto"/>
          <w:sz w:val="32"/>
          <w:szCs w:val="32"/>
          <w:highlight w:val="none"/>
          <w:lang w:val="en-US" w:eastAsia="zh-CN"/>
        </w:rPr>
        <w:t>条</w:t>
      </w:r>
      <w:r>
        <w:rPr>
          <w:rFonts w:hint="default" w:ascii="Times New Roman" w:hAnsi="Times New Roman" w:eastAsia="方正黑体_GBK" w:cs="Times New Roman"/>
          <w:bCs w:val="0"/>
          <w:color w:val="auto"/>
          <w:sz w:val="32"/>
          <w:szCs w:val="32"/>
          <w:highlight w:val="none"/>
          <w:lang w:val="en-US" w:eastAsia="zh-CN"/>
        </w:rPr>
        <w:t xml:space="preserve"> </w:t>
      </w:r>
      <w:r>
        <w:rPr>
          <w:rFonts w:hint="eastAsia" w:ascii="Times New Roman" w:hAnsi="Times New Roman" w:eastAsia="方正黑体_GBK" w:cs="Times New Roman"/>
          <w:bCs w:val="0"/>
          <w:color w:val="auto"/>
          <w:sz w:val="32"/>
          <w:szCs w:val="32"/>
          <w:highlight w:val="none"/>
          <w:lang w:val="en-US" w:eastAsia="zh-CN"/>
        </w:rPr>
        <w:t xml:space="preserve"> </w:t>
      </w:r>
      <w:r>
        <w:rPr>
          <w:rFonts w:hint="default" w:ascii="Times New Roman" w:hAnsi="Times New Roman" w:eastAsia="仿宋_GB2312" w:cs="Times New Roman"/>
          <w:b w:val="0"/>
          <w:bCs w:val="0"/>
          <w:color w:val="auto"/>
          <w:kern w:val="2"/>
          <w:sz w:val="32"/>
          <w:szCs w:val="32"/>
          <w:u w:val="none"/>
          <w:lang w:val="en-US" w:eastAsia="zh-CN" w:bidi="ar"/>
        </w:rPr>
        <w:t>长</w:t>
      </w:r>
      <w:r>
        <w:rPr>
          <w:rFonts w:hint="eastAsia" w:ascii="Times New Roman" w:hAnsi="Times New Roman" w:eastAsia="仿宋_GB2312" w:cs="Times New Roman"/>
          <w:b w:val="0"/>
          <w:bCs w:val="0"/>
          <w:color w:val="auto"/>
          <w:kern w:val="2"/>
          <w:sz w:val="32"/>
          <w:szCs w:val="32"/>
          <w:u w:val="none"/>
          <w:lang w:val="en-US" w:eastAsia="zh-CN" w:bidi="ar"/>
        </w:rPr>
        <w:t>期</w:t>
      </w:r>
      <w:r>
        <w:rPr>
          <w:rFonts w:hint="default" w:ascii="Times New Roman" w:hAnsi="Times New Roman" w:eastAsia="仿宋_GB2312" w:cs="Times New Roman"/>
          <w:b w:val="0"/>
          <w:bCs w:val="0"/>
          <w:color w:val="auto"/>
          <w:kern w:val="2"/>
          <w:sz w:val="32"/>
          <w:szCs w:val="32"/>
          <w:u w:val="none"/>
          <w:lang w:val="en-US" w:eastAsia="zh-CN" w:bidi="ar"/>
        </w:rPr>
        <w:t>护</w:t>
      </w:r>
      <w:r>
        <w:rPr>
          <w:rFonts w:hint="eastAsia" w:ascii="Times New Roman" w:hAnsi="Times New Roman" w:eastAsia="仿宋_GB2312" w:cs="Times New Roman"/>
          <w:b w:val="0"/>
          <w:bCs w:val="0"/>
          <w:color w:val="auto"/>
          <w:kern w:val="2"/>
          <w:sz w:val="32"/>
          <w:szCs w:val="32"/>
          <w:u w:val="none"/>
          <w:lang w:val="en-US" w:eastAsia="zh-CN" w:bidi="ar"/>
        </w:rPr>
        <w:t>理保</w:t>
      </w:r>
      <w:r>
        <w:rPr>
          <w:rFonts w:hint="default" w:ascii="Times New Roman" w:hAnsi="Times New Roman" w:eastAsia="仿宋_GB2312" w:cs="Times New Roman"/>
          <w:b w:val="0"/>
          <w:bCs w:val="0"/>
          <w:color w:val="auto"/>
          <w:kern w:val="2"/>
          <w:sz w:val="32"/>
          <w:szCs w:val="32"/>
          <w:u w:val="none"/>
          <w:lang w:val="en-US" w:eastAsia="zh-CN" w:bidi="ar"/>
        </w:rPr>
        <w:t>险失能等级评估管理工作、评估机构及出具的评估结论按照</w:t>
      </w:r>
      <w:r>
        <w:rPr>
          <w:rFonts w:hint="eastAsia" w:ascii="Times New Roman" w:hAnsi="Times New Roman" w:eastAsia="仿宋_GB2312" w:cs="Times New Roman"/>
          <w:b w:val="0"/>
          <w:bCs w:val="0"/>
          <w:color w:val="auto"/>
          <w:kern w:val="2"/>
          <w:sz w:val="32"/>
          <w:szCs w:val="32"/>
          <w:u w:val="none"/>
          <w:lang w:val="en-US" w:eastAsia="zh-CN" w:bidi="ar"/>
        </w:rPr>
        <w:t>国家和省失能评估</w:t>
      </w:r>
      <w:r>
        <w:rPr>
          <w:rFonts w:hint="default" w:ascii="Times New Roman" w:hAnsi="Times New Roman" w:eastAsia="仿宋_GB2312" w:cs="Times New Roman"/>
          <w:b w:val="0"/>
          <w:bCs w:val="0"/>
          <w:color w:val="auto"/>
          <w:kern w:val="2"/>
          <w:sz w:val="32"/>
          <w:szCs w:val="32"/>
          <w:u w:val="none"/>
          <w:lang w:val="en-US" w:eastAsia="zh-CN" w:bidi="ar"/>
        </w:rPr>
        <w:t>相关规定执行。不予受理长</w:t>
      </w:r>
      <w:r>
        <w:rPr>
          <w:rFonts w:hint="eastAsia" w:ascii="Times New Roman" w:hAnsi="Times New Roman" w:eastAsia="仿宋_GB2312" w:cs="Times New Roman"/>
          <w:b w:val="0"/>
          <w:bCs w:val="0"/>
          <w:color w:val="auto"/>
          <w:kern w:val="2"/>
          <w:sz w:val="32"/>
          <w:szCs w:val="32"/>
          <w:u w:val="none"/>
          <w:lang w:val="en-US" w:eastAsia="zh-CN" w:bidi="ar"/>
        </w:rPr>
        <w:t>期</w:t>
      </w:r>
      <w:r>
        <w:rPr>
          <w:rFonts w:hint="default" w:ascii="Times New Roman" w:hAnsi="Times New Roman" w:eastAsia="仿宋_GB2312" w:cs="Times New Roman"/>
          <w:b w:val="0"/>
          <w:bCs w:val="0"/>
          <w:color w:val="auto"/>
          <w:kern w:val="2"/>
          <w:sz w:val="32"/>
          <w:szCs w:val="32"/>
          <w:u w:val="none"/>
          <w:lang w:val="en-US" w:eastAsia="zh-CN" w:bidi="ar"/>
        </w:rPr>
        <w:t>护</w:t>
      </w:r>
      <w:r>
        <w:rPr>
          <w:rFonts w:hint="eastAsia" w:ascii="Times New Roman" w:hAnsi="Times New Roman" w:eastAsia="仿宋_GB2312" w:cs="Times New Roman"/>
          <w:b w:val="0"/>
          <w:bCs w:val="0"/>
          <w:color w:val="auto"/>
          <w:kern w:val="2"/>
          <w:sz w:val="32"/>
          <w:szCs w:val="32"/>
          <w:u w:val="none"/>
          <w:lang w:val="en-US" w:eastAsia="zh-CN" w:bidi="ar"/>
        </w:rPr>
        <w:t>理保</w:t>
      </w:r>
      <w:r>
        <w:rPr>
          <w:rFonts w:hint="default" w:ascii="Times New Roman" w:hAnsi="Times New Roman" w:eastAsia="仿宋_GB2312" w:cs="Times New Roman"/>
          <w:b w:val="0"/>
          <w:bCs w:val="0"/>
          <w:color w:val="auto"/>
          <w:kern w:val="2"/>
          <w:sz w:val="32"/>
          <w:szCs w:val="32"/>
          <w:u w:val="none"/>
          <w:lang w:val="en-US" w:eastAsia="zh-CN" w:bidi="ar"/>
        </w:rPr>
        <w:t>险失能等级评估申请的情形按照国家和省、市相关规定执行。</w:t>
      </w:r>
    </w:p>
    <w:p w14:paraId="7DFD089A">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sz w:val="32"/>
          <w:szCs w:val="32"/>
        </w:rPr>
      </w:pPr>
      <w:r>
        <w:rPr>
          <w:rFonts w:hint="eastAsia" w:ascii="Times New Roman" w:hAnsi="Times New Roman" w:eastAsia="黑体" w:cs="Times New Roman"/>
          <w:kern w:val="0"/>
          <w:sz w:val="32"/>
          <w:szCs w:val="32"/>
        </w:rPr>
        <w:t>第</w:t>
      </w:r>
      <w:r>
        <w:rPr>
          <w:rFonts w:hint="eastAsia" w:ascii="Times New Roman" w:hAnsi="Times New Roman" w:eastAsia="黑体" w:cs="Times New Roman"/>
          <w:kern w:val="0"/>
          <w:sz w:val="32"/>
          <w:szCs w:val="32"/>
          <w:lang w:val="en-US" w:eastAsia="zh-CN"/>
        </w:rPr>
        <w:t>十八</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建立健全评估服务费用由基金和个人合理分担机制</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并按以下规定执行：</w:t>
      </w:r>
    </w:p>
    <w:p w14:paraId="27F87612">
      <w:pPr>
        <w:keepNext w:val="0"/>
        <w:keepLines w:val="0"/>
        <w:pageBreakBefore w:val="0"/>
        <w:numPr>
          <w:ilvl w:val="0"/>
          <w:numId w:val="0"/>
        </w:numPr>
        <w:kinsoku/>
        <w:wordWrap/>
        <w:topLinePunct/>
        <w:autoSpaceDE w:val="0"/>
        <w:bidi w:val="0"/>
        <w:spacing w:line="560" w:lineRule="exact"/>
        <w:ind w:firstLine="640" w:firstLineChars="200"/>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rPr>
        <w:t>初评符合条件通过的，评估费用由</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基金全额承担；初评不符合条件的</w:t>
      </w:r>
      <w:r>
        <w:rPr>
          <w:rFonts w:hint="eastAsia" w:ascii="Times New Roman" w:hAnsi="Times New Roman" w:eastAsia="仿宋_GB2312" w:cs="Times New Roman"/>
          <w:b w:val="0"/>
          <w:bCs w:val="0"/>
          <w:color w:val="auto"/>
          <w:kern w:val="2"/>
          <w:sz w:val="32"/>
          <w:szCs w:val="32"/>
          <w:u w:val="none"/>
          <w:lang w:val="en-US" w:eastAsia="zh-CN" w:bidi="ar"/>
        </w:rPr>
        <w:t>，评估费用由基金和参保人员按1:1分担。</w:t>
      </w:r>
    </w:p>
    <w:p w14:paraId="3C2B01E7">
      <w:pPr>
        <w:keepNext w:val="0"/>
        <w:keepLines w:val="0"/>
        <w:pageBreakBefore w:val="0"/>
        <w:kinsoku/>
        <w:wordWrap/>
        <w:topLinePunct/>
        <w:autoSpaceDE w:val="0"/>
        <w:bidi w:val="0"/>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（二）初评不符合条件申请复评的，复评结论符合享受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待遇的，评估费用由初评评估机构全额承担；复评仍不符合条件的，评估费用由参保人员全额承担。</w:t>
      </w:r>
    </w:p>
    <w:p w14:paraId="0A33CFA8">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（三）初次评估结论出具满6个月后重新评估符合条件的，评估费用由</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基金全额承担；重新评估不符合条件的，评估费用由参保人员全额承担。</w:t>
      </w:r>
    </w:p>
    <w:p w14:paraId="4B461641">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w:t>
      </w:r>
      <w:r>
        <w:rPr>
          <w:rStyle w:val="12"/>
          <w:rFonts w:hint="eastAsia" w:ascii="Times New Roman" w:hAnsi="Times New Roman" w:eastAsia="仿宋_GB2312" w:cs="Times New Roman"/>
          <w:b w:val="0"/>
          <w:sz w:val="32"/>
          <w:szCs w:val="32"/>
          <w:lang w:eastAsia="zh-CN"/>
        </w:rPr>
        <w:t>医疗保障</w:t>
      </w:r>
      <w:r>
        <w:rPr>
          <w:rStyle w:val="12"/>
          <w:rFonts w:hint="eastAsia" w:ascii="Times New Roman" w:hAnsi="Times New Roman" w:eastAsia="仿宋_GB2312" w:cs="Times New Roman"/>
          <w:b w:val="0"/>
          <w:sz w:val="32"/>
          <w:szCs w:val="32"/>
        </w:rPr>
        <w:t>经办机构</w:t>
      </w:r>
      <w:r>
        <w:rPr>
          <w:rFonts w:hint="eastAsia" w:ascii="Times New Roman" w:hAnsi="Times New Roman" w:eastAsia="仿宋_GB2312" w:cs="Times New Roman"/>
          <w:kern w:val="2"/>
          <w:sz w:val="32"/>
          <w:szCs w:val="32"/>
        </w:rPr>
        <w:t>或定点服务机构在日常服务、巡查中发现参保人员失能等级不匹配需重新评估的，</w:t>
      </w:r>
      <w:r>
        <w:rPr>
          <w:rFonts w:hint="eastAsia" w:ascii="Times New Roman" w:hAnsi="Times New Roman" w:eastAsia="仿宋_GB2312" w:cs="Times New Roman"/>
          <w:sz w:val="32"/>
          <w:szCs w:val="32"/>
        </w:rPr>
        <w:t>评估费用由</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基金全额承担。</w:t>
      </w:r>
    </w:p>
    <w:p w14:paraId="4F3EC0CF">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（五）评估有效期届满前重新评估的，评估费用由</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基金全额承担。</w:t>
      </w:r>
    </w:p>
    <w:p w14:paraId="56F66C12">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sz w:val="32"/>
          <w:szCs w:val="32"/>
        </w:rPr>
        <w:t>（六）评估过程中因评估机构原因造成中断，导致本次评估工作无法完成的，评估费用由评估机构全额承担；因申请人提交虚假资料及信息导致评估终止的，评估费用由参保人员全额承担。</w:t>
      </w:r>
    </w:p>
    <w:p w14:paraId="2A9EA062">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w:t>
      </w:r>
      <w:r>
        <w:rPr>
          <w:rFonts w:hint="eastAsia" w:ascii="Times New Roman" w:hAnsi="Times New Roman" w:eastAsia="黑体" w:cs="Times New Roman"/>
          <w:kern w:val="0"/>
          <w:sz w:val="32"/>
          <w:szCs w:val="32"/>
          <w:lang w:eastAsia="zh-CN"/>
        </w:rPr>
        <w:t>十九</w:t>
      </w:r>
      <w:r>
        <w:rPr>
          <w:rFonts w:hint="eastAsia" w:ascii="Times New Roman" w:hAnsi="Times New Roman" w:eastAsia="黑体" w:cs="Times New Roman"/>
          <w:kern w:val="0"/>
          <w:sz w:val="32"/>
          <w:szCs w:val="32"/>
        </w:rPr>
        <w:t xml:space="preserve">条  </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执行国家统一的长期护理保险服务项目目录，</w:t>
      </w:r>
      <w:r>
        <w:rPr>
          <w:rFonts w:hint="eastAsia" w:ascii="Times New Roman" w:hAnsi="Times New Roman" w:eastAsia="仿宋_GB2312" w:cs="Times New Roman"/>
          <w:i w:val="0"/>
          <w:iCs w:val="0"/>
          <w:caps w:val="0"/>
          <w:color w:val="auto"/>
          <w:spacing w:val="0"/>
          <w:sz w:val="32"/>
          <w:szCs w:val="32"/>
          <w:highlight w:val="none"/>
          <w:shd w:val="clear" w:color="auto" w:fill="FFFFFF"/>
          <w:lang w:val="en-US" w:eastAsia="zh-CN"/>
        </w:rPr>
        <w:t>服务项目</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包括生活照护类项目及医疗护理类</w:t>
      </w:r>
      <w:r>
        <w:rPr>
          <w:rFonts w:hint="default" w:ascii="Times New Roman" w:hAnsi="Times New Roman" w:eastAsia="仿宋_GB2312" w:cs="Times New Roman"/>
          <w:b w:val="0"/>
          <w:bCs w:val="0"/>
          <w:color w:val="auto"/>
          <w:kern w:val="2"/>
          <w:sz w:val="32"/>
          <w:szCs w:val="32"/>
          <w:u w:val="none"/>
          <w:lang w:val="en-US" w:eastAsia="zh-CN" w:bidi="ar"/>
        </w:rPr>
        <w:t>项目，符合长期护理保险服务项目目录的长期护理服务费用按规定纳入支付范围，超出长期护理保险服务项目目录范围的护理服务费用，基金不予支付。</w:t>
      </w:r>
      <w:r>
        <w:rPr>
          <w:rFonts w:hint="eastAsia" w:ascii="Times New Roman" w:hAnsi="Times New Roman" w:eastAsia="仿宋_GB2312" w:cs="Times New Roman"/>
          <w:b w:val="0"/>
          <w:bCs w:val="0"/>
          <w:color w:val="auto"/>
          <w:kern w:val="2"/>
          <w:sz w:val="32"/>
          <w:szCs w:val="32"/>
          <w:u w:val="none"/>
          <w:lang w:val="en-US" w:eastAsia="zh-CN" w:bidi="ar"/>
        </w:rPr>
        <w:t>具体项目及收费标</w:t>
      </w:r>
      <w:r>
        <w:rPr>
          <w:rFonts w:hint="eastAsia" w:ascii="Times New Roman" w:hAnsi="Times New Roman" w:eastAsia="仿宋_GB2312" w:cs="Times New Roman"/>
          <w:sz w:val="32"/>
          <w:szCs w:val="32"/>
        </w:rPr>
        <w:t>准、支付标准、服务规范等执行国家、省和市相关规定。</w:t>
      </w:r>
    </w:p>
    <w:p w14:paraId="78BA276A">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sz w:val="32"/>
          <w:szCs w:val="32"/>
          <w:lang w:eastAsia="zh-CN"/>
        </w:rPr>
      </w:pPr>
      <w:r>
        <w:rPr>
          <w:rFonts w:hint="eastAsia" w:ascii="Times New Roman" w:hAnsi="Times New Roman" w:eastAsia="黑体" w:cs="Times New Roman"/>
          <w:kern w:val="0"/>
          <w:sz w:val="32"/>
          <w:szCs w:val="32"/>
        </w:rPr>
        <w:t>第二十条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lang w:eastAsia="zh-CN"/>
        </w:rPr>
        <w:t>长护服务类型包括定点长护服务机构提供的居家护理、社区护理、机构护理三种方式。</w:t>
      </w:r>
      <w:r>
        <w:rPr>
          <w:rFonts w:hint="eastAsia" w:ascii="Times New Roman" w:hAnsi="Times New Roman" w:eastAsia="仿宋_GB2312" w:cs="Times New Roman"/>
          <w:sz w:val="32"/>
          <w:szCs w:val="32"/>
        </w:rPr>
        <w:t>符合</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待遇享受</w:t>
      </w:r>
      <w:r>
        <w:rPr>
          <w:rFonts w:hint="eastAsia" w:ascii="Times New Roman" w:hAnsi="Times New Roman" w:eastAsia="仿宋_GB2312" w:cs="Times New Roman"/>
          <w:sz w:val="32"/>
          <w:szCs w:val="32"/>
          <w:lang w:eastAsia="zh-CN"/>
        </w:rPr>
        <w:t>条件</w:t>
      </w:r>
      <w:r>
        <w:rPr>
          <w:rFonts w:hint="eastAsia" w:ascii="Times New Roman" w:hAnsi="Times New Roman" w:eastAsia="仿宋_GB2312" w:cs="Times New Roman"/>
          <w:sz w:val="32"/>
          <w:szCs w:val="32"/>
        </w:rPr>
        <w:t>的参保人员，可根据自身需求，自主选择其中一种服务方式</w:t>
      </w:r>
      <w:r>
        <w:rPr>
          <w:rFonts w:hint="eastAsia" w:ascii="Times New Roman" w:hAnsi="Times New Roman" w:eastAsia="仿宋_GB2312" w:cs="Times New Roman"/>
          <w:sz w:val="32"/>
          <w:szCs w:val="32"/>
          <w:lang w:eastAsia="zh-CN"/>
        </w:rPr>
        <w:t>。</w:t>
      </w:r>
    </w:p>
    <w:p w14:paraId="4BD56C90">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黑体" w:cs="Times New Roman"/>
          <w:kern w:val="0"/>
          <w:sz w:val="32"/>
          <w:szCs w:val="32"/>
        </w:rPr>
        <w:t>第二十</w:t>
      </w:r>
      <w:r>
        <w:rPr>
          <w:rFonts w:hint="eastAsia" w:ascii="Times New Roman" w:hAnsi="Times New Roman" w:eastAsia="黑体" w:cs="Times New Roman"/>
          <w:kern w:val="0"/>
          <w:sz w:val="32"/>
          <w:szCs w:val="32"/>
          <w:lang w:eastAsia="zh-CN"/>
        </w:rPr>
        <w:t>一</w:t>
      </w:r>
      <w:r>
        <w:rPr>
          <w:rFonts w:hint="eastAsia" w:ascii="Times New Roman" w:hAnsi="Times New Roman" w:eastAsia="黑体" w:cs="Times New Roman"/>
          <w:kern w:val="0"/>
          <w:sz w:val="32"/>
          <w:szCs w:val="32"/>
        </w:rPr>
        <w:t xml:space="preserve">条 </w:t>
      </w:r>
      <w:r>
        <w:rPr>
          <w:rFonts w:hint="eastAsia" w:ascii="Times New Roman" w:hAnsi="Times New Roman" w:eastAsia="仿宋_GB2312" w:cs="Times New Roman"/>
          <w:b w:val="0"/>
          <w:bCs w:val="0"/>
          <w:color w:val="auto"/>
          <w:kern w:val="2"/>
          <w:sz w:val="32"/>
          <w:szCs w:val="32"/>
          <w:u w:val="none"/>
          <w:lang w:val="en-US" w:eastAsia="zh-CN" w:bidi="ar"/>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待遇不设起付标准，设置年度支付限额和月度支付限额，在支付限额内发生的符合</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基金支付范围部分的费用，由</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基金和参保人员按规定共同支付，超过支付限额部分的费用，由参保人员自行承担，</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基金不予支付。年度支付限额最高不超过本市上年度城乡居民人均可支配收入的50%。年度支付限额和月度支付限额的具体标准由市医疗保障行政部门根据统计部门每年公布的数据另行确定。具体待遇支付标准按以下规定执行：</w:t>
      </w:r>
    </w:p>
    <w:p w14:paraId="61200E16">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b w:val="0"/>
          <w:bCs w:val="0"/>
          <w:color w:val="auto"/>
          <w:kern w:val="2"/>
          <w:sz w:val="32"/>
          <w:szCs w:val="32"/>
          <w:u w:val="none"/>
          <w:lang w:val="en-US" w:eastAsia="zh-CN" w:bidi="ar"/>
        </w:rPr>
        <w:t>（一）居家护理。职工参保人员支付比例为75%；居民参保人员支付比例为55%。服务按次纳入支付范围，服务标准为60元/次，每次服务时长不低于1小时，职工支付每月最高20次，居民支付每月最高15次。</w:t>
      </w:r>
    </w:p>
    <w:p w14:paraId="181B5647">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b w:val="0"/>
          <w:bCs w:val="0"/>
          <w:color w:val="auto"/>
          <w:kern w:val="2"/>
          <w:sz w:val="32"/>
          <w:szCs w:val="32"/>
          <w:u w:val="none"/>
          <w:lang w:val="en-US" w:eastAsia="zh-CN" w:bidi="ar"/>
        </w:rPr>
        <w:t>（二）社区护理。职工参保人员支付比例为75%；居民参保人员支付比例为55%。</w:t>
      </w:r>
    </w:p>
    <w:p w14:paraId="6BBB3F07">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b w:val="0"/>
          <w:bCs w:val="0"/>
          <w:color w:val="auto"/>
          <w:kern w:val="2"/>
          <w:sz w:val="32"/>
          <w:szCs w:val="32"/>
          <w:u w:val="none"/>
          <w:lang w:val="en-US" w:eastAsia="zh-CN" w:bidi="ar"/>
        </w:rPr>
        <w:t>（三）机构护理。职工参保人员支付比例为70%；居民参保人员支付比例为50%。</w:t>
      </w:r>
    </w:p>
    <w:p w14:paraId="1BAA0EDE">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黑体" w:cs="Times New Roman"/>
          <w:sz w:val="32"/>
          <w:szCs w:val="32"/>
          <w:lang w:eastAsia="zh-CN"/>
        </w:rPr>
        <w:t>第二十二</w:t>
      </w:r>
      <w:r>
        <w:rPr>
          <w:rFonts w:hint="eastAsia" w:ascii="Times New Roman" w:hAnsi="Times New Roman" w:eastAsia="黑体" w:cs="Times New Roman"/>
          <w:sz w:val="32"/>
          <w:szCs w:val="32"/>
          <w:lang w:val="en-US" w:eastAsia="zh-CN"/>
        </w:rPr>
        <w:t>条</w:t>
      </w:r>
      <w:r>
        <w:rPr>
          <w:rFonts w:hint="eastAsia" w:ascii="Times New Roman" w:hAnsi="Times New Roman" w:eastAsia="仿宋_GB2312" w:cs="Times New Roman"/>
          <w:b w:val="0"/>
          <w:bCs w:val="0"/>
          <w:sz w:val="32"/>
          <w:szCs w:val="32"/>
          <w:u w:val="none"/>
          <w:lang w:val="en-US" w:eastAsia="zh-CN"/>
        </w:rPr>
        <w:t xml:space="preserve">  </w:t>
      </w:r>
      <w:r>
        <w:rPr>
          <w:rFonts w:hint="eastAsia" w:ascii="Times New Roman" w:hAnsi="Times New Roman" w:eastAsia="仿宋_GB2312" w:cs="Times New Roman"/>
          <w:b w:val="0"/>
          <w:bCs w:val="0"/>
          <w:color w:val="auto"/>
          <w:kern w:val="2"/>
          <w:sz w:val="32"/>
          <w:szCs w:val="32"/>
          <w:u w:val="none"/>
          <w:lang w:val="en-US" w:eastAsia="zh-CN" w:bidi="ar"/>
        </w:rPr>
        <w:t>失能等级评估服务费、</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护理服务费具体的支付标准由市医疗保障行政部门依据本地经济发展水平、基金支撑能力、参保人基本保障需求、社会平均工资、长护服务供给情况等经科学测算后合理确定，并动态调整。</w:t>
      </w:r>
    </w:p>
    <w:p w14:paraId="18836C0F">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bCs/>
          <w:color w:val="auto"/>
          <w:sz w:val="32"/>
          <w:szCs w:val="32"/>
          <w:u w:val="single"/>
          <w:shd w:val="clear" w:color="auto" w:fill="auto"/>
        </w:rPr>
      </w:pPr>
      <w:r>
        <w:rPr>
          <w:rFonts w:hint="eastAsia" w:ascii="Times New Roman" w:hAnsi="Times New Roman" w:eastAsia="仿宋_GB2312" w:cs="Times New Roman"/>
          <w:b w:val="0"/>
          <w:bCs w:val="0"/>
          <w:color w:val="auto"/>
          <w:kern w:val="2"/>
          <w:sz w:val="32"/>
          <w:szCs w:val="32"/>
          <w:u w:val="none"/>
          <w:lang w:val="en-US" w:eastAsia="zh-CN" w:bidi="ar"/>
        </w:rPr>
        <w:t>本办法实施时，纳入基金支付的失能等级评估服务费为每人每次150元。本办法实施当年，职工参保人员最高支付限额为1200元/人/月；居民参保人员最高支付限额为900元/人/月。</w:t>
      </w:r>
    </w:p>
    <w:p w14:paraId="6CFB77F0">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16" w:firstLineChars="200"/>
        <w:jc w:val="both"/>
        <w:textAlignment w:val="auto"/>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pPr>
      <w:r>
        <w:rPr>
          <w:rFonts w:hint="eastAsia" w:ascii="Times New Roman" w:hAnsi="Times New Roman" w:eastAsia="黑体" w:cs="Times New Roman"/>
          <w:bCs w:val="0"/>
          <w:color w:val="auto"/>
          <w:spacing w:val="-6"/>
          <w:kern w:val="0"/>
          <w:sz w:val="32"/>
          <w:szCs w:val="32"/>
          <w:highlight w:val="none"/>
          <w:shd w:val="clear" w:color="auto" w:fill="auto"/>
          <w:lang w:val="en-US" w:eastAsia="zh-CN"/>
        </w:rPr>
        <w:t>第二十三条</w:t>
      </w:r>
      <w:r>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t xml:space="preserve">  享受长期护理保险待遇的参保人出现下列情形之一的，应及时停止享受长期护理保险待遇：</w:t>
      </w:r>
    </w:p>
    <w:p w14:paraId="3E40E69F">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40" w:firstLineChars="200"/>
        <w:jc w:val="both"/>
        <w:textAlignment w:val="auto"/>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pPr>
      <w:r>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t>（一）享受长期护理保险待遇的参保人死亡；</w:t>
      </w:r>
    </w:p>
    <w:p w14:paraId="267D9CB0">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40" w:firstLineChars="200"/>
        <w:jc w:val="both"/>
        <w:textAlignment w:val="auto"/>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pPr>
      <w:r>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t>（二）自理能力好转，经重新评估不符合待遇享受条件；</w:t>
      </w:r>
    </w:p>
    <w:p w14:paraId="6DAE87A5">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b w:val="0"/>
          <w:bCs w:val="0"/>
          <w:color w:val="auto"/>
          <w:kern w:val="2"/>
          <w:sz w:val="32"/>
          <w:szCs w:val="32"/>
          <w:u w:val="none"/>
          <w:lang w:val="en-US" w:eastAsia="zh-CN" w:bidi="ar"/>
        </w:rPr>
        <w:t>（三）长期护理保险评估结果有效期届满但未按规定申请评估；</w:t>
      </w:r>
    </w:p>
    <w:p w14:paraId="2C5E189A">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b w:val="0"/>
          <w:bCs w:val="0"/>
          <w:color w:val="auto"/>
          <w:kern w:val="2"/>
          <w:sz w:val="32"/>
          <w:szCs w:val="32"/>
          <w:u w:val="none"/>
          <w:lang w:val="en-US" w:eastAsia="zh-CN" w:bidi="ar"/>
        </w:rPr>
        <w:t>（四）与定点长护服务机构终止服务协议且未重新签订新的服务协议的；</w:t>
      </w:r>
    </w:p>
    <w:p w14:paraId="744239AB">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b w:val="0"/>
          <w:bCs w:val="0"/>
          <w:color w:val="auto"/>
          <w:kern w:val="2"/>
          <w:sz w:val="32"/>
          <w:szCs w:val="32"/>
          <w:u w:val="none"/>
          <w:lang w:val="en-US" w:eastAsia="zh-CN" w:bidi="ar"/>
        </w:rPr>
        <w:t>（五）长期护理保险断缴及待遇等待期内；</w:t>
      </w:r>
    </w:p>
    <w:p w14:paraId="2081E3CA">
      <w:pPr>
        <w:pStyle w:val="9"/>
        <w:keepNext w:val="0"/>
        <w:keepLines w:val="0"/>
        <w:pageBreakBefore w:val="0"/>
        <w:widowControl w:val="0"/>
        <w:kinsoku/>
        <w:wordWrap/>
        <w:overflowPunct/>
        <w:topLinePunct w:val="0"/>
        <w:autoSpaceDE/>
        <w:autoSpaceDN/>
        <w:bidi w:val="0"/>
        <w:adjustRightInd/>
        <w:snapToGrid w:val="0"/>
        <w:spacing w:before="0" w:after="0" w:line="560" w:lineRule="exact"/>
        <w:ind w:firstLine="640" w:firstLineChars="200"/>
        <w:jc w:val="both"/>
        <w:textAlignment w:val="auto"/>
        <w:rPr>
          <w:rFonts w:hint="eastAsia" w:ascii="Times New Roman" w:hAnsi="Times New Roman" w:eastAsia="黑体" w:cs="Times New Roman"/>
          <w:kern w:val="0"/>
          <w:sz w:val="32"/>
          <w:szCs w:val="32"/>
        </w:rPr>
      </w:pPr>
      <w:r>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t>（六）国家和省规定的其他情形。</w:t>
      </w:r>
    </w:p>
    <w:p w14:paraId="509AB62F">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bCs/>
          <w:kern w:val="2"/>
          <w:sz w:val="32"/>
          <w:szCs w:val="32"/>
        </w:rPr>
      </w:pPr>
      <w:r>
        <w:rPr>
          <w:rFonts w:hint="eastAsia" w:ascii="Times New Roman" w:hAnsi="Times New Roman" w:eastAsia="黑体" w:cs="Times New Roman"/>
          <w:sz w:val="32"/>
          <w:szCs w:val="32"/>
        </w:rPr>
        <w:t>第二十</w:t>
      </w:r>
      <w:r>
        <w:rPr>
          <w:rFonts w:hint="eastAsia" w:ascii="Times New Roman" w:hAnsi="Times New Roman" w:eastAsia="黑体" w:cs="Times New Roman"/>
          <w:sz w:val="32"/>
          <w:szCs w:val="32"/>
          <w:lang w:eastAsia="zh-CN"/>
        </w:rPr>
        <w:t>四</w:t>
      </w:r>
      <w:r>
        <w:rPr>
          <w:rFonts w:hint="eastAsia" w:ascii="Times New Roman" w:hAnsi="Times New Roman" w:eastAsia="黑体" w:cs="Times New Roman"/>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失能人员在享受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待遇期间，</w:t>
      </w:r>
      <w:r>
        <w:rPr>
          <w:rFonts w:hint="eastAsia" w:ascii="Times New Roman" w:hAnsi="Times New Roman" w:eastAsia="仿宋_GB2312" w:cs="Times New Roman"/>
          <w:bCs w:val="0"/>
          <w:i w:val="0"/>
          <w:iCs w:val="0"/>
          <w:caps w:val="0"/>
          <w:color w:val="auto"/>
          <w:spacing w:val="0"/>
          <w:kern w:val="32"/>
          <w:sz w:val="32"/>
          <w:szCs w:val="32"/>
          <w:highlight w:val="none"/>
          <w:shd w:val="clear" w:color="auto" w:fill="FFFFFF"/>
          <w:lang w:eastAsia="zh-CN"/>
        </w:rPr>
        <w:t>可按规定同步享受</w:t>
      </w:r>
      <w:r>
        <w:rPr>
          <w:rFonts w:hint="eastAsia" w:ascii="Times New Roman" w:hAnsi="Times New Roman" w:eastAsia="仿宋_GB2312" w:cs="Times New Roman"/>
          <w:bCs w:val="0"/>
          <w:color w:val="auto"/>
          <w:spacing w:val="0"/>
          <w:kern w:val="32"/>
          <w:sz w:val="32"/>
          <w:szCs w:val="32"/>
          <w:highlight w:val="none"/>
          <w:shd w:val="clear" w:color="auto" w:fill="FFFFFF"/>
          <w:lang w:val="en-US" w:eastAsia="zh-CN"/>
        </w:rPr>
        <w:t>普通门诊</w:t>
      </w:r>
      <w:r>
        <w:rPr>
          <w:rFonts w:hint="eastAsia" w:ascii="Times New Roman" w:hAnsi="Times New Roman" w:eastAsia="仿宋_GB2312" w:cs="Times New Roman"/>
          <w:bCs w:val="0"/>
          <w:i w:val="0"/>
          <w:iCs w:val="0"/>
          <w:caps w:val="0"/>
          <w:color w:val="auto"/>
          <w:spacing w:val="0"/>
          <w:kern w:val="32"/>
          <w:sz w:val="32"/>
          <w:szCs w:val="32"/>
          <w:highlight w:val="none"/>
          <w:shd w:val="clear" w:color="auto" w:fill="FFFFFF"/>
          <w:lang w:eastAsia="zh-CN"/>
        </w:rPr>
        <w:t>、门诊特定病种相关待遇</w:t>
      </w:r>
      <w:r>
        <w:rPr>
          <w:rFonts w:hint="eastAsia" w:ascii="Times New Roman" w:hAnsi="Times New Roman" w:eastAsia="仿宋_GB2312" w:cs="Times New Roman"/>
          <w:sz w:val="32"/>
          <w:szCs w:val="32"/>
        </w:rPr>
        <w:t>。因伤病情需住院治疗的，住院期间暂停</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lang w:eastAsia="zh-CN"/>
        </w:rPr>
        <w:t>结算，不享受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待遇。参保人治疗出院后，如其</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lang w:eastAsia="zh-CN"/>
        </w:rPr>
        <w:t>评估</w:t>
      </w:r>
      <w:r>
        <w:rPr>
          <w:rFonts w:hint="eastAsia" w:ascii="Times New Roman" w:hAnsi="Times New Roman" w:eastAsia="仿宋_GB2312" w:cs="Times New Roman"/>
          <w:sz w:val="32"/>
          <w:szCs w:val="32"/>
        </w:rPr>
        <w:t>结论仍在有效期内</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自出院之日起</w:t>
      </w:r>
      <w:r>
        <w:rPr>
          <w:rFonts w:hint="eastAsia" w:ascii="Times New Roman" w:hAnsi="Times New Roman" w:eastAsia="仿宋_GB2312" w:cs="Times New Roman"/>
          <w:sz w:val="32"/>
          <w:szCs w:val="32"/>
        </w:rPr>
        <w:t>可继续享受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待遇；如有效期届满，需按规定重新申请评定。</w:t>
      </w:r>
    </w:p>
    <w:p w14:paraId="6F349DB6">
      <w:pPr>
        <w:keepNext w:val="0"/>
        <w:keepLines w:val="0"/>
        <w:pageBreakBefore w:val="0"/>
        <w:kinsoku/>
        <w:wordWrap/>
        <w:topLinePunct/>
        <w:autoSpaceDE w:val="0"/>
        <w:bidi w:val="0"/>
        <w:spacing w:line="560" w:lineRule="exact"/>
        <w:ind w:firstLine="600"/>
        <w:textAlignment w:val="auto"/>
        <w:rPr>
          <w:rFonts w:hint="eastAsia" w:ascii="Times New Roman" w:hAnsi="Times New Roman" w:cs="Times New Roman"/>
        </w:rPr>
      </w:pPr>
      <w:r>
        <w:rPr>
          <w:rFonts w:hint="eastAsia" w:ascii="Times New Roman" w:hAnsi="Times New Roman" w:eastAsia="黑体" w:cs="Times New Roman"/>
          <w:kern w:val="0"/>
          <w:sz w:val="32"/>
          <w:szCs w:val="32"/>
        </w:rPr>
        <w:t>第二十</w:t>
      </w:r>
      <w:r>
        <w:rPr>
          <w:rFonts w:hint="eastAsia" w:ascii="Times New Roman" w:hAnsi="Times New Roman" w:eastAsia="黑体" w:cs="Times New Roman"/>
          <w:kern w:val="0"/>
          <w:sz w:val="32"/>
          <w:szCs w:val="32"/>
          <w:lang w:eastAsia="zh-CN"/>
        </w:rPr>
        <w:t>五</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sz w:val="32"/>
          <w:szCs w:val="32"/>
        </w:rPr>
        <w:t>参保人员可按照病情和失能程度发生变化，其护理服务方式可在居家护理、社</w:t>
      </w:r>
      <w:r>
        <w:rPr>
          <w:rFonts w:hint="eastAsia" w:ascii="Times New Roman" w:hAnsi="Times New Roman" w:eastAsia="仿宋_GB2312" w:cs="Times New Roman"/>
          <w:b w:val="0"/>
          <w:bCs w:val="0"/>
          <w:color w:val="auto"/>
          <w:sz w:val="32"/>
          <w:szCs w:val="32"/>
        </w:rPr>
        <w:t>区护理、机构护理等方式中相互转换，</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sz w:val="32"/>
          <w:szCs w:val="32"/>
        </w:rPr>
        <w:t>待遇不重复享受。参保人员申请护理服务方式变更的，由参保人员（或监护人）向定点</w:t>
      </w:r>
      <w:r>
        <w:rPr>
          <w:rFonts w:hint="eastAsia" w:ascii="Times New Roman" w:hAnsi="Times New Roman" w:eastAsia="仿宋_GB2312" w:cs="Times New Roman"/>
          <w:b w:val="0"/>
          <w:bCs w:val="0"/>
          <w:color w:val="auto"/>
          <w:sz w:val="32"/>
          <w:szCs w:val="32"/>
          <w:lang w:val="en-US" w:eastAsia="zh-CN"/>
        </w:rPr>
        <w:t>长护</w:t>
      </w:r>
      <w:r>
        <w:rPr>
          <w:rFonts w:hint="eastAsia" w:ascii="Times New Roman" w:hAnsi="Times New Roman" w:eastAsia="仿宋_GB2312" w:cs="Times New Roman"/>
          <w:b w:val="0"/>
          <w:bCs w:val="0"/>
          <w:color w:val="auto"/>
          <w:sz w:val="32"/>
          <w:szCs w:val="32"/>
        </w:rPr>
        <w:t>服务机构提交申请，符合规定的，由定点</w:t>
      </w:r>
      <w:r>
        <w:rPr>
          <w:rFonts w:hint="eastAsia" w:ascii="Times New Roman" w:hAnsi="Times New Roman" w:eastAsia="仿宋_GB2312" w:cs="Times New Roman"/>
          <w:b w:val="0"/>
          <w:bCs w:val="0"/>
          <w:color w:val="auto"/>
          <w:sz w:val="32"/>
          <w:szCs w:val="32"/>
          <w:lang w:val="en-US" w:eastAsia="zh-CN"/>
        </w:rPr>
        <w:t>长护</w:t>
      </w:r>
      <w:r>
        <w:rPr>
          <w:rFonts w:hint="eastAsia" w:ascii="Times New Roman" w:hAnsi="Times New Roman" w:eastAsia="仿宋_GB2312" w:cs="Times New Roman"/>
          <w:b w:val="0"/>
          <w:bCs w:val="0"/>
          <w:color w:val="auto"/>
          <w:sz w:val="32"/>
          <w:szCs w:val="32"/>
        </w:rPr>
        <w:t>服务机构为其向属地</w:t>
      </w:r>
      <w:r>
        <w:rPr>
          <w:rStyle w:val="12"/>
          <w:rFonts w:hint="eastAsia" w:ascii="Times New Roman" w:hAnsi="Times New Roman" w:eastAsia="仿宋_GB2312" w:cs="Times New Roman"/>
          <w:b w:val="0"/>
          <w:bCs w:val="0"/>
          <w:color w:val="auto"/>
          <w:sz w:val="32"/>
          <w:szCs w:val="32"/>
          <w:lang w:eastAsia="zh-CN"/>
        </w:rPr>
        <w:t>医疗保障</w:t>
      </w:r>
      <w:r>
        <w:rPr>
          <w:rStyle w:val="12"/>
          <w:rFonts w:hint="eastAsia" w:ascii="Times New Roman" w:hAnsi="Times New Roman" w:eastAsia="仿宋_GB2312" w:cs="Times New Roman"/>
          <w:b w:val="0"/>
          <w:bCs w:val="0"/>
          <w:color w:val="auto"/>
          <w:sz w:val="32"/>
          <w:szCs w:val="32"/>
        </w:rPr>
        <w:t>经办机构</w:t>
      </w:r>
      <w:r>
        <w:rPr>
          <w:rFonts w:hint="eastAsia" w:ascii="Times New Roman" w:hAnsi="Times New Roman" w:eastAsia="仿宋_GB2312" w:cs="Times New Roman"/>
          <w:b w:val="0"/>
          <w:bCs w:val="0"/>
          <w:color w:val="auto"/>
          <w:sz w:val="32"/>
          <w:szCs w:val="32"/>
        </w:rPr>
        <w:t>办理服务方式变更备案，并自办理变更备案手续次月起按变更后的护理方式享受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sz w:val="32"/>
          <w:szCs w:val="32"/>
        </w:rPr>
        <w:t>待遇。</w:t>
      </w:r>
    </w:p>
    <w:p w14:paraId="60E76B94">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仿宋_GB2312" w:cs="Times New Roman"/>
          <w:b w:val="0"/>
          <w:bCs w:val="0"/>
          <w:color w:val="auto"/>
          <w:kern w:val="2"/>
          <w:sz w:val="32"/>
          <w:szCs w:val="32"/>
          <w:u w:val="none"/>
          <w:lang w:val="en-US" w:eastAsia="zh-CN" w:bidi="ar"/>
        </w:rPr>
        <w:t>参保人在享受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待遇期间申请变更定点长护服务机构的，由参保人向经办机构提交选点变更申请，并自办理变更手续次月起由变更后的定点长护服务机构提供护理服务。</w:t>
      </w:r>
    </w:p>
    <w:p w14:paraId="27D4CE63">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b w:val="0"/>
          <w:bCs w:val="0"/>
          <w:color w:val="auto"/>
          <w:sz w:val="32"/>
          <w:szCs w:val="32"/>
          <w:u w:val="none"/>
        </w:rPr>
      </w:pPr>
      <w:r>
        <w:rPr>
          <w:rFonts w:hint="eastAsia" w:ascii="Times New Roman" w:hAnsi="Times New Roman" w:eastAsia="黑体" w:cs="Times New Roman"/>
          <w:kern w:val="0"/>
          <w:sz w:val="32"/>
          <w:szCs w:val="32"/>
        </w:rPr>
        <w:t>第二十</w:t>
      </w:r>
      <w:r>
        <w:rPr>
          <w:rFonts w:hint="eastAsia" w:ascii="Times New Roman" w:hAnsi="Times New Roman" w:eastAsia="黑体" w:cs="Times New Roman"/>
          <w:kern w:val="0"/>
          <w:sz w:val="32"/>
          <w:szCs w:val="32"/>
          <w:lang w:eastAsia="zh-CN"/>
        </w:rPr>
        <w:t>六</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b w:val="0"/>
          <w:bCs w:val="0"/>
          <w:color w:val="auto"/>
          <w:kern w:val="0"/>
          <w:sz w:val="32"/>
          <w:szCs w:val="32"/>
          <w:u w:val="none"/>
        </w:rPr>
        <w:t>按照国家和省的统一部署，做好</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0"/>
          <w:sz w:val="32"/>
          <w:szCs w:val="32"/>
          <w:u w:val="none"/>
        </w:rPr>
        <w:t>与经济困难的高龄、失能老年人补贴以及重度残疾人护理补贴等政策的衔接。领取工伤保险生活护理费的参保人</w:t>
      </w:r>
      <w:r>
        <w:rPr>
          <w:rFonts w:hint="eastAsia" w:ascii="Times New Roman" w:hAnsi="Times New Roman" w:eastAsia="仿宋_GB2312" w:cs="Times New Roman"/>
          <w:b w:val="0"/>
          <w:bCs w:val="0"/>
          <w:color w:val="auto"/>
          <w:kern w:val="0"/>
          <w:sz w:val="32"/>
          <w:szCs w:val="32"/>
          <w:u w:val="none"/>
          <w:lang w:eastAsia="zh-CN"/>
        </w:rPr>
        <w:t>，</w:t>
      </w:r>
      <w:r>
        <w:rPr>
          <w:rFonts w:hint="eastAsia" w:ascii="Times New Roman" w:hAnsi="Times New Roman" w:eastAsia="仿宋_GB2312" w:cs="Times New Roman"/>
          <w:b w:val="0"/>
          <w:bCs w:val="0"/>
          <w:color w:val="auto"/>
          <w:kern w:val="0"/>
          <w:sz w:val="32"/>
          <w:szCs w:val="32"/>
          <w:u w:val="none"/>
        </w:rPr>
        <w:t>不重复享受</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0"/>
          <w:sz w:val="32"/>
          <w:szCs w:val="32"/>
          <w:u w:val="none"/>
        </w:rPr>
        <w:t>相关服务待遇。</w:t>
      </w:r>
    </w:p>
    <w:p w14:paraId="76066772">
      <w:pPr>
        <w:pStyle w:val="18"/>
        <w:keepNext w:val="0"/>
        <w:keepLines w:val="0"/>
        <w:pageBreakBefore w:val="0"/>
        <w:widowControl w:val="0"/>
        <w:kinsoku/>
        <w:wordWrap/>
        <w:topLinePunct/>
        <w:autoSpaceDE w:val="0"/>
        <w:bidi w:val="0"/>
        <w:spacing w:before="0" w:after="0" w:line="560" w:lineRule="exact"/>
        <w:jc w:val="both"/>
        <w:textAlignment w:val="auto"/>
        <w:rPr>
          <w:rFonts w:hint="eastAsia" w:ascii="Times New Roman" w:hAnsi="Times New Roman" w:eastAsia="仿宋_GB2312" w:cs="Times New Roman"/>
          <w:sz w:val="32"/>
          <w:szCs w:val="32"/>
        </w:rPr>
      </w:pPr>
    </w:p>
    <w:p w14:paraId="15CF493D">
      <w:pPr>
        <w:keepNext w:val="0"/>
        <w:keepLines w:val="0"/>
        <w:pageBreakBefore w:val="0"/>
        <w:numPr>
          <w:ilvl w:val="0"/>
          <w:numId w:val="0"/>
        </w:numPr>
        <w:kinsoku/>
        <w:wordWrap/>
        <w:topLinePunct/>
        <w:autoSpaceDE w:val="0"/>
        <w:bidi w:val="0"/>
        <w:spacing w:line="560" w:lineRule="exact"/>
        <w:jc w:val="center"/>
        <w:textAlignment w:val="auto"/>
        <w:rPr>
          <w:rFonts w:hint="eastAsia" w:ascii="Times New Roman" w:hAnsi="Times New Roman" w:eastAsia="黑体" w:cs="Times New Roman"/>
          <w:sz w:val="32"/>
          <w:szCs w:val="32"/>
        </w:rPr>
      </w:pPr>
      <w:r>
        <w:rPr>
          <w:rFonts w:hint="eastAsia" w:ascii="Times New Roman" w:hAnsi="Times New Roman" w:eastAsia="黑体" w:cs="Times New Roman"/>
          <w:kern w:val="2"/>
          <w:sz w:val="32"/>
          <w:szCs w:val="32"/>
        </w:rPr>
        <w:t>第</w:t>
      </w:r>
      <w:r>
        <w:rPr>
          <w:rFonts w:hint="eastAsia" w:ascii="Times New Roman" w:hAnsi="Times New Roman" w:eastAsia="黑体" w:cs="Times New Roman"/>
          <w:kern w:val="2"/>
          <w:sz w:val="32"/>
          <w:szCs w:val="32"/>
          <w:lang w:eastAsia="zh-CN"/>
        </w:rPr>
        <w:t>五</w:t>
      </w:r>
      <w:r>
        <w:rPr>
          <w:rFonts w:hint="eastAsia" w:ascii="Times New Roman" w:hAnsi="Times New Roman" w:eastAsia="黑体" w:cs="Times New Roman"/>
          <w:kern w:val="2"/>
          <w:sz w:val="32"/>
          <w:szCs w:val="32"/>
        </w:rPr>
        <w:t>章</w:t>
      </w:r>
      <w:r>
        <w:rPr>
          <w:rFonts w:hint="eastAsia" w:ascii="Times New Roman" w:hAnsi="Times New Roman" w:eastAsia="黑体" w:cs="Times New Roman"/>
          <w:kern w:val="2"/>
          <w:sz w:val="32"/>
          <w:szCs w:val="32"/>
          <w:lang w:val="en-US" w:eastAsia="zh-CN"/>
        </w:rPr>
        <w:t xml:space="preserve"> </w:t>
      </w:r>
      <w:r>
        <w:rPr>
          <w:rFonts w:hint="eastAsia" w:ascii="Times New Roman" w:hAnsi="Times New Roman" w:eastAsia="黑体" w:cs="Times New Roman"/>
          <w:sz w:val="32"/>
          <w:szCs w:val="32"/>
        </w:rPr>
        <w:t>服务管理</w:t>
      </w:r>
    </w:p>
    <w:p w14:paraId="6E2E381C">
      <w:pPr>
        <w:keepNext w:val="0"/>
        <w:keepLines w:val="0"/>
        <w:pageBreakBefore w:val="0"/>
        <w:kinsoku/>
        <w:wordWrap/>
        <w:topLinePunct/>
        <w:autoSpaceDE w:val="0"/>
        <w:bidi w:val="0"/>
        <w:spacing w:line="560" w:lineRule="exact"/>
        <w:textAlignment w:val="auto"/>
        <w:rPr>
          <w:rFonts w:hint="eastAsia" w:ascii="Times New Roman" w:hAnsi="Times New Roman" w:eastAsia="仿宋_GB2312" w:cs="Times New Roman"/>
          <w:kern w:val="0"/>
          <w:sz w:val="32"/>
          <w:szCs w:val="32"/>
        </w:rPr>
      </w:pPr>
    </w:p>
    <w:p w14:paraId="1F07B3B2">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default" w:ascii="Times New Roman" w:hAnsi="Times New Roman" w:eastAsia="黑体" w:cs="Times New Roman"/>
          <w:snapToGrid w:val="0"/>
          <w:color w:val="auto"/>
          <w:spacing w:val="0"/>
          <w:kern w:val="56"/>
          <w:sz w:val="32"/>
          <w:szCs w:val="32"/>
          <w:highlight w:val="none"/>
          <w:lang w:val="en-US" w:eastAsia="zh-CN" w:bidi="ar-SA"/>
        </w:rPr>
        <w:t>第</w:t>
      </w:r>
      <w:r>
        <w:rPr>
          <w:rFonts w:hint="eastAsia" w:ascii="Times New Roman" w:hAnsi="Times New Roman" w:eastAsia="黑体" w:cs="Times New Roman"/>
          <w:snapToGrid w:val="0"/>
          <w:color w:val="auto"/>
          <w:spacing w:val="0"/>
          <w:kern w:val="56"/>
          <w:sz w:val="32"/>
          <w:szCs w:val="32"/>
          <w:highlight w:val="none"/>
          <w:lang w:val="en-US" w:eastAsia="zh-CN" w:bidi="ar-SA"/>
        </w:rPr>
        <w:t>二</w:t>
      </w:r>
      <w:r>
        <w:rPr>
          <w:rFonts w:hint="default" w:ascii="Times New Roman" w:hAnsi="Times New Roman" w:eastAsia="黑体" w:cs="Times New Roman"/>
          <w:snapToGrid w:val="0"/>
          <w:color w:val="auto"/>
          <w:spacing w:val="0"/>
          <w:kern w:val="56"/>
          <w:sz w:val="32"/>
          <w:szCs w:val="32"/>
          <w:highlight w:val="none"/>
          <w:lang w:val="en-US" w:eastAsia="zh-CN" w:bidi="ar-SA"/>
        </w:rPr>
        <w:t>十</w:t>
      </w:r>
      <w:r>
        <w:rPr>
          <w:rFonts w:hint="eastAsia" w:ascii="Times New Roman" w:hAnsi="Times New Roman" w:eastAsia="黑体" w:cs="Times New Roman"/>
          <w:snapToGrid w:val="0"/>
          <w:color w:val="auto"/>
          <w:spacing w:val="0"/>
          <w:kern w:val="56"/>
          <w:sz w:val="32"/>
          <w:szCs w:val="32"/>
          <w:highlight w:val="none"/>
          <w:lang w:val="en-US" w:eastAsia="zh-CN" w:bidi="ar-SA"/>
        </w:rPr>
        <w:t>七</w:t>
      </w:r>
      <w:r>
        <w:rPr>
          <w:rFonts w:hint="default" w:ascii="Times New Roman" w:hAnsi="Times New Roman" w:eastAsia="黑体" w:cs="Times New Roman"/>
          <w:snapToGrid w:val="0"/>
          <w:color w:val="auto"/>
          <w:spacing w:val="0"/>
          <w:kern w:val="56"/>
          <w:sz w:val="32"/>
          <w:szCs w:val="32"/>
          <w:highlight w:val="none"/>
          <w:lang w:val="en-US" w:eastAsia="zh-CN" w:bidi="ar-SA"/>
        </w:rPr>
        <w:t>条</w:t>
      </w:r>
      <w:r>
        <w:rPr>
          <w:rFonts w:hint="default" w:ascii="Times New Roman" w:hAnsi="Times New Roman" w:cs="Times New Roman"/>
          <w:snapToGrid w:val="0"/>
          <w:color w:val="auto"/>
          <w:spacing w:val="-6"/>
          <w:kern w:val="0"/>
          <w:sz w:val="32"/>
          <w:szCs w:val="32"/>
          <w:highlight w:val="none"/>
          <w:lang w:val="en-US" w:eastAsia="zh-CN" w:bidi="ar"/>
        </w:rPr>
        <w:t xml:space="preserve"> </w:t>
      </w:r>
      <w:r>
        <w:rPr>
          <w:rFonts w:hint="eastAsia" w:ascii="Times New Roman" w:hAnsi="Times New Roman" w:eastAsia="仿宋_GB2312" w:cs="Times New Roman"/>
          <w:b w:val="0"/>
          <w:bCs w:val="0"/>
          <w:color w:val="auto"/>
          <w:kern w:val="2"/>
          <w:sz w:val="32"/>
          <w:szCs w:val="32"/>
          <w:u w:val="none"/>
          <w:lang w:val="en-US" w:eastAsia="zh-CN" w:bidi="ar"/>
        </w:rPr>
        <w:t xml:space="preserve"> 市医疗保障行政部门建立符合长期护理保险服务特点的支付机制和协商谈判机制，针对不同服务类型，完善支付方式，明确按人次、按床日、按服务时长（服务包）等不同支付方式的适用范围。建立健全长期护理保险服务质量评价机制和费用控制激励约束机制。加强基金结算管理。</w:t>
      </w:r>
    </w:p>
    <w:p w14:paraId="0B85FA81">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rightChars="0" w:firstLine="640" w:firstLineChars="200"/>
        <w:jc w:val="both"/>
        <w:textAlignment w:val="auto"/>
        <w:rPr>
          <w:rStyle w:val="12"/>
          <w:rFonts w:hint="eastAsia" w:ascii="Times New Roman" w:hAnsi="Times New Roman" w:eastAsia="仿宋_GB2312" w:cs="Times New Roman"/>
          <w:b w:val="0"/>
          <w:color w:val="0070C0"/>
          <w:sz w:val="32"/>
          <w:szCs w:val="32"/>
          <w:lang w:val="en-US" w:eastAsia="zh-CN"/>
        </w:rPr>
      </w:pPr>
      <w:r>
        <w:rPr>
          <w:rFonts w:hint="default" w:ascii="Times New Roman" w:hAnsi="Times New Roman" w:eastAsia="黑体" w:cs="Times New Roman"/>
          <w:snapToGrid w:val="0"/>
          <w:color w:val="auto"/>
          <w:spacing w:val="0"/>
          <w:kern w:val="56"/>
          <w:sz w:val="32"/>
          <w:szCs w:val="32"/>
          <w:highlight w:val="none"/>
          <w:lang w:val="en-US" w:eastAsia="zh-CN" w:bidi="ar-SA"/>
        </w:rPr>
        <w:t>第</w:t>
      </w:r>
      <w:r>
        <w:rPr>
          <w:rFonts w:hint="eastAsia" w:ascii="Times New Roman" w:hAnsi="Times New Roman" w:eastAsia="黑体" w:cs="Times New Roman"/>
          <w:snapToGrid w:val="0"/>
          <w:color w:val="auto"/>
          <w:spacing w:val="0"/>
          <w:kern w:val="56"/>
          <w:sz w:val="32"/>
          <w:szCs w:val="32"/>
          <w:highlight w:val="none"/>
          <w:lang w:val="en-US" w:eastAsia="zh-CN" w:bidi="ar-SA"/>
        </w:rPr>
        <w:t>二十八</w:t>
      </w:r>
      <w:r>
        <w:rPr>
          <w:rFonts w:hint="default" w:ascii="Times New Roman" w:hAnsi="Times New Roman" w:eastAsia="黑体" w:cs="Times New Roman"/>
          <w:snapToGrid w:val="0"/>
          <w:color w:val="auto"/>
          <w:spacing w:val="0"/>
          <w:kern w:val="56"/>
          <w:sz w:val="32"/>
          <w:szCs w:val="32"/>
          <w:highlight w:val="none"/>
          <w:lang w:val="en-US" w:eastAsia="zh-CN" w:bidi="ar-SA"/>
        </w:rPr>
        <w:t>条</w:t>
      </w:r>
      <w:r>
        <w:rPr>
          <w:rFonts w:hint="default" w:ascii="Times New Roman" w:hAnsi="Times New Roman" w:cs="Times New Roman"/>
          <w:snapToGrid w:val="0"/>
          <w:color w:val="auto"/>
          <w:spacing w:val="-6"/>
          <w:kern w:val="0"/>
          <w:sz w:val="32"/>
          <w:szCs w:val="32"/>
          <w:highlight w:val="none"/>
          <w:lang w:val="en-US" w:eastAsia="zh-CN" w:bidi="ar"/>
        </w:rPr>
        <w:t xml:space="preserve"> </w:t>
      </w:r>
      <w:r>
        <w:rPr>
          <w:rFonts w:hint="eastAsia" w:ascii="Times New Roman" w:hAnsi="Times New Roman" w:eastAsia="仿宋_GB2312" w:cs="Times New Roman"/>
          <w:b w:val="0"/>
          <w:bCs w:val="0"/>
          <w:color w:val="auto"/>
          <w:kern w:val="2"/>
          <w:sz w:val="32"/>
          <w:szCs w:val="32"/>
          <w:u w:val="none"/>
          <w:lang w:val="en-US" w:eastAsia="zh-CN" w:bidi="ar"/>
        </w:rPr>
        <w:t xml:space="preserve"> </w:t>
      </w:r>
      <w:r>
        <w:rPr>
          <w:rFonts w:hint="default" w:ascii="Times New Roman" w:hAnsi="Times New Roman" w:eastAsia="仿宋_GB2312" w:cs="Times New Roman"/>
          <w:b w:val="0"/>
          <w:bCs w:val="0"/>
          <w:color w:val="auto"/>
          <w:kern w:val="2"/>
          <w:sz w:val="32"/>
          <w:szCs w:val="32"/>
          <w:u w:val="none"/>
          <w:lang w:val="en-US" w:eastAsia="zh-CN" w:bidi="ar"/>
        </w:rPr>
        <w:t>市医疗保障行政部门应当根据参保人长期护理服务需求、长期护理保险基金收支、长期护理服务资源等情况，统筹规划本市行政区域内定点长护服务机构的资源配置。</w:t>
      </w:r>
    </w:p>
    <w:p w14:paraId="35ACDB64">
      <w:pPr>
        <w:keepNext w:val="0"/>
        <w:keepLines w:val="0"/>
        <w:pageBreakBefore w:val="0"/>
        <w:kinsoku/>
        <w:wordWrap/>
        <w:topLinePunct/>
        <w:autoSpaceDE w:val="0"/>
        <w:bidi w:val="0"/>
        <w:spacing w:line="560" w:lineRule="exact"/>
        <w:ind w:firstLine="640"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w:t>
      </w:r>
      <w:r>
        <w:rPr>
          <w:rFonts w:hint="eastAsia" w:ascii="Times New Roman" w:hAnsi="Times New Roman" w:eastAsia="黑体" w:cs="Times New Roman"/>
          <w:kern w:val="0"/>
          <w:sz w:val="32"/>
          <w:szCs w:val="32"/>
          <w:lang w:eastAsia="zh-CN"/>
        </w:rPr>
        <w:t>二十九</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lang w:eastAsia="zh-CN"/>
        </w:rPr>
        <w:t>医疗保障</w:t>
      </w:r>
      <w:r>
        <w:rPr>
          <w:rFonts w:hint="eastAsia" w:ascii="Times New Roman" w:hAnsi="Times New Roman" w:eastAsia="仿宋_GB2312" w:cs="Times New Roman"/>
          <w:kern w:val="0"/>
          <w:sz w:val="32"/>
          <w:szCs w:val="32"/>
        </w:rPr>
        <w:t>经办机构负责定点评估机构和定点长护服务机构协议管理、核查考核、费用审核结算、信息系统以及对商保公司等第三方机构的考核管理等。</w:t>
      </w:r>
    </w:p>
    <w:p w14:paraId="3E724B84">
      <w:pPr>
        <w:keepNext w:val="0"/>
        <w:keepLines w:val="0"/>
        <w:pageBreakBefore w:val="0"/>
        <w:kinsoku/>
        <w:wordWrap/>
        <w:topLinePunct/>
        <w:autoSpaceDE w:val="0"/>
        <w:bidi w:val="0"/>
        <w:spacing w:line="560" w:lineRule="exact"/>
        <w:ind w:firstLine="640"/>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黑体" w:cs="Times New Roman"/>
          <w:kern w:val="0"/>
          <w:sz w:val="32"/>
          <w:szCs w:val="32"/>
        </w:rPr>
        <w:t>第三十条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b w:val="0"/>
          <w:bCs w:val="0"/>
          <w:color w:val="auto"/>
          <w:kern w:val="2"/>
          <w:sz w:val="32"/>
          <w:szCs w:val="32"/>
          <w:u w:val="none"/>
          <w:lang w:val="en-US" w:eastAsia="zh-CN" w:bidi="ar"/>
        </w:rPr>
        <w:t>坚持政府主导，构建以政府经办为基础、社会力量为补充的经办管理机制。市医疗保</w:t>
      </w:r>
      <w:r>
        <w:rPr>
          <w:rFonts w:hint="eastAsia" w:ascii="Times New Roman" w:hAnsi="Times New Roman" w:eastAsia="仿宋_GB2312" w:cs="Times New Roman"/>
          <w:kern w:val="0"/>
          <w:sz w:val="32"/>
          <w:szCs w:val="32"/>
          <w:lang w:val="en-US" w:eastAsia="zh-CN"/>
        </w:rPr>
        <w:t>障经办机构可按照规定通过公开招标等方式选择第三方机构等社会力量参与</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kern w:val="0"/>
          <w:sz w:val="32"/>
          <w:szCs w:val="32"/>
          <w:lang w:val="en-US" w:eastAsia="zh-CN"/>
        </w:rPr>
        <w:t>经办和评估服务。在具体确定第三方机构时，应充分考虑服务费报价、经营状况、风险评级、项目经验、团队建设、系统支撑能力以及经办服务方案等情况。市医疗保障经办机构应综合考虑服务人口、机构运行成本、工作绩效等因素合理确定第三方机构的服务费</w:t>
      </w:r>
      <w:r>
        <w:rPr>
          <w:rFonts w:hint="eastAsia" w:ascii="Times New Roman" w:hAnsi="Times New Roman" w:eastAsia="仿宋_GB2312" w:cs="Times New Roman"/>
          <w:b w:val="0"/>
          <w:bCs w:val="0"/>
          <w:color w:val="auto"/>
          <w:kern w:val="2"/>
          <w:sz w:val="32"/>
          <w:szCs w:val="32"/>
          <w:u w:val="none"/>
          <w:lang w:val="en-US" w:eastAsia="zh-CN" w:bidi="ar"/>
        </w:rPr>
        <w:t>用，并按规定从当年长期护理保险基金收入中计提合理比例予以支付，具体应在委托合同中约定。</w:t>
      </w:r>
    </w:p>
    <w:p w14:paraId="21B4BE7F">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黑体" w:cs="Times New Roman"/>
          <w:kern w:val="0"/>
          <w:sz w:val="32"/>
          <w:szCs w:val="32"/>
        </w:rPr>
        <w:t>第三十</w:t>
      </w:r>
      <w:r>
        <w:rPr>
          <w:rFonts w:hint="eastAsia" w:ascii="Times New Roman" w:hAnsi="Times New Roman" w:eastAsia="黑体" w:cs="Times New Roman"/>
          <w:kern w:val="0"/>
          <w:sz w:val="32"/>
          <w:szCs w:val="32"/>
          <w:lang w:eastAsia="zh-CN"/>
        </w:rPr>
        <w:t>一</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失能等级评估机构实行定点管理，申请成为定点评估机构的，应当符合国家医疗保障局《长期护理保险失能等级评估机构</w:t>
      </w:r>
      <w:r>
        <w:rPr>
          <w:rFonts w:hint="eastAsia" w:ascii="Times New Roman" w:hAnsi="Times New Roman" w:eastAsia="仿宋_GB2312" w:cs="Times New Roman"/>
          <w:color w:val="auto"/>
          <w:sz w:val="32"/>
          <w:szCs w:val="32"/>
        </w:rPr>
        <w:t>定点管理办法（试行）》规定的准入条件，经审核合格后与属地</w:t>
      </w:r>
      <w:r>
        <w:rPr>
          <w:rFonts w:hint="eastAsia" w:ascii="Times New Roman" w:hAnsi="Times New Roman" w:eastAsia="仿宋_GB2312" w:cs="Times New Roman"/>
          <w:color w:val="auto"/>
          <w:sz w:val="32"/>
          <w:szCs w:val="32"/>
          <w:lang w:eastAsia="zh-CN"/>
        </w:rPr>
        <w:t>医疗保障</w:t>
      </w:r>
      <w:r>
        <w:rPr>
          <w:rFonts w:hint="eastAsia" w:ascii="Times New Roman" w:hAnsi="Times New Roman" w:eastAsia="仿宋_GB2312" w:cs="Times New Roman"/>
          <w:color w:val="auto"/>
          <w:sz w:val="32"/>
          <w:szCs w:val="32"/>
        </w:rPr>
        <w:t>经办机构签订评估服务协议，实行协议管理。</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sz w:val="32"/>
          <w:szCs w:val="32"/>
        </w:rPr>
        <w:t>评估机构</w:t>
      </w:r>
      <w:r>
        <w:rPr>
          <w:rFonts w:hint="eastAsia" w:ascii="Times New Roman" w:hAnsi="Times New Roman" w:eastAsia="仿宋_GB2312" w:cs="Times New Roman"/>
          <w:color w:val="auto"/>
          <w:sz w:val="32"/>
          <w:szCs w:val="32"/>
          <w:lang w:val="en-US" w:eastAsia="zh-CN"/>
        </w:rPr>
        <w:t>定点</w:t>
      </w:r>
      <w:r>
        <w:rPr>
          <w:rFonts w:hint="eastAsia" w:ascii="Times New Roman" w:hAnsi="Times New Roman" w:eastAsia="仿宋_GB2312" w:cs="Times New Roman"/>
          <w:color w:val="auto"/>
          <w:sz w:val="32"/>
          <w:szCs w:val="32"/>
        </w:rPr>
        <w:t>管理</w:t>
      </w:r>
      <w:r>
        <w:rPr>
          <w:rFonts w:hint="eastAsia" w:ascii="Times New Roman" w:hAnsi="Times New Roman" w:eastAsia="仿宋_GB2312" w:cs="Times New Roman"/>
          <w:color w:val="auto"/>
          <w:sz w:val="32"/>
          <w:szCs w:val="32"/>
          <w:lang w:eastAsia="zh-CN"/>
        </w:rPr>
        <w:t>办法按照国家、省和市相关规定</w:t>
      </w:r>
      <w:r>
        <w:rPr>
          <w:rFonts w:hint="eastAsia" w:ascii="Times New Roman" w:hAnsi="Times New Roman" w:eastAsia="仿宋_GB2312" w:cs="Times New Roman"/>
          <w:color w:val="auto"/>
          <w:sz w:val="32"/>
          <w:szCs w:val="32"/>
          <w:lang w:val="en-US" w:eastAsia="zh-CN"/>
        </w:rPr>
        <w:t>执行</w:t>
      </w:r>
      <w:r>
        <w:rPr>
          <w:rFonts w:hint="eastAsia" w:ascii="Times New Roman" w:hAnsi="Times New Roman" w:eastAsia="仿宋_GB2312" w:cs="Times New Roman"/>
          <w:color w:val="auto"/>
          <w:sz w:val="32"/>
          <w:szCs w:val="32"/>
          <w:lang w:eastAsia="zh-CN"/>
        </w:rPr>
        <w:t>。</w:t>
      </w:r>
    </w:p>
    <w:p w14:paraId="2B1F6A17">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第三十</w:t>
      </w:r>
      <w:r>
        <w:rPr>
          <w:rFonts w:hint="eastAsia" w:ascii="Times New Roman" w:hAnsi="Times New Roman" w:eastAsia="黑体" w:cs="Times New Roman"/>
          <w:kern w:val="0"/>
          <w:sz w:val="32"/>
          <w:szCs w:val="32"/>
          <w:lang w:eastAsia="zh-CN"/>
        </w:rPr>
        <w:t>二</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失能等级评估机构应</w:t>
      </w:r>
      <w:r>
        <w:rPr>
          <w:rFonts w:hint="eastAsia" w:ascii="Times New Roman" w:hAnsi="Times New Roman" w:eastAsia="仿宋_GB2312" w:cs="Times New Roman"/>
          <w:kern w:val="0"/>
          <w:sz w:val="32"/>
          <w:szCs w:val="32"/>
        </w:rPr>
        <w:t>遵守医疗保障法律法规、规章及有关政策，按照本办法规定和协议约定向参保人提供客观公正的评估服务，并主动接受监督检查。</w:t>
      </w:r>
    </w:p>
    <w:p w14:paraId="26A21720">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黑体" w:cs="Times New Roman"/>
          <w:kern w:val="0"/>
          <w:sz w:val="32"/>
          <w:szCs w:val="32"/>
        </w:rPr>
        <w:t>第三十</w:t>
      </w:r>
      <w:r>
        <w:rPr>
          <w:rFonts w:hint="eastAsia" w:ascii="Times New Roman" w:hAnsi="Times New Roman" w:eastAsia="黑体" w:cs="Times New Roman"/>
          <w:kern w:val="0"/>
          <w:sz w:val="32"/>
          <w:szCs w:val="32"/>
          <w:lang w:eastAsia="zh-CN"/>
        </w:rPr>
        <w:t>三</w:t>
      </w:r>
      <w:r>
        <w:rPr>
          <w:rFonts w:hint="eastAsia" w:ascii="Times New Roman" w:hAnsi="Times New Roman" w:eastAsia="黑体" w:cs="Times New Roman"/>
          <w:kern w:val="0"/>
          <w:sz w:val="32"/>
          <w:szCs w:val="32"/>
        </w:rPr>
        <w:t>条</w:t>
      </w:r>
      <w:r>
        <w:rPr>
          <w:rStyle w:val="12"/>
          <w:rFonts w:hint="eastAsia" w:ascii="Times New Roman" w:hAnsi="Times New Roman" w:eastAsia="仿宋_GB2312" w:cs="Times New Roman"/>
          <w:kern w:val="0"/>
          <w:sz w:val="32"/>
          <w:szCs w:val="32"/>
          <w:lang w:bidi="ar"/>
        </w:rPr>
        <w:t xml:space="preserve">  </w:t>
      </w:r>
      <w:r>
        <w:rPr>
          <w:rFonts w:hint="eastAsia" w:ascii="Times New Roman" w:hAnsi="Times New Roman" w:eastAsia="仿宋_GB2312" w:cs="Times New Roman"/>
          <w:kern w:val="0"/>
          <w:sz w:val="32"/>
          <w:szCs w:val="32"/>
        </w:rPr>
        <w:t>长护服务机构实行定点管理，符合条件的养老机构、医疗机构或者其</w:t>
      </w:r>
      <w:r>
        <w:rPr>
          <w:rFonts w:hint="eastAsia" w:ascii="Times New Roman" w:hAnsi="Times New Roman" w:eastAsia="仿宋_GB2312" w:cs="Times New Roman"/>
          <w:color w:val="auto"/>
          <w:kern w:val="0"/>
          <w:sz w:val="32"/>
          <w:szCs w:val="32"/>
        </w:rPr>
        <w:t>他服务机构，可以自愿向属地</w:t>
      </w:r>
      <w:r>
        <w:rPr>
          <w:rFonts w:hint="eastAsia" w:ascii="Times New Roman" w:hAnsi="Times New Roman" w:eastAsia="仿宋_GB2312" w:cs="Times New Roman"/>
          <w:color w:val="auto"/>
          <w:sz w:val="32"/>
          <w:szCs w:val="32"/>
          <w:lang w:eastAsia="zh-CN"/>
        </w:rPr>
        <w:t>医疗保障</w:t>
      </w:r>
      <w:r>
        <w:rPr>
          <w:rFonts w:hint="eastAsia" w:ascii="Times New Roman" w:hAnsi="Times New Roman" w:eastAsia="仿宋_GB2312" w:cs="Times New Roman"/>
          <w:color w:val="auto"/>
          <w:sz w:val="32"/>
          <w:szCs w:val="32"/>
        </w:rPr>
        <w:t>经办机构</w:t>
      </w:r>
      <w:r>
        <w:rPr>
          <w:rFonts w:hint="eastAsia" w:ascii="Times New Roman" w:hAnsi="Times New Roman" w:eastAsia="仿宋_GB2312" w:cs="Times New Roman"/>
          <w:color w:val="auto"/>
          <w:kern w:val="0"/>
          <w:sz w:val="32"/>
          <w:szCs w:val="32"/>
        </w:rPr>
        <w:t>申请成为长护服务机构。长护服务机</w:t>
      </w:r>
      <w:r>
        <w:rPr>
          <w:rFonts w:hint="eastAsia" w:ascii="Times New Roman" w:hAnsi="Times New Roman" w:eastAsia="仿宋_GB2312" w:cs="Times New Roman"/>
          <w:color w:val="auto"/>
          <w:spacing w:val="6"/>
          <w:kern w:val="0"/>
          <w:sz w:val="32"/>
          <w:szCs w:val="32"/>
        </w:rPr>
        <w:t>构</w:t>
      </w:r>
      <w:r>
        <w:rPr>
          <w:rFonts w:hint="eastAsia" w:ascii="Times New Roman" w:hAnsi="Times New Roman" w:eastAsia="仿宋_GB2312" w:cs="Times New Roman"/>
          <w:color w:val="auto"/>
          <w:sz w:val="32"/>
          <w:szCs w:val="32"/>
          <w:lang w:val="en-US" w:eastAsia="zh-CN"/>
        </w:rPr>
        <w:t>定点</w:t>
      </w:r>
      <w:r>
        <w:rPr>
          <w:rFonts w:hint="eastAsia" w:ascii="Times New Roman" w:hAnsi="Times New Roman" w:eastAsia="仿宋_GB2312" w:cs="Times New Roman"/>
          <w:color w:val="auto"/>
          <w:spacing w:val="6"/>
          <w:kern w:val="0"/>
          <w:sz w:val="32"/>
          <w:szCs w:val="32"/>
        </w:rPr>
        <w:t>管理办法按照国家、省</w:t>
      </w:r>
      <w:r>
        <w:rPr>
          <w:rFonts w:hint="eastAsia" w:ascii="Times New Roman" w:hAnsi="Times New Roman" w:eastAsia="仿宋_GB2312" w:cs="Times New Roman"/>
          <w:color w:val="auto"/>
          <w:spacing w:val="6"/>
          <w:kern w:val="0"/>
          <w:sz w:val="32"/>
          <w:szCs w:val="32"/>
          <w:lang w:eastAsia="zh-CN"/>
        </w:rPr>
        <w:t>和市相</w:t>
      </w:r>
      <w:r>
        <w:rPr>
          <w:rFonts w:hint="eastAsia" w:ascii="Times New Roman" w:hAnsi="Times New Roman" w:eastAsia="仿宋_GB2312" w:cs="Times New Roman"/>
          <w:color w:val="auto"/>
          <w:spacing w:val="6"/>
          <w:kern w:val="0"/>
          <w:sz w:val="32"/>
          <w:szCs w:val="32"/>
        </w:rPr>
        <w:t>关规定</w:t>
      </w:r>
      <w:r>
        <w:rPr>
          <w:rFonts w:hint="eastAsia" w:ascii="Times New Roman" w:hAnsi="Times New Roman" w:eastAsia="仿宋_GB2312" w:cs="Times New Roman"/>
          <w:color w:val="auto"/>
          <w:spacing w:val="6"/>
          <w:kern w:val="0"/>
          <w:sz w:val="32"/>
          <w:szCs w:val="32"/>
          <w:lang w:val="en-US" w:eastAsia="zh-CN"/>
        </w:rPr>
        <w:t>执行</w:t>
      </w:r>
      <w:r>
        <w:rPr>
          <w:rFonts w:hint="eastAsia" w:ascii="Times New Roman" w:hAnsi="Times New Roman" w:eastAsia="仿宋_GB2312" w:cs="Times New Roman"/>
          <w:color w:val="auto"/>
          <w:spacing w:val="6"/>
          <w:kern w:val="0"/>
          <w:sz w:val="32"/>
          <w:szCs w:val="32"/>
        </w:rPr>
        <w:t>。</w:t>
      </w:r>
    </w:p>
    <w:p w14:paraId="5E1DF787">
      <w:pPr>
        <w:pStyle w:val="7"/>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color w:val="auto"/>
          <w:kern w:val="2"/>
          <w:sz w:val="32"/>
          <w:szCs w:val="32"/>
          <w:u w:val="none"/>
          <w:lang w:val="en-US" w:eastAsia="zh-CN" w:bidi="ar"/>
        </w:rPr>
      </w:pPr>
      <w:r>
        <w:rPr>
          <w:rFonts w:hint="default" w:ascii="Times New Roman" w:hAnsi="Times New Roman" w:eastAsia="黑体" w:cs="Times New Roman"/>
          <w:snapToGrid w:val="0"/>
          <w:color w:val="auto"/>
          <w:spacing w:val="0"/>
          <w:kern w:val="56"/>
          <w:sz w:val="32"/>
          <w:szCs w:val="32"/>
          <w:highlight w:val="none"/>
          <w:lang w:val="en-US" w:eastAsia="zh-CN" w:bidi="ar-SA"/>
        </w:rPr>
        <w:t>第</w:t>
      </w:r>
      <w:r>
        <w:rPr>
          <w:rFonts w:hint="eastAsia" w:ascii="Times New Roman" w:hAnsi="Times New Roman" w:eastAsia="黑体" w:cs="Times New Roman"/>
          <w:snapToGrid w:val="0"/>
          <w:color w:val="auto"/>
          <w:spacing w:val="0"/>
          <w:kern w:val="56"/>
          <w:sz w:val="32"/>
          <w:szCs w:val="32"/>
          <w:highlight w:val="none"/>
          <w:lang w:val="en-US" w:eastAsia="zh-CN" w:bidi="ar-SA"/>
        </w:rPr>
        <w:t>三</w:t>
      </w:r>
      <w:r>
        <w:rPr>
          <w:rFonts w:hint="default" w:ascii="Times New Roman" w:hAnsi="Times New Roman" w:eastAsia="黑体" w:cs="Times New Roman"/>
          <w:snapToGrid w:val="0"/>
          <w:color w:val="auto"/>
          <w:spacing w:val="0"/>
          <w:kern w:val="56"/>
          <w:sz w:val="32"/>
          <w:szCs w:val="32"/>
          <w:highlight w:val="none"/>
          <w:lang w:val="en-US" w:eastAsia="zh-CN" w:bidi="ar-SA"/>
        </w:rPr>
        <w:t>十</w:t>
      </w:r>
      <w:r>
        <w:rPr>
          <w:rFonts w:hint="eastAsia" w:ascii="Times New Roman" w:hAnsi="Times New Roman" w:eastAsia="黑体" w:cs="Times New Roman"/>
          <w:snapToGrid w:val="0"/>
          <w:color w:val="auto"/>
          <w:spacing w:val="0"/>
          <w:kern w:val="56"/>
          <w:sz w:val="32"/>
          <w:szCs w:val="32"/>
          <w:highlight w:val="none"/>
          <w:lang w:val="en-US" w:eastAsia="zh-CN" w:bidi="ar-SA"/>
        </w:rPr>
        <w:t>四</w:t>
      </w:r>
      <w:r>
        <w:rPr>
          <w:rFonts w:hint="default" w:ascii="Times New Roman" w:hAnsi="Times New Roman" w:eastAsia="黑体" w:cs="Times New Roman"/>
          <w:snapToGrid w:val="0"/>
          <w:color w:val="auto"/>
          <w:spacing w:val="0"/>
          <w:kern w:val="56"/>
          <w:sz w:val="32"/>
          <w:szCs w:val="32"/>
          <w:highlight w:val="none"/>
          <w:lang w:val="en-US" w:eastAsia="zh-CN" w:bidi="ar-SA"/>
        </w:rPr>
        <w:t>条</w:t>
      </w:r>
      <w:r>
        <w:rPr>
          <w:rFonts w:hint="default" w:ascii="Times New Roman" w:hAnsi="Times New Roman" w:cs="Times New Roman"/>
          <w:snapToGrid w:val="0"/>
          <w:color w:val="auto"/>
          <w:spacing w:val="-6"/>
          <w:kern w:val="0"/>
          <w:sz w:val="32"/>
          <w:szCs w:val="32"/>
          <w:highlight w:val="none"/>
          <w:lang w:val="en-US" w:eastAsia="zh-CN" w:bidi="ar"/>
        </w:rPr>
        <w:t xml:space="preserve"> </w:t>
      </w:r>
      <w:r>
        <w:rPr>
          <w:rFonts w:hint="eastAsia" w:ascii="Times New Roman" w:hAnsi="Times New Roman" w:eastAsia="仿宋_GB2312" w:cs="Times New Roman"/>
          <w:b w:val="0"/>
          <w:bCs w:val="0"/>
          <w:color w:val="auto"/>
          <w:kern w:val="2"/>
          <w:sz w:val="32"/>
          <w:szCs w:val="32"/>
          <w:u w:val="none"/>
          <w:lang w:val="en-US" w:eastAsia="zh-CN" w:bidi="ar"/>
        </w:rPr>
        <w:t xml:space="preserve"> </w:t>
      </w:r>
      <w:r>
        <w:rPr>
          <w:rFonts w:hint="default" w:ascii="Times New Roman" w:hAnsi="Times New Roman" w:eastAsia="仿宋_GB2312" w:cs="Times New Roman"/>
          <w:b w:val="0"/>
          <w:bCs w:val="0"/>
          <w:color w:val="auto"/>
          <w:kern w:val="2"/>
          <w:sz w:val="32"/>
          <w:szCs w:val="32"/>
          <w:u w:val="none"/>
          <w:lang w:val="en-US" w:eastAsia="zh-CN" w:bidi="ar"/>
        </w:rPr>
        <w:t>定点长护服务机构全面实行收费公示和费用清单制度。医疗护理服务价格参照</w:t>
      </w:r>
      <w:r>
        <w:rPr>
          <w:rFonts w:hint="eastAsia" w:ascii="Times New Roman" w:hAnsi="Times New Roman" w:eastAsia="仿宋_GB2312" w:cs="Times New Roman"/>
          <w:b w:val="0"/>
          <w:bCs w:val="0"/>
          <w:color w:val="auto"/>
          <w:kern w:val="2"/>
          <w:sz w:val="32"/>
          <w:szCs w:val="32"/>
          <w:u w:val="none"/>
          <w:lang w:val="en-US" w:eastAsia="zh-CN" w:bidi="ar"/>
        </w:rPr>
        <w:t>本</w:t>
      </w:r>
      <w:r>
        <w:rPr>
          <w:rFonts w:hint="default" w:ascii="Times New Roman" w:hAnsi="Times New Roman" w:eastAsia="仿宋_GB2312" w:cs="Times New Roman"/>
          <w:b w:val="0"/>
          <w:bCs w:val="0"/>
          <w:color w:val="auto"/>
          <w:kern w:val="2"/>
          <w:sz w:val="32"/>
          <w:szCs w:val="32"/>
          <w:u w:val="none"/>
          <w:lang w:val="en-US" w:eastAsia="zh-CN" w:bidi="ar"/>
        </w:rPr>
        <w:t>市定点医疗机构医疗服务价格政策执行，生活照护服务可以由定点长护服务机构按照公平合理、诚实守信、质价相符的原则确定收费价格，同一项目收费不得高于非参保人收费价格。定点长护服务机构应当配合医疗保障部门做好长期护理服务价格、用量等监测工作。</w:t>
      </w:r>
    </w:p>
    <w:p w14:paraId="3A357AD0">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Style w:val="12"/>
          <w:rFonts w:hint="default" w:ascii="Times New Roman" w:hAnsi="Times New Roman" w:eastAsia="仿宋_GB2312" w:cs="Times New Roman"/>
          <w:b w:val="0"/>
          <w:color w:val="92D050"/>
          <w:sz w:val="32"/>
          <w:szCs w:val="32"/>
          <w:lang w:val="en-US" w:eastAsia="zh-CN"/>
        </w:rPr>
      </w:pPr>
      <w:r>
        <w:rPr>
          <w:rFonts w:hint="eastAsia" w:ascii="Times New Roman" w:hAnsi="Times New Roman" w:eastAsia="黑体" w:cs="Times New Roman"/>
          <w:sz w:val="32"/>
          <w:szCs w:val="32"/>
        </w:rPr>
        <w:t>第</w:t>
      </w:r>
      <w:r>
        <w:rPr>
          <w:rFonts w:hint="eastAsia" w:ascii="Times New Roman" w:hAnsi="Times New Roman" w:eastAsia="黑体" w:cs="Times New Roman"/>
          <w:kern w:val="0"/>
          <w:sz w:val="32"/>
          <w:szCs w:val="32"/>
          <w:lang w:eastAsia="zh-CN"/>
        </w:rPr>
        <w:t>三十五</w:t>
      </w:r>
      <w:r>
        <w:rPr>
          <w:rFonts w:hint="eastAsia" w:ascii="Times New Roman" w:hAnsi="Times New Roman" w:eastAsia="黑体" w:cs="Times New Roman"/>
          <w:kern w:val="0"/>
          <w:sz w:val="32"/>
          <w:szCs w:val="32"/>
        </w:rPr>
        <w:t>条</w:t>
      </w:r>
      <w:r>
        <w:rPr>
          <w:rFonts w:hint="eastAsia" w:ascii="Times New Roman" w:hAnsi="Times New Roman" w:eastAsia="仿宋_GB2312" w:cs="Times New Roman"/>
          <w:b/>
          <w:bCs/>
          <w:sz w:val="32"/>
          <w:szCs w:val="32"/>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待遇享受人员发生的</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费用由定点服务机构通过信息系统记账结算，其中属于</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基金支付部分</w:t>
      </w:r>
      <w:r>
        <w:rPr>
          <w:rFonts w:hint="eastAsia" w:ascii="Times New Roman" w:hAnsi="Times New Roman" w:eastAsia="仿宋_GB2312" w:cs="Times New Roman"/>
          <w:color w:val="auto"/>
          <w:sz w:val="32"/>
          <w:szCs w:val="32"/>
        </w:rPr>
        <w:t>，由定点</w:t>
      </w:r>
      <w:r>
        <w:rPr>
          <w:rFonts w:hint="eastAsia" w:ascii="Times New Roman" w:hAnsi="Times New Roman" w:eastAsia="仿宋_GB2312" w:cs="Times New Roman"/>
          <w:color w:val="auto"/>
          <w:sz w:val="32"/>
          <w:szCs w:val="32"/>
          <w:lang w:val="en-US" w:eastAsia="zh-CN"/>
        </w:rPr>
        <w:t>长护</w:t>
      </w:r>
      <w:r>
        <w:rPr>
          <w:rFonts w:hint="eastAsia" w:ascii="Times New Roman" w:hAnsi="Times New Roman" w:eastAsia="仿宋_GB2312" w:cs="Times New Roman"/>
          <w:color w:val="auto"/>
          <w:sz w:val="32"/>
          <w:szCs w:val="32"/>
        </w:rPr>
        <w:t>服务机构按月向</w:t>
      </w:r>
      <w:r>
        <w:rPr>
          <w:rFonts w:hint="eastAsia" w:ascii="Times New Roman" w:hAnsi="Times New Roman" w:eastAsia="仿宋_GB2312" w:cs="Times New Roman"/>
          <w:color w:val="auto"/>
          <w:sz w:val="32"/>
          <w:szCs w:val="32"/>
          <w:lang w:eastAsia="zh-CN"/>
        </w:rPr>
        <w:t>医疗保障</w:t>
      </w:r>
      <w:r>
        <w:rPr>
          <w:rFonts w:hint="eastAsia" w:ascii="Times New Roman" w:hAnsi="Times New Roman" w:eastAsia="仿宋_GB2312" w:cs="Times New Roman"/>
          <w:color w:val="auto"/>
          <w:sz w:val="32"/>
          <w:szCs w:val="32"/>
        </w:rPr>
        <w:t>经办机构申报结算；属个人负担部分，由参保人员与定点</w:t>
      </w:r>
      <w:r>
        <w:rPr>
          <w:rFonts w:hint="eastAsia" w:ascii="Times New Roman" w:hAnsi="Times New Roman" w:eastAsia="仿宋_GB2312" w:cs="Times New Roman"/>
          <w:color w:val="auto"/>
          <w:sz w:val="32"/>
          <w:szCs w:val="32"/>
          <w:lang w:val="en-US" w:eastAsia="zh-CN"/>
        </w:rPr>
        <w:t>长护</w:t>
      </w:r>
      <w:r>
        <w:rPr>
          <w:rFonts w:hint="eastAsia" w:ascii="Times New Roman" w:hAnsi="Times New Roman" w:eastAsia="仿宋_GB2312" w:cs="Times New Roman"/>
          <w:color w:val="auto"/>
          <w:sz w:val="32"/>
          <w:szCs w:val="32"/>
        </w:rPr>
        <w:t>服务机构结算。</w:t>
      </w:r>
    </w:p>
    <w:p w14:paraId="3434AD12">
      <w:pPr>
        <w:keepNext w:val="0"/>
        <w:keepLines w:val="0"/>
        <w:pageBreakBefore w:val="0"/>
        <w:kinsoku/>
        <w:wordWrap/>
        <w:topLinePunct/>
        <w:autoSpaceDE w:val="0"/>
        <w:bidi w:val="0"/>
        <w:spacing w:line="560" w:lineRule="exact"/>
        <w:ind w:firstLine="600"/>
        <w:textAlignment w:val="auto"/>
        <w:rPr>
          <w:rFonts w:hint="eastAsia" w:ascii="Times New Roman" w:hAnsi="Times New Roman" w:eastAsia="仿宋_GB2312" w:cs="Times New Roman"/>
          <w:color w:val="auto"/>
          <w:kern w:val="0"/>
          <w:sz w:val="32"/>
          <w:szCs w:val="32"/>
        </w:rPr>
      </w:pPr>
      <w:r>
        <w:rPr>
          <w:rFonts w:hint="eastAsia" w:ascii="Times New Roman" w:hAnsi="Times New Roman" w:eastAsia="黑体" w:cs="Times New Roman"/>
          <w:color w:val="auto"/>
          <w:kern w:val="0"/>
          <w:sz w:val="32"/>
          <w:szCs w:val="32"/>
        </w:rPr>
        <w:t>第三十</w:t>
      </w:r>
      <w:r>
        <w:rPr>
          <w:rFonts w:hint="eastAsia" w:ascii="Times New Roman" w:hAnsi="Times New Roman" w:eastAsia="黑体" w:cs="Times New Roman"/>
          <w:color w:val="auto"/>
          <w:kern w:val="0"/>
          <w:sz w:val="32"/>
          <w:szCs w:val="32"/>
          <w:lang w:eastAsia="zh-CN"/>
        </w:rPr>
        <w:t>六</w:t>
      </w:r>
      <w:r>
        <w:rPr>
          <w:rFonts w:hint="eastAsia" w:ascii="Times New Roman" w:hAnsi="Times New Roman" w:eastAsia="黑体" w:cs="Times New Roman"/>
          <w:color w:val="auto"/>
          <w:kern w:val="0"/>
          <w:sz w:val="32"/>
          <w:szCs w:val="32"/>
        </w:rPr>
        <w:t>条</w:t>
      </w:r>
      <w:r>
        <w:rPr>
          <w:rStyle w:val="12"/>
          <w:rFonts w:hint="eastAsia" w:ascii="Times New Roman" w:hAnsi="Times New Roman" w:eastAsia="仿宋_GB2312" w:cs="Times New Roman"/>
          <w:color w:val="auto"/>
          <w:kern w:val="0"/>
          <w:sz w:val="32"/>
          <w:szCs w:val="32"/>
          <w:lang w:bidi="ar"/>
        </w:rPr>
        <w:t xml:space="preserve">  </w:t>
      </w:r>
      <w:r>
        <w:rPr>
          <w:rFonts w:hint="eastAsia" w:ascii="Times New Roman" w:hAnsi="Times New Roman" w:eastAsia="仿宋_GB2312" w:cs="Times New Roman"/>
          <w:color w:val="auto"/>
          <w:sz w:val="32"/>
          <w:szCs w:val="32"/>
          <w:lang w:val="en-US" w:eastAsia="zh-CN"/>
        </w:rPr>
        <w:t>定点</w:t>
      </w:r>
      <w:r>
        <w:rPr>
          <w:rFonts w:hint="eastAsia" w:ascii="Times New Roman" w:hAnsi="Times New Roman" w:eastAsia="仿宋_GB2312" w:cs="Times New Roman"/>
          <w:color w:val="auto"/>
          <w:kern w:val="0"/>
          <w:sz w:val="32"/>
          <w:szCs w:val="32"/>
        </w:rPr>
        <w:t>长护服务机构应遵守医疗保障法律法规、规章及有关政策，按照本办法规定和协议约定向参保人提供适宜、专业的</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kern w:val="0"/>
          <w:sz w:val="32"/>
          <w:szCs w:val="32"/>
        </w:rPr>
        <w:t>护理服务，并主动接受监督检查。</w:t>
      </w:r>
      <w:r>
        <w:rPr>
          <w:rFonts w:hint="eastAsia" w:ascii="Times New Roman" w:hAnsi="Times New Roman" w:eastAsia="仿宋_GB2312" w:cs="Times New Roman"/>
          <w:color w:val="auto"/>
          <w:sz w:val="32"/>
          <w:szCs w:val="32"/>
          <w:lang w:val="en-US" w:eastAsia="zh-CN"/>
        </w:rPr>
        <w:t>定点</w:t>
      </w:r>
      <w:r>
        <w:rPr>
          <w:rFonts w:hint="eastAsia" w:ascii="Times New Roman" w:hAnsi="Times New Roman" w:eastAsia="仿宋_GB2312" w:cs="Times New Roman"/>
          <w:color w:val="auto"/>
          <w:kern w:val="0"/>
          <w:sz w:val="32"/>
          <w:szCs w:val="32"/>
        </w:rPr>
        <w:t>长护服务机构应当对</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kern w:val="0"/>
          <w:sz w:val="32"/>
          <w:szCs w:val="32"/>
        </w:rPr>
        <w:t>照护服务人员定期开展业务知识、操作技能、服务规范以及安全上岗等培训和指导。</w:t>
      </w:r>
    </w:p>
    <w:p w14:paraId="01997CBD">
      <w:pPr>
        <w:pStyle w:val="4"/>
        <w:keepNext w:val="0"/>
        <w:keepLines w:val="0"/>
        <w:pageBreakBefore w:val="0"/>
        <w:widowControl/>
        <w:kinsoku/>
        <w:wordWrap/>
        <w:overflowPunct/>
        <w:topLinePunct w:val="0"/>
        <w:autoSpaceDE w:val="0"/>
        <w:autoSpaceDN w:val="0"/>
        <w:bidi w:val="0"/>
        <w:adjustRightInd/>
        <w:snapToGrid/>
        <w:spacing w:line="56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黑体" w:cs="Times New Roman"/>
          <w:color w:val="auto"/>
          <w:kern w:val="0"/>
          <w:sz w:val="32"/>
          <w:szCs w:val="32"/>
        </w:rPr>
        <w:t>第</w:t>
      </w:r>
      <w:r>
        <w:rPr>
          <w:rFonts w:hint="eastAsia" w:ascii="Times New Roman" w:hAnsi="Times New Roman" w:eastAsia="黑体" w:cs="Times New Roman"/>
          <w:color w:val="auto"/>
          <w:kern w:val="0"/>
          <w:sz w:val="32"/>
          <w:szCs w:val="32"/>
          <w:lang w:eastAsia="zh-CN"/>
        </w:rPr>
        <w:t>三十七</w:t>
      </w:r>
      <w:r>
        <w:rPr>
          <w:rFonts w:hint="eastAsia" w:ascii="Times New Roman" w:hAnsi="Times New Roman" w:eastAsia="黑体" w:cs="Times New Roman"/>
          <w:color w:val="auto"/>
          <w:kern w:val="0"/>
          <w:sz w:val="32"/>
          <w:szCs w:val="32"/>
        </w:rPr>
        <w:t>条</w:t>
      </w:r>
      <w:r>
        <w:rPr>
          <w:rFonts w:hint="eastAsia" w:ascii="Times New Roman" w:hAnsi="Times New Roman" w:eastAsia="仿宋_GB2312" w:cs="Times New Roman"/>
          <w:b/>
          <w:bCs/>
          <w:color w:val="auto"/>
          <w:sz w:val="32"/>
          <w:szCs w:val="32"/>
        </w:rPr>
        <w:t xml:space="preserve">  </w:t>
      </w:r>
      <w:r>
        <w:rPr>
          <w:rFonts w:hint="eastAsia" w:ascii="Times New Roman" w:hAnsi="Times New Roman" w:eastAsia="仿宋_GB2312" w:cs="Times New Roman"/>
          <w:color w:val="auto"/>
          <w:sz w:val="32"/>
          <w:szCs w:val="32"/>
        </w:rPr>
        <w:t>定点评估机构、定点长护服务机构应按要求报送结算所需清单、票据等材料，并对其真实性负责。各级</w:t>
      </w:r>
      <w:r>
        <w:rPr>
          <w:rFonts w:hint="eastAsia" w:ascii="Times New Roman" w:hAnsi="Times New Roman" w:eastAsia="仿宋_GB2312" w:cs="Times New Roman"/>
          <w:sz w:val="32"/>
          <w:szCs w:val="32"/>
          <w:lang w:eastAsia="zh-CN"/>
        </w:rPr>
        <w:t>医疗保障</w:t>
      </w:r>
      <w:r>
        <w:rPr>
          <w:rFonts w:hint="eastAsia" w:ascii="Times New Roman" w:hAnsi="Times New Roman" w:eastAsia="仿宋_GB2312" w:cs="Times New Roman"/>
          <w:sz w:val="32"/>
          <w:szCs w:val="32"/>
        </w:rPr>
        <w:t>经办机构按月与定点评估机构、定点长护服务机构结算合规的评估费用、长护服务费用。定点评估机构、定点长护服务机构每月预留服务费用的5%作为质量保证金，并于次年根据属地</w:t>
      </w:r>
      <w:r>
        <w:rPr>
          <w:rFonts w:hint="eastAsia" w:ascii="Times New Roman" w:hAnsi="Times New Roman" w:eastAsia="仿宋_GB2312" w:cs="Times New Roman"/>
          <w:sz w:val="32"/>
          <w:szCs w:val="32"/>
          <w:lang w:eastAsia="zh-CN"/>
        </w:rPr>
        <w:t>医疗保障</w:t>
      </w:r>
      <w:r>
        <w:rPr>
          <w:rFonts w:hint="eastAsia" w:ascii="Times New Roman" w:hAnsi="Times New Roman" w:eastAsia="仿宋_GB2312" w:cs="Times New Roman"/>
          <w:sz w:val="32"/>
          <w:szCs w:val="32"/>
        </w:rPr>
        <w:t>经办机构年度考核评定结果进行年度清算。</w:t>
      </w:r>
    </w:p>
    <w:p w14:paraId="677776A4">
      <w:pPr>
        <w:pStyle w:val="13"/>
        <w:keepNext w:val="0"/>
        <w:keepLines w:val="0"/>
        <w:pageBreakBefore w:val="0"/>
        <w:kinsoku/>
        <w:wordWrap/>
        <w:topLinePunct/>
        <w:autoSpaceDE w:val="0"/>
        <w:bidi w:val="0"/>
        <w:spacing w:line="560"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黑体" w:cs="Times New Roman"/>
          <w:color w:val="auto"/>
          <w:kern w:val="0"/>
          <w:sz w:val="32"/>
          <w:szCs w:val="32"/>
        </w:rPr>
        <w:t>第</w:t>
      </w:r>
      <w:r>
        <w:rPr>
          <w:rFonts w:hint="eastAsia" w:ascii="Times New Roman" w:hAnsi="Times New Roman" w:eastAsia="黑体" w:cs="Times New Roman"/>
          <w:color w:val="auto"/>
          <w:kern w:val="0"/>
          <w:sz w:val="32"/>
          <w:szCs w:val="32"/>
          <w:lang w:eastAsia="zh-CN"/>
        </w:rPr>
        <w:t>三十八</w:t>
      </w:r>
      <w:r>
        <w:rPr>
          <w:rFonts w:ascii="Times New Roman" w:hAnsi="Times New Roman" w:eastAsia="黑体" w:cs="Times New Roman"/>
          <w:color w:val="auto"/>
          <w:kern w:val="0"/>
          <w:sz w:val="32"/>
          <w:szCs w:val="32"/>
        </w:rPr>
        <w:t xml:space="preserve">条  </w:t>
      </w:r>
      <w:r>
        <w:rPr>
          <w:rFonts w:ascii="Times New Roman" w:hAnsi="Times New Roman" w:eastAsia="仿宋_GB2312" w:cs="Times New Roman"/>
          <w:color w:val="auto"/>
          <w:kern w:val="2"/>
          <w:sz w:val="32"/>
          <w:szCs w:val="32"/>
        </w:rPr>
        <w:t>定点评估机构不得同时承担依评估结论开展的长期护理服务工作，不得同时承担</w:t>
      </w:r>
      <w:r>
        <w:rPr>
          <w:rFonts w:hint="eastAsia" w:ascii="Times New Roman" w:hAnsi="Times New Roman" w:eastAsia="仿宋_GB2312" w:cs="Times New Roman"/>
          <w:color w:val="auto"/>
          <w:sz w:val="32"/>
          <w:szCs w:val="32"/>
          <w:lang w:eastAsia="zh-CN"/>
        </w:rPr>
        <w:t>长期护理保险</w:t>
      </w:r>
      <w:r>
        <w:rPr>
          <w:rFonts w:ascii="Times New Roman" w:hAnsi="Times New Roman" w:eastAsia="仿宋_GB2312" w:cs="Times New Roman"/>
          <w:color w:val="auto"/>
          <w:kern w:val="2"/>
          <w:sz w:val="32"/>
          <w:szCs w:val="32"/>
        </w:rPr>
        <w:t>经办工作。定点长护</w:t>
      </w:r>
      <w:r>
        <w:rPr>
          <w:rFonts w:hint="eastAsia" w:ascii="Times New Roman" w:hAnsi="Times New Roman" w:eastAsia="仿宋_GB2312" w:cs="Times New Roman"/>
          <w:color w:val="auto"/>
          <w:kern w:val="2"/>
          <w:sz w:val="32"/>
          <w:szCs w:val="32"/>
          <w:lang w:eastAsia="zh-CN"/>
        </w:rPr>
        <w:t>服务</w:t>
      </w:r>
      <w:r>
        <w:rPr>
          <w:rFonts w:ascii="Times New Roman" w:hAnsi="Times New Roman" w:eastAsia="仿宋_GB2312" w:cs="Times New Roman"/>
          <w:color w:val="auto"/>
          <w:kern w:val="2"/>
          <w:sz w:val="32"/>
          <w:szCs w:val="32"/>
        </w:rPr>
        <w:t>机构不得同时开展</w:t>
      </w:r>
      <w:r>
        <w:rPr>
          <w:rFonts w:hint="eastAsia" w:ascii="Times New Roman" w:hAnsi="Times New Roman" w:eastAsia="仿宋_GB2312" w:cs="Times New Roman"/>
          <w:color w:val="auto"/>
          <w:sz w:val="32"/>
          <w:szCs w:val="32"/>
          <w:lang w:eastAsia="zh-CN"/>
        </w:rPr>
        <w:t>长期护理保险</w:t>
      </w:r>
      <w:r>
        <w:rPr>
          <w:rFonts w:ascii="Times New Roman" w:hAnsi="Times New Roman" w:eastAsia="仿宋_GB2312" w:cs="Times New Roman"/>
          <w:color w:val="auto"/>
          <w:kern w:val="2"/>
          <w:sz w:val="32"/>
          <w:szCs w:val="32"/>
        </w:rPr>
        <w:t>失能等级评估工作，不得同时承担</w:t>
      </w:r>
      <w:r>
        <w:rPr>
          <w:rFonts w:hint="eastAsia" w:ascii="Times New Roman" w:hAnsi="Times New Roman" w:eastAsia="仿宋_GB2312" w:cs="Times New Roman"/>
          <w:color w:val="auto"/>
          <w:sz w:val="32"/>
          <w:szCs w:val="32"/>
          <w:lang w:eastAsia="zh-CN"/>
        </w:rPr>
        <w:t>长期护理保险</w:t>
      </w:r>
      <w:r>
        <w:rPr>
          <w:rFonts w:ascii="Times New Roman" w:hAnsi="Times New Roman" w:eastAsia="仿宋_GB2312" w:cs="Times New Roman"/>
          <w:color w:val="auto"/>
          <w:kern w:val="2"/>
          <w:sz w:val="32"/>
          <w:szCs w:val="32"/>
        </w:rPr>
        <w:t>经办工作。</w:t>
      </w:r>
      <w:r>
        <w:rPr>
          <w:rFonts w:hint="eastAsia" w:ascii="Times New Roman" w:hAnsi="Times New Roman" w:eastAsia="仿宋_GB2312" w:cs="Times New Roman"/>
          <w:color w:val="auto"/>
          <w:kern w:val="2"/>
          <w:sz w:val="32"/>
          <w:szCs w:val="32"/>
          <w:lang w:eastAsia="zh-CN"/>
        </w:rPr>
        <w:t>经办机构不得同时</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kern w:val="2"/>
          <w:sz w:val="32"/>
          <w:szCs w:val="32"/>
          <w:lang w:eastAsia="zh-CN"/>
        </w:rPr>
        <w:t>失能等级评估工作，不得同时承担依评估结论开展的长期护理服务工作。</w:t>
      </w:r>
    </w:p>
    <w:p w14:paraId="5A5DCC94">
      <w:pPr>
        <w:keepNext w:val="0"/>
        <w:keepLines w:val="0"/>
        <w:pageBreakBefore w:val="0"/>
        <w:kinsoku/>
        <w:wordWrap/>
        <w:topLinePunct/>
        <w:autoSpaceDE w:val="0"/>
        <w:bidi w:val="0"/>
        <w:spacing w:line="560" w:lineRule="exact"/>
        <w:ind w:firstLine="640"/>
        <w:textAlignment w:val="auto"/>
        <w:rPr>
          <w:rFonts w:ascii="Times New Roman" w:hAnsi="Times New Roman" w:eastAsia="仿宋_GB2312" w:cs="Times New Roman"/>
          <w:sz w:val="32"/>
          <w:szCs w:val="32"/>
        </w:rPr>
      </w:pPr>
      <w:r>
        <w:rPr>
          <w:rFonts w:hint="eastAsia" w:ascii="Times New Roman" w:hAnsi="Times New Roman" w:eastAsia="黑体" w:cs="Times New Roman"/>
          <w:color w:val="auto"/>
          <w:kern w:val="0"/>
          <w:sz w:val="32"/>
          <w:szCs w:val="32"/>
        </w:rPr>
        <w:t>第</w:t>
      </w:r>
      <w:r>
        <w:rPr>
          <w:rFonts w:hint="eastAsia" w:ascii="Times New Roman" w:hAnsi="Times New Roman" w:eastAsia="黑体" w:cs="Times New Roman"/>
          <w:color w:val="auto"/>
          <w:kern w:val="0"/>
          <w:sz w:val="32"/>
          <w:szCs w:val="32"/>
          <w:lang w:val="en-US" w:eastAsia="zh-CN"/>
        </w:rPr>
        <w:t>三十九</w:t>
      </w:r>
      <w:r>
        <w:rPr>
          <w:rFonts w:hint="eastAsia" w:ascii="Times New Roman" w:hAnsi="Times New Roman" w:eastAsia="黑体" w:cs="Times New Roman"/>
          <w:color w:val="auto"/>
          <w:kern w:val="0"/>
          <w:sz w:val="32"/>
          <w:szCs w:val="32"/>
        </w:rPr>
        <w:t>条</w:t>
      </w:r>
      <w:r>
        <w:rPr>
          <w:rStyle w:val="12"/>
          <w:rFonts w:hint="eastAsia" w:ascii="Times New Roman" w:hAnsi="Times New Roman" w:eastAsia="仿宋_GB2312" w:cs="Times New Roman"/>
          <w:color w:val="auto"/>
          <w:kern w:val="0"/>
          <w:sz w:val="32"/>
          <w:szCs w:val="32"/>
          <w:lang w:bidi="ar"/>
        </w:rPr>
        <w:t xml:space="preserve">  </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color w:val="auto"/>
          <w:sz w:val="32"/>
          <w:szCs w:val="32"/>
        </w:rPr>
        <w:t>信息化建设要依托全国统一的医保信息平台，按照信息化、标准化相关工作要求，统一进行规划设计和建设，</w:t>
      </w:r>
      <w:r>
        <w:rPr>
          <w:rFonts w:hint="eastAsia" w:ascii="Times New Roman" w:hAnsi="Times New Roman" w:eastAsia="仿宋_GB2312" w:cs="Times New Roman"/>
          <w:b w:val="0"/>
          <w:bCs w:val="0"/>
          <w:color w:val="auto"/>
          <w:kern w:val="2"/>
          <w:sz w:val="32"/>
          <w:szCs w:val="32"/>
          <w:u w:val="none"/>
          <w:lang w:val="en-US" w:eastAsia="zh-CN" w:bidi="ar"/>
        </w:rPr>
        <w:t>并逐步实现与行业管理部门相关信息系统实现互联互通、信息共享。定点评</w:t>
      </w:r>
      <w:r>
        <w:rPr>
          <w:rFonts w:hint="eastAsia" w:ascii="Times New Roman" w:hAnsi="Times New Roman" w:eastAsia="仿宋_GB2312" w:cs="Times New Roman"/>
          <w:color w:val="auto"/>
          <w:sz w:val="32"/>
          <w:szCs w:val="32"/>
        </w:rPr>
        <w:t>估机构、</w:t>
      </w:r>
      <w:r>
        <w:rPr>
          <w:rFonts w:hint="eastAsia" w:ascii="Times New Roman" w:hAnsi="Times New Roman" w:eastAsia="仿宋_GB2312" w:cs="Times New Roman"/>
          <w:color w:val="auto"/>
          <w:sz w:val="32"/>
          <w:szCs w:val="32"/>
          <w:lang w:val="en-US" w:eastAsia="zh-CN"/>
        </w:rPr>
        <w:t>定点</w:t>
      </w:r>
      <w:r>
        <w:rPr>
          <w:rFonts w:hint="eastAsia" w:ascii="Times New Roman" w:hAnsi="Times New Roman" w:eastAsia="仿宋_GB2312" w:cs="Times New Roman"/>
          <w:color w:val="auto"/>
          <w:kern w:val="0"/>
          <w:sz w:val="32"/>
          <w:szCs w:val="32"/>
        </w:rPr>
        <w:t>长护服务机构</w:t>
      </w:r>
      <w:r>
        <w:rPr>
          <w:rFonts w:hint="eastAsia" w:ascii="Times New Roman" w:hAnsi="Times New Roman" w:eastAsia="仿宋_GB2312" w:cs="Times New Roman"/>
          <w:color w:val="auto"/>
          <w:sz w:val="32"/>
          <w:szCs w:val="32"/>
        </w:rPr>
        <w:t>应加强信息化建设，编码信息动态维护工作，按照全国统一的接口规范实现与医保信</w:t>
      </w:r>
      <w:r>
        <w:rPr>
          <w:rFonts w:hint="eastAsia" w:ascii="Times New Roman" w:hAnsi="Times New Roman" w:eastAsia="仿宋_GB2312" w:cs="Times New Roman"/>
          <w:sz w:val="32"/>
          <w:szCs w:val="32"/>
        </w:rPr>
        <w:t>息平台</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功能互联互通，并按规定做好相关</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信息传送。</w:t>
      </w:r>
    </w:p>
    <w:p w14:paraId="5B9DB339">
      <w:pPr>
        <w:pStyle w:val="18"/>
        <w:keepNext w:val="0"/>
        <w:keepLines w:val="0"/>
        <w:pageBreakBefore w:val="0"/>
        <w:widowControl w:val="0"/>
        <w:kinsoku/>
        <w:wordWrap/>
        <w:topLinePunct/>
        <w:autoSpaceDE w:val="0"/>
        <w:bidi w:val="0"/>
        <w:spacing w:before="0" w:after="0" w:line="560" w:lineRule="exact"/>
        <w:ind w:firstLine="640" w:firstLineChars="200"/>
        <w:jc w:val="both"/>
        <w:textAlignment w:val="auto"/>
        <w:rPr>
          <w:rFonts w:hint="eastAsia" w:ascii="Times New Roman" w:hAnsi="Times New Roman" w:eastAsia="仿宋_GB2312" w:cs="Times New Roman"/>
          <w:sz w:val="32"/>
          <w:szCs w:val="32"/>
        </w:rPr>
      </w:pPr>
    </w:p>
    <w:p w14:paraId="6A6FD88A">
      <w:pPr>
        <w:keepNext w:val="0"/>
        <w:keepLines w:val="0"/>
        <w:pageBreakBefore w:val="0"/>
        <w:numPr>
          <w:ilvl w:val="0"/>
          <w:numId w:val="0"/>
        </w:numPr>
        <w:shd w:val="clear" w:color="auto" w:fill="FFFFFF"/>
        <w:kinsoku/>
        <w:wordWrap/>
        <w:topLinePunct/>
        <w:autoSpaceDE w:val="0"/>
        <w:bidi w:val="0"/>
        <w:spacing w:line="560" w:lineRule="exact"/>
        <w:jc w:val="center"/>
        <w:textAlignment w:val="auto"/>
        <w:rPr>
          <w:rFonts w:hint="eastAsia" w:ascii="Times New Roman" w:hAnsi="Times New Roman" w:eastAsia="黑体" w:cs="Times New Roman"/>
          <w:kern w:val="0"/>
          <w:sz w:val="32"/>
          <w:szCs w:val="32"/>
        </w:rPr>
      </w:pPr>
      <w:r>
        <w:rPr>
          <w:rFonts w:hint="eastAsia" w:ascii="Times New Roman" w:hAnsi="Times New Roman" w:eastAsia="黑体" w:cs="Times New Roman"/>
          <w:kern w:val="0"/>
          <w:sz w:val="32"/>
          <w:szCs w:val="32"/>
        </w:rPr>
        <w:t>第</w:t>
      </w:r>
      <w:r>
        <w:rPr>
          <w:rFonts w:hint="eastAsia" w:ascii="Times New Roman" w:hAnsi="Times New Roman" w:eastAsia="黑体" w:cs="Times New Roman"/>
          <w:kern w:val="0"/>
          <w:sz w:val="32"/>
          <w:szCs w:val="32"/>
          <w:lang w:eastAsia="zh-CN"/>
        </w:rPr>
        <w:t>六</w:t>
      </w:r>
      <w:r>
        <w:rPr>
          <w:rFonts w:hint="eastAsia" w:ascii="Times New Roman" w:hAnsi="Times New Roman" w:eastAsia="黑体" w:cs="Times New Roman"/>
          <w:kern w:val="0"/>
          <w:sz w:val="32"/>
          <w:szCs w:val="32"/>
        </w:rPr>
        <w:t>章</w:t>
      </w:r>
      <w:r>
        <w:rPr>
          <w:rFonts w:hint="eastAsia" w:ascii="Times New Roman" w:hAnsi="Times New Roman" w:eastAsia="黑体" w:cs="Times New Roman"/>
          <w:kern w:val="0"/>
          <w:sz w:val="32"/>
          <w:szCs w:val="32"/>
          <w:lang w:val="en-US" w:eastAsia="zh-CN"/>
        </w:rPr>
        <w:t xml:space="preserve"> </w:t>
      </w:r>
      <w:r>
        <w:rPr>
          <w:rFonts w:hint="eastAsia" w:ascii="Times New Roman" w:hAnsi="Times New Roman" w:eastAsia="黑体" w:cs="Times New Roman"/>
          <w:kern w:val="0"/>
          <w:sz w:val="32"/>
          <w:szCs w:val="32"/>
        </w:rPr>
        <w:t>监督管理</w:t>
      </w:r>
      <w:r>
        <w:rPr>
          <w:rFonts w:hint="eastAsia" w:ascii="Times New Roman" w:hAnsi="Times New Roman" w:eastAsia="黑体" w:cs="Times New Roman"/>
          <w:kern w:val="0"/>
          <w:sz w:val="32"/>
          <w:szCs w:val="32"/>
          <w:lang w:eastAsia="zh-CN"/>
        </w:rPr>
        <w:t>和法律责任</w:t>
      </w:r>
    </w:p>
    <w:p w14:paraId="11E0F80E">
      <w:pPr>
        <w:pStyle w:val="4"/>
        <w:keepNext w:val="0"/>
        <w:keepLines w:val="0"/>
        <w:pageBreakBefore w:val="0"/>
        <w:kinsoku/>
        <w:wordWrap/>
        <w:bidi w:val="0"/>
        <w:spacing w:line="560" w:lineRule="exact"/>
        <w:textAlignment w:val="auto"/>
        <w:rPr>
          <w:rFonts w:hint="eastAsia" w:ascii="Times New Roman" w:hAnsi="Times New Roman" w:eastAsia="仿宋_GB2312" w:cs="Times New Roman"/>
          <w:sz w:val="32"/>
          <w:szCs w:val="32"/>
        </w:rPr>
      </w:pPr>
    </w:p>
    <w:p w14:paraId="0BCBD607">
      <w:pPr>
        <w:keepNext w:val="0"/>
        <w:keepLines w:val="0"/>
        <w:pageBreakBefore w:val="0"/>
        <w:shd w:val="clear" w:color="auto" w:fill="FFFFFF"/>
        <w:kinsoku/>
        <w:wordWrap/>
        <w:topLinePunct/>
        <w:autoSpaceDE w:val="0"/>
        <w:bidi w:val="0"/>
        <w:spacing w:line="560" w:lineRule="exact"/>
        <w:ind w:firstLine="640"/>
        <w:textAlignment w:val="auto"/>
        <w:rPr>
          <w:rFonts w:hint="default"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黑体" w:cs="Times New Roman"/>
          <w:kern w:val="0"/>
          <w:sz w:val="32"/>
          <w:szCs w:val="32"/>
        </w:rPr>
        <w:t>第四十条</w:t>
      </w:r>
      <w:r>
        <w:rPr>
          <w:rStyle w:val="12"/>
          <w:rFonts w:hint="eastAsia" w:ascii="Times New Roman" w:hAnsi="Times New Roman" w:eastAsia="仿宋_GB2312" w:cs="Times New Roman"/>
          <w:kern w:val="0"/>
          <w:sz w:val="32"/>
          <w:szCs w:val="32"/>
          <w:lang w:bidi="ar"/>
        </w:rPr>
        <w:t xml:space="preserve"> </w:t>
      </w:r>
      <w:r>
        <w:rPr>
          <w:rFonts w:hint="eastAsia" w:ascii="Times New Roman" w:hAnsi="Times New Roman" w:eastAsia="仿宋_GB2312" w:cs="Times New Roman"/>
          <w:b w:val="0"/>
          <w:bCs w:val="0"/>
          <w:color w:val="auto"/>
          <w:kern w:val="2"/>
          <w:sz w:val="32"/>
          <w:szCs w:val="32"/>
          <w:u w:val="none"/>
          <w:lang w:val="en-US" w:eastAsia="zh-CN" w:bidi="ar"/>
        </w:rPr>
        <w:t xml:space="preserve"> 各级医疗保障</w:t>
      </w:r>
      <w:r>
        <w:rPr>
          <w:rFonts w:hint="default" w:ascii="Times New Roman" w:hAnsi="Times New Roman" w:eastAsia="仿宋_GB2312" w:cs="Times New Roman"/>
          <w:b w:val="0"/>
          <w:bCs w:val="0"/>
          <w:color w:val="auto"/>
          <w:kern w:val="2"/>
          <w:sz w:val="32"/>
          <w:szCs w:val="32"/>
          <w:u w:val="none"/>
          <w:lang w:val="en-US" w:eastAsia="zh-CN" w:bidi="ar"/>
        </w:rPr>
        <w:t>行政部门通过实地检查、抽查、智能监控、大数据分析等方式对定点评估机构评估行为、协议履行情况以及定点长护服务机构的协议履约情况、长期护理保险基金使用情况等进行监督。</w:t>
      </w:r>
    </w:p>
    <w:p w14:paraId="371F9DD1">
      <w:pPr>
        <w:keepNext w:val="0"/>
        <w:keepLines w:val="0"/>
        <w:pageBreakBefore w:val="0"/>
        <w:shd w:val="clear" w:color="auto" w:fill="FFFFFF"/>
        <w:kinsoku/>
        <w:wordWrap/>
        <w:topLinePunct/>
        <w:autoSpaceDE w:val="0"/>
        <w:bidi w:val="0"/>
        <w:spacing w:line="560" w:lineRule="exact"/>
        <w:ind w:firstLine="640"/>
        <w:textAlignment w:val="auto"/>
        <w:rPr>
          <w:rFonts w:hint="default" w:ascii="Times New Roman" w:hAnsi="Times New Roman" w:eastAsia="仿宋_GB2312" w:cs="Times New Roman"/>
          <w:b w:val="0"/>
          <w:bCs w:val="0"/>
          <w:color w:val="auto"/>
          <w:kern w:val="2"/>
          <w:sz w:val="32"/>
          <w:szCs w:val="32"/>
          <w:u w:val="none"/>
          <w:lang w:val="en-US" w:eastAsia="zh-CN" w:bidi="ar"/>
        </w:rPr>
      </w:pPr>
      <w:r>
        <w:rPr>
          <w:rFonts w:hint="eastAsia" w:ascii="Times New Roman" w:hAnsi="Times New Roman" w:eastAsia="黑体" w:cs="Times New Roman"/>
          <w:kern w:val="21"/>
          <w:sz w:val="32"/>
          <w:szCs w:val="32"/>
          <w:lang w:eastAsia="zh-CN"/>
        </w:rPr>
        <w:t>第</w:t>
      </w:r>
      <w:r>
        <w:rPr>
          <w:rFonts w:hint="eastAsia" w:ascii="Times New Roman" w:hAnsi="Times New Roman" w:eastAsia="黑体" w:cs="Times New Roman"/>
          <w:kern w:val="21"/>
          <w:sz w:val="32"/>
          <w:szCs w:val="32"/>
          <w:lang w:val="en-US" w:eastAsia="zh-CN"/>
        </w:rPr>
        <w:t xml:space="preserve">四十一条  </w:t>
      </w:r>
      <w:r>
        <w:rPr>
          <w:rFonts w:hint="eastAsia" w:ascii="Times New Roman" w:hAnsi="Times New Roman" w:eastAsia="仿宋_GB2312" w:cs="Times New Roman"/>
          <w:b w:val="0"/>
          <w:bCs w:val="0"/>
          <w:color w:val="auto"/>
          <w:kern w:val="2"/>
          <w:sz w:val="32"/>
          <w:szCs w:val="32"/>
          <w:u w:val="none"/>
          <w:lang w:val="en-US" w:eastAsia="zh-CN" w:bidi="ar"/>
        </w:rPr>
        <w:t>各级医疗保障经办机构要加强对定点评估机构、定点长护服务机构、参保人等管理，对定点评估机构、定点长护服务机构等协议履约情况开展日常巡查、随机抽查、智能监控、绩效考核等；对参保人享受医保待遇情况等实施核查，持续提升智能化核查水平。</w:t>
      </w:r>
    </w:p>
    <w:p w14:paraId="77AFA8C9">
      <w:pPr>
        <w:keepNext w:val="0"/>
        <w:keepLines w:val="0"/>
        <w:pageBreakBefore w:val="0"/>
        <w:kinsoku/>
        <w:wordWrap/>
        <w:bidi w:val="0"/>
        <w:spacing w:line="560" w:lineRule="exact"/>
        <w:ind w:firstLine="640" w:firstLineChars="200"/>
        <w:textAlignment w:val="auto"/>
        <w:rPr>
          <w:rFonts w:hint="eastAsia" w:ascii="Times New Roman" w:hAnsi="Times New Roman" w:eastAsia="仿宋_GB2312" w:cs="Times New Roman"/>
          <w:strike/>
          <w:dstrike w:val="0"/>
          <w:kern w:val="21"/>
          <w:sz w:val="32"/>
          <w:szCs w:val="32"/>
        </w:rPr>
      </w:pPr>
      <w:r>
        <w:rPr>
          <w:rFonts w:hint="eastAsia" w:ascii="Times New Roman" w:hAnsi="Times New Roman" w:eastAsia="黑体" w:cs="Times New Roman"/>
          <w:kern w:val="21"/>
          <w:sz w:val="32"/>
          <w:szCs w:val="32"/>
        </w:rPr>
        <w:t>第四十</w:t>
      </w:r>
      <w:r>
        <w:rPr>
          <w:rFonts w:hint="eastAsia" w:ascii="Times New Roman" w:hAnsi="Times New Roman" w:eastAsia="黑体" w:cs="Times New Roman"/>
          <w:kern w:val="21"/>
          <w:sz w:val="32"/>
          <w:szCs w:val="32"/>
          <w:lang w:eastAsia="zh-CN"/>
        </w:rPr>
        <w:t>二</w:t>
      </w:r>
      <w:r>
        <w:rPr>
          <w:rFonts w:hint="eastAsia" w:ascii="Times New Roman" w:hAnsi="Times New Roman" w:eastAsia="黑体" w:cs="Times New Roman"/>
          <w:kern w:val="21"/>
          <w:sz w:val="32"/>
          <w:szCs w:val="32"/>
        </w:rPr>
        <w:t>条</w:t>
      </w:r>
      <w:r>
        <w:rPr>
          <w:rStyle w:val="12"/>
          <w:rFonts w:hint="eastAsia" w:ascii="Times New Roman" w:hAnsi="Times New Roman" w:eastAsia="仿宋_GB2312" w:cs="Times New Roman"/>
          <w:kern w:val="0"/>
          <w:sz w:val="32"/>
          <w:szCs w:val="32"/>
          <w:lang w:bidi="ar"/>
        </w:rPr>
        <w:t xml:space="preserve">  </w:t>
      </w:r>
      <w:r>
        <w:rPr>
          <w:rFonts w:hint="eastAsia" w:ascii="Times New Roman" w:hAnsi="Times New Roman" w:eastAsia="仿宋_GB2312" w:cs="Times New Roman"/>
          <w:kern w:val="21"/>
          <w:sz w:val="32"/>
          <w:szCs w:val="32"/>
          <w:lang w:eastAsia="zh-CN"/>
        </w:rPr>
        <w:t>本市</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kern w:val="21"/>
          <w:sz w:val="32"/>
          <w:szCs w:val="32"/>
          <w:lang w:eastAsia="zh-CN"/>
        </w:rPr>
        <w:t>基金的使用监督管理按国家、省和市医疗保障基金有关规定执行。</w:t>
      </w:r>
      <w:r>
        <w:rPr>
          <w:rFonts w:hint="eastAsia" w:ascii="Times New Roman" w:hAnsi="Times New Roman" w:eastAsia="仿宋_GB2312" w:cs="Times New Roman"/>
          <w:kern w:val="21"/>
          <w:sz w:val="32"/>
          <w:szCs w:val="32"/>
          <w:lang w:val="en-US" w:eastAsia="zh-CN"/>
        </w:rPr>
        <w:t>各医疗保障</w:t>
      </w:r>
      <w:r>
        <w:rPr>
          <w:rFonts w:hint="eastAsia" w:ascii="Times New Roman" w:hAnsi="Times New Roman" w:eastAsia="仿宋_GB2312" w:cs="Times New Roman"/>
          <w:kern w:val="21"/>
          <w:sz w:val="32"/>
          <w:szCs w:val="32"/>
          <w:lang w:eastAsia="zh-CN"/>
        </w:rPr>
        <w:t>行政部门、</w:t>
      </w:r>
      <w:r>
        <w:rPr>
          <w:rFonts w:hint="eastAsia" w:ascii="Times New Roman" w:hAnsi="Times New Roman" w:eastAsia="仿宋_GB2312" w:cs="Times New Roman"/>
          <w:kern w:val="21"/>
          <w:sz w:val="32"/>
          <w:szCs w:val="32"/>
          <w:lang w:val="en-US" w:eastAsia="zh-CN"/>
        </w:rPr>
        <w:t>各级医疗保障经办机构</w:t>
      </w:r>
      <w:r>
        <w:rPr>
          <w:rFonts w:hint="eastAsia" w:ascii="Times New Roman" w:hAnsi="Times New Roman" w:eastAsia="仿宋_GB2312" w:cs="Times New Roman"/>
          <w:kern w:val="21"/>
          <w:sz w:val="32"/>
          <w:szCs w:val="32"/>
          <w:lang w:eastAsia="zh-CN"/>
        </w:rPr>
        <w:t>、定点评估机构、定点长护服务机构及其相关工作人员、</w:t>
      </w:r>
      <w:r>
        <w:rPr>
          <w:rFonts w:hint="eastAsia" w:ascii="Times New Roman" w:hAnsi="Times New Roman" w:eastAsia="仿宋_GB2312" w:cs="Times New Roman"/>
          <w:kern w:val="21"/>
          <w:sz w:val="32"/>
          <w:szCs w:val="32"/>
          <w:lang w:val="en-US" w:eastAsia="zh-CN"/>
        </w:rPr>
        <w:t>参保人</w:t>
      </w:r>
      <w:r>
        <w:rPr>
          <w:rFonts w:hint="eastAsia" w:ascii="Times New Roman" w:hAnsi="Times New Roman" w:eastAsia="仿宋_GB2312" w:cs="Times New Roman"/>
          <w:kern w:val="21"/>
          <w:sz w:val="32"/>
          <w:szCs w:val="32"/>
          <w:lang w:eastAsia="zh-CN"/>
        </w:rPr>
        <w:t>等违反</w:t>
      </w:r>
      <w:r>
        <w:rPr>
          <w:rFonts w:hint="eastAsia" w:ascii="Times New Roman" w:hAnsi="Times New Roman" w:eastAsia="仿宋_GB2312" w:cs="Times New Roman"/>
          <w:kern w:val="21"/>
          <w:sz w:val="32"/>
          <w:szCs w:val="32"/>
          <w:lang w:val="en-US" w:eastAsia="zh-CN"/>
        </w:rPr>
        <w:t>有关法律、法规和政策规定的</w:t>
      </w:r>
      <w:r>
        <w:rPr>
          <w:rFonts w:hint="eastAsia" w:ascii="Times New Roman" w:hAnsi="Times New Roman" w:eastAsia="仿宋_GB2312" w:cs="Times New Roman"/>
          <w:kern w:val="21"/>
          <w:sz w:val="32"/>
          <w:szCs w:val="32"/>
          <w:lang w:eastAsia="zh-CN"/>
        </w:rPr>
        <w:t>，依据国家、省、市的有关法律、法规、规章和规定予以处理。</w:t>
      </w:r>
    </w:p>
    <w:p w14:paraId="7D92C396">
      <w:pPr>
        <w:pStyle w:val="9"/>
        <w:keepNext w:val="0"/>
        <w:keepLines w:val="0"/>
        <w:pageBreakBefore w:val="0"/>
        <w:kinsoku/>
        <w:wordWrap/>
        <w:bidi w:val="0"/>
        <w:spacing w:line="560" w:lineRule="exact"/>
        <w:ind w:firstLine="320"/>
        <w:textAlignment w:val="auto"/>
        <w:rPr>
          <w:rFonts w:hint="eastAsia" w:ascii="Times New Roman" w:hAnsi="Times New Roman" w:eastAsia="仿宋_GB2312" w:cs="Times New Roman"/>
          <w:sz w:val="32"/>
          <w:szCs w:val="32"/>
        </w:rPr>
      </w:pPr>
    </w:p>
    <w:p w14:paraId="441A557F">
      <w:pPr>
        <w:pStyle w:val="7"/>
        <w:keepNext w:val="0"/>
        <w:keepLines w:val="0"/>
        <w:pageBreakBefore w:val="0"/>
        <w:numPr>
          <w:ilvl w:val="0"/>
          <w:numId w:val="0"/>
        </w:numPr>
        <w:kinsoku/>
        <w:wordWrap/>
        <w:topLinePunct/>
        <w:autoSpaceDE w:val="0"/>
        <w:bidi w:val="0"/>
        <w:spacing w:beforeAutospacing="0" w:afterAutospacing="0" w:line="560" w:lineRule="exact"/>
        <w:ind w:left="0" w:leftChars="0" w:right="0" w:rightChars="0"/>
        <w:jc w:val="center"/>
        <w:textAlignment w:val="auto"/>
        <w:rPr>
          <w:rFonts w:hint="eastAsia" w:ascii="Times New Roman" w:hAnsi="Times New Roman" w:eastAsia="黑体" w:cs="Times New Roman"/>
          <w:sz w:val="32"/>
          <w:szCs w:val="32"/>
        </w:rPr>
      </w:pPr>
      <w:r>
        <w:rPr>
          <w:rFonts w:hint="eastAsia" w:ascii="Times New Roman" w:hAnsi="Times New Roman" w:eastAsia="黑体" w:cs="Times New Roman"/>
          <w:kern w:val="0"/>
          <w:sz w:val="32"/>
          <w:szCs w:val="32"/>
          <w:lang w:val="en-US" w:eastAsia="zh-CN" w:bidi="ar"/>
        </w:rPr>
        <w:t xml:space="preserve">第七章 </w:t>
      </w:r>
      <w:r>
        <w:rPr>
          <w:rFonts w:hint="eastAsia" w:ascii="Times New Roman" w:hAnsi="Times New Roman" w:eastAsia="黑体" w:cs="Times New Roman"/>
          <w:sz w:val="32"/>
          <w:szCs w:val="32"/>
        </w:rPr>
        <w:t>附  则</w:t>
      </w:r>
    </w:p>
    <w:p w14:paraId="57716B5B">
      <w:pPr>
        <w:pStyle w:val="7"/>
        <w:keepNext w:val="0"/>
        <w:keepLines w:val="0"/>
        <w:pageBreakBefore w:val="0"/>
        <w:kinsoku/>
        <w:wordWrap/>
        <w:topLinePunct/>
        <w:autoSpaceDE w:val="0"/>
        <w:bidi w:val="0"/>
        <w:spacing w:beforeAutospacing="0" w:afterAutospacing="0" w:line="560" w:lineRule="exact"/>
        <w:jc w:val="both"/>
        <w:textAlignment w:val="auto"/>
        <w:rPr>
          <w:rFonts w:hint="eastAsia" w:ascii="Times New Roman" w:hAnsi="Times New Roman" w:eastAsia="仿宋_GB2312" w:cs="Times New Roman"/>
          <w:sz w:val="32"/>
          <w:szCs w:val="32"/>
        </w:rPr>
      </w:pPr>
    </w:p>
    <w:p w14:paraId="7C8B5FC9">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_GB2312" w:cs="Times New Roman"/>
          <w:b w:val="0"/>
          <w:bCs w:val="0"/>
          <w:color w:val="auto"/>
          <w:kern w:val="2"/>
          <w:sz w:val="32"/>
          <w:szCs w:val="32"/>
          <w:u w:val="none"/>
          <w:lang w:val="en-US" w:eastAsia="zh-CN" w:bidi="ar"/>
        </w:rPr>
      </w:pPr>
      <w:r>
        <w:rPr>
          <w:rFonts w:hint="default" w:ascii="Times New Roman" w:hAnsi="Times New Roman" w:eastAsia="黑体" w:cs="Times New Roman"/>
          <w:snapToGrid w:val="0"/>
          <w:color w:val="auto"/>
          <w:spacing w:val="0"/>
          <w:kern w:val="56"/>
          <w:sz w:val="32"/>
          <w:szCs w:val="32"/>
          <w:highlight w:val="none"/>
          <w:lang w:val="en-US" w:eastAsia="zh-CN" w:bidi="ar-SA"/>
        </w:rPr>
        <w:t>第</w:t>
      </w:r>
      <w:r>
        <w:rPr>
          <w:rFonts w:hint="eastAsia" w:ascii="Times New Roman" w:hAnsi="Times New Roman" w:eastAsia="黑体" w:cs="Times New Roman"/>
          <w:snapToGrid w:val="0"/>
          <w:color w:val="auto"/>
          <w:spacing w:val="0"/>
          <w:kern w:val="56"/>
          <w:sz w:val="32"/>
          <w:szCs w:val="32"/>
          <w:highlight w:val="none"/>
          <w:lang w:val="en-US" w:eastAsia="zh-CN" w:bidi="ar-SA"/>
        </w:rPr>
        <w:t>四十三</w:t>
      </w:r>
      <w:r>
        <w:rPr>
          <w:rFonts w:hint="default" w:ascii="Times New Roman" w:hAnsi="Times New Roman" w:eastAsia="黑体" w:cs="Times New Roman"/>
          <w:snapToGrid w:val="0"/>
          <w:color w:val="auto"/>
          <w:spacing w:val="0"/>
          <w:kern w:val="56"/>
          <w:sz w:val="32"/>
          <w:szCs w:val="32"/>
          <w:highlight w:val="none"/>
          <w:lang w:val="en-US" w:eastAsia="zh-CN" w:bidi="ar-SA"/>
        </w:rPr>
        <w:t>条</w:t>
      </w:r>
      <w:r>
        <w:rPr>
          <w:rFonts w:hint="eastAsia" w:ascii="Times New Roman" w:hAnsi="Times New Roman" w:eastAsia="黑体" w:cs="Times New Roman"/>
          <w:snapToGrid w:val="0"/>
          <w:color w:val="auto"/>
          <w:spacing w:val="0"/>
          <w:kern w:val="56"/>
          <w:sz w:val="32"/>
          <w:szCs w:val="32"/>
          <w:highlight w:val="none"/>
          <w:lang w:val="en-US" w:eastAsia="zh-CN" w:bidi="ar-SA"/>
        </w:rPr>
        <w:t xml:space="preserve">  </w:t>
      </w:r>
      <w:r>
        <w:rPr>
          <w:rFonts w:hint="default" w:ascii="Times New Roman" w:hAnsi="Times New Roman" w:eastAsia="仿宋_GB2312" w:cs="Times New Roman"/>
          <w:b w:val="0"/>
          <w:bCs w:val="0"/>
          <w:strike w:val="0"/>
          <w:color w:val="auto"/>
          <w:spacing w:val="0"/>
          <w:w w:val="100"/>
          <w:kern w:val="2"/>
          <w:sz w:val="32"/>
          <w:szCs w:val="32"/>
          <w:highlight w:val="none"/>
          <w:lang w:eastAsia="zh-CN"/>
        </w:rPr>
        <w:t>本办法</w:t>
      </w:r>
      <w:r>
        <w:rPr>
          <w:rFonts w:hint="default" w:ascii="Times New Roman" w:hAnsi="Times New Roman" w:eastAsia="仿宋_GB2312" w:cs="Times New Roman"/>
          <w:b w:val="0"/>
          <w:bCs w:val="0"/>
          <w:strike w:val="0"/>
          <w:color w:val="auto"/>
          <w:spacing w:val="0"/>
          <w:w w:val="100"/>
          <w:kern w:val="2"/>
          <w:sz w:val="32"/>
          <w:szCs w:val="32"/>
          <w:highlight w:val="none"/>
        </w:rPr>
        <w:t>实施后，</w:t>
      </w:r>
      <w:r>
        <w:rPr>
          <w:rFonts w:hint="eastAsia" w:ascii="Times New Roman" w:hAnsi="Times New Roman" w:eastAsia="仿宋" w:cs="Times New Roman"/>
          <w:b w:val="0"/>
          <w:bCs w:val="0"/>
          <w:color w:val="auto"/>
          <w:sz w:val="32"/>
          <w:szCs w:val="32"/>
          <w:u w:val="none"/>
          <w:shd w:val="clear" w:color="auto" w:fill="auto"/>
        </w:rPr>
        <w:t>职工基本医疗保险单位缴费费率</w:t>
      </w:r>
      <w:r>
        <w:rPr>
          <w:rFonts w:hint="eastAsia" w:ascii="Times New Roman" w:hAnsi="Times New Roman" w:eastAsia="仿宋" w:cs="Times New Roman"/>
          <w:b w:val="0"/>
          <w:bCs w:val="0"/>
          <w:color w:val="auto"/>
          <w:sz w:val="32"/>
          <w:szCs w:val="32"/>
          <w:u w:val="none"/>
          <w:shd w:val="clear" w:color="auto" w:fill="auto"/>
          <w:lang w:val="en-US" w:eastAsia="zh-CN"/>
        </w:rPr>
        <w:t>调整</w:t>
      </w:r>
      <w:r>
        <w:rPr>
          <w:rFonts w:hint="eastAsia" w:ascii="Times New Roman" w:hAnsi="Times New Roman" w:eastAsia="仿宋" w:cs="Times New Roman"/>
          <w:b w:val="0"/>
          <w:bCs w:val="0"/>
          <w:color w:val="auto"/>
          <w:sz w:val="32"/>
          <w:szCs w:val="32"/>
          <w:u w:val="none"/>
          <w:shd w:val="clear" w:color="auto" w:fill="auto"/>
        </w:rPr>
        <w:t>降低0.15</w:t>
      </w:r>
      <w:r>
        <w:rPr>
          <w:rFonts w:hint="eastAsia" w:ascii="Times New Roman" w:hAnsi="Times New Roman" w:eastAsia="仿宋" w:cs="Times New Roman"/>
          <w:b w:val="0"/>
          <w:bCs w:val="0"/>
          <w:color w:val="auto"/>
          <w:sz w:val="32"/>
          <w:szCs w:val="32"/>
          <w:u w:val="none"/>
          <w:shd w:val="clear" w:color="auto" w:fill="auto"/>
          <w:lang w:eastAsia="zh-CN"/>
        </w:rPr>
        <w:t>个百分点，</w:t>
      </w:r>
      <w:r>
        <w:rPr>
          <w:rFonts w:hint="eastAsia" w:ascii="Times New Roman" w:hAnsi="Times New Roman" w:eastAsia="仿宋" w:cs="Times New Roman"/>
          <w:b w:val="0"/>
          <w:bCs w:val="0"/>
          <w:color w:val="auto"/>
          <w:sz w:val="32"/>
          <w:szCs w:val="32"/>
          <w:u w:val="none"/>
          <w:shd w:val="clear" w:color="auto" w:fill="auto"/>
          <w:lang w:val="en-US" w:eastAsia="zh-CN"/>
        </w:rPr>
        <w:t>调整部分</w:t>
      </w:r>
      <w:r>
        <w:rPr>
          <w:rFonts w:hint="eastAsia" w:ascii="Times New Roman" w:hAnsi="Times New Roman" w:eastAsia="仿宋" w:cs="Times New Roman"/>
          <w:b w:val="0"/>
          <w:bCs w:val="0"/>
          <w:color w:val="auto"/>
          <w:sz w:val="32"/>
          <w:szCs w:val="32"/>
          <w:u w:val="none"/>
          <w:shd w:val="clear" w:color="auto" w:fill="auto"/>
          <w:lang w:eastAsia="zh-CN"/>
        </w:rPr>
        <w:t>用作</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 w:cs="Times New Roman"/>
          <w:b w:val="0"/>
          <w:bCs w:val="0"/>
          <w:color w:val="auto"/>
          <w:sz w:val="32"/>
          <w:szCs w:val="32"/>
          <w:u w:val="none"/>
          <w:shd w:val="clear" w:color="auto" w:fill="auto"/>
        </w:rPr>
        <w:t>单位缴费费率</w:t>
      </w:r>
      <w:r>
        <w:rPr>
          <w:rFonts w:hint="eastAsia" w:ascii="Times New Roman" w:hAnsi="Times New Roman" w:eastAsia="仿宋" w:cs="Times New Roman"/>
          <w:b w:val="0"/>
          <w:bCs w:val="0"/>
          <w:color w:val="auto"/>
          <w:sz w:val="32"/>
          <w:szCs w:val="32"/>
          <w:u w:val="none"/>
          <w:shd w:val="clear" w:color="auto" w:fill="auto"/>
          <w:lang w:eastAsia="zh-CN"/>
        </w:rPr>
        <w:t>。</w:t>
      </w:r>
      <w:r>
        <w:rPr>
          <w:rFonts w:hint="eastAsia" w:ascii="Times New Roman" w:hAnsi="Times New Roman" w:eastAsia="仿宋_GB2312" w:cs="Times New Roman"/>
          <w:b w:val="0"/>
          <w:bCs w:val="0"/>
          <w:color w:val="auto"/>
          <w:kern w:val="2"/>
          <w:sz w:val="32"/>
          <w:szCs w:val="32"/>
          <w:u w:val="none"/>
          <w:lang w:val="en-US" w:eastAsia="zh-CN" w:bidi="ar"/>
        </w:rPr>
        <w:t>按职工参保政策参保的灵活就业人员职工基本医疗保险缴费费率同步降低0.15个百分点，调整部分用作灵活就业人员</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b w:val="0"/>
          <w:bCs w:val="0"/>
          <w:color w:val="auto"/>
          <w:kern w:val="2"/>
          <w:sz w:val="32"/>
          <w:szCs w:val="32"/>
          <w:u w:val="none"/>
          <w:lang w:val="en-US" w:eastAsia="zh-CN" w:bidi="ar"/>
        </w:rPr>
        <w:t>（单位）统筹部分缴费费率。</w:t>
      </w:r>
    </w:p>
    <w:p w14:paraId="2A0440AA">
      <w:pPr>
        <w:pStyle w:val="7"/>
        <w:topLinePunct/>
        <w:autoSpaceDE w:val="0"/>
        <w:spacing w:beforeAutospacing="0" w:afterAutospacing="0" w:line="540" w:lineRule="exact"/>
        <w:ind w:firstLine="640" w:firstLineChars="200"/>
        <w:jc w:val="both"/>
        <w:rPr>
          <w:rFonts w:hint="eastAsia" w:ascii="Times New Roman" w:hAnsi="Times New Roman" w:eastAsia="仿宋_GB2312" w:cs="Times New Roman"/>
          <w:b/>
          <w:bCs/>
          <w:sz w:val="32"/>
          <w:szCs w:val="32"/>
          <w:u w:val="single"/>
          <w:lang w:val="en-US" w:eastAsia="zh-CN"/>
        </w:rPr>
      </w:pPr>
      <w:r>
        <w:rPr>
          <w:rFonts w:hint="eastAsia" w:ascii="Times New Roman" w:hAnsi="Times New Roman" w:eastAsia="黑体" w:cs="Times New Roman"/>
          <w:sz w:val="32"/>
          <w:szCs w:val="32"/>
        </w:rPr>
        <w:t>第四十</w:t>
      </w:r>
      <w:r>
        <w:rPr>
          <w:rFonts w:hint="eastAsia" w:ascii="Times New Roman" w:hAnsi="Times New Roman" w:eastAsia="黑体" w:cs="Times New Roman"/>
          <w:sz w:val="32"/>
          <w:szCs w:val="32"/>
          <w:lang w:eastAsia="zh-CN"/>
        </w:rPr>
        <w:t>四</w:t>
      </w:r>
      <w:r>
        <w:rPr>
          <w:rFonts w:hint="eastAsia" w:ascii="Times New Roman" w:hAnsi="Times New Roman" w:eastAsia="黑体" w:cs="Times New Roman"/>
          <w:sz w:val="32"/>
          <w:szCs w:val="32"/>
        </w:rPr>
        <w:t>条</w:t>
      </w:r>
      <w:r>
        <w:rPr>
          <w:rStyle w:val="12"/>
          <w:rFonts w:hint="eastAsia" w:ascii="Times New Roman" w:hAnsi="Times New Roman" w:eastAsia="仿宋_GB2312" w:cs="Times New Roman"/>
          <w:sz w:val="32"/>
          <w:szCs w:val="32"/>
          <w:lang w:bidi="ar"/>
        </w:rPr>
        <w:t xml:space="preserve">  </w:t>
      </w:r>
      <w:r>
        <w:rPr>
          <w:rFonts w:hint="eastAsia"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医疗保障行政</w:t>
      </w:r>
      <w:r>
        <w:rPr>
          <w:rFonts w:hint="eastAsia" w:ascii="Times New Roman" w:hAnsi="Times New Roman" w:eastAsia="仿宋_GB2312" w:cs="Times New Roman"/>
          <w:sz w:val="32"/>
          <w:szCs w:val="32"/>
        </w:rPr>
        <w:t>部门可根据经济社会发展水平和</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sz w:val="32"/>
          <w:szCs w:val="32"/>
        </w:rPr>
        <w:t>基金运行等情况，会同市财政</w:t>
      </w:r>
      <w:r>
        <w:rPr>
          <w:rFonts w:hint="eastAsia" w:ascii="Times New Roman" w:hAnsi="Times New Roman" w:eastAsia="仿宋" w:cs="Times New Roman"/>
          <w:b w:val="0"/>
          <w:bCs w:val="0"/>
          <w:color w:val="auto"/>
          <w:sz w:val="32"/>
          <w:szCs w:val="32"/>
          <w:u w:val="none"/>
          <w:shd w:val="clear" w:color="auto" w:fill="auto"/>
          <w:lang w:val="en-US" w:eastAsia="zh-CN"/>
        </w:rPr>
        <w:t>部门</w:t>
      </w:r>
      <w:r>
        <w:rPr>
          <w:rFonts w:hint="eastAsia" w:ascii="Times New Roman" w:hAnsi="Times New Roman" w:eastAsia="仿宋_GB2312" w:cs="Times New Roman"/>
          <w:sz w:val="32"/>
          <w:szCs w:val="32"/>
        </w:rPr>
        <w:t>提出筹资和支付政策的调整意见，报市政府批准后执行。</w:t>
      </w:r>
    </w:p>
    <w:p w14:paraId="6E7137BE">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eastAsia" w:ascii="Times New Roman" w:hAnsi="Times New Roman" w:eastAsia="仿宋" w:cs="Times New Roman"/>
          <w:b w:val="0"/>
          <w:bCs w:val="0"/>
          <w:color w:val="auto"/>
          <w:sz w:val="32"/>
          <w:szCs w:val="32"/>
          <w:u w:val="none"/>
          <w:shd w:val="clear" w:color="auto" w:fill="auto"/>
          <w:lang w:val="en-US" w:eastAsia="zh-CN"/>
        </w:rPr>
      </w:pPr>
      <w:r>
        <w:rPr>
          <w:rFonts w:hint="eastAsia" w:ascii="Times New Roman" w:hAnsi="Times New Roman" w:eastAsia="黑体" w:cs="Times New Roman"/>
          <w:kern w:val="0"/>
          <w:sz w:val="32"/>
          <w:szCs w:val="32"/>
          <w:lang w:eastAsia="zh-CN"/>
        </w:rPr>
        <w:t>第</w:t>
      </w:r>
      <w:r>
        <w:rPr>
          <w:rFonts w:hint="eastAsia" w:ascii="Times New Roman" w:hAnsi="Times New Roman" w:eastAsia="黑体" w:cs="Times New Roman"/>
          <w:kern w:val="0"/>
          <w:sz w:val="32"/>
          <w:szCs w:val="32"/>
          <w:lang w:val="en-US" w:eastAsia="zh-CN"/>
        </w:rPr>
        <w:t xml:space="preserve">四十五条 </w:t>
      </w:r>
      <w:r>
        <w:rPr>
          <w:rFonts w:hint="eastAsia" w:ascii="Times New Roman" w:hAnsi="Times New Roman" w:eastAsia="仿宋" w:cs="Times New Roman"/>
          <w:b w:val="0"/>
          <w:bCs w:val="0"/>
          <w:color w:val="auto"/>
          <w:sz w:val="32"/>
          <w:szCs w:val="32"/>
          <w:u w:val="none"/>
          <w:shd w:val="clear" w:color="auto" w:fill="auto"/>
          <w:lang w:val="en-US" w:eastAsia="zh-CN"/>
        </w:rPr>
        <w:t xml:space="preserve"> 按规定参加本市城乡居民基本医疗保险的港澳台居民和外籍人员的长期护理保险政策、异地长期护理待遇、长期护理相关智能化服务和支持性辅助器具待遇根据国家和省规定另行制定。</w:t>
      </w:r>
    </w:p>
    <w:p w14:paraId="5F05F9C9">
      <w:pPr>
        <w:pStyle w:val="7"/>
        <w:keepNext w:val="0"/>
        <w:keepLines w:val="0"/>
        <w:pageBreakBefore w:val="0"/>
        <w:kinsoku/>
        <w:wordWrap/>
        <w:topLinePunct/>
        <w:autoSpaceDE w:val="0"/>
        <w:bidi w:val="0"/>
        <w:spacing w:beforeAutospacing="0" w:afterAutospacing="0"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napToGrid w:val="0"/>
          <w:color w:val="auto"/>
          <w:spacing w:val="0"/>
          <w:kern w:val="56"/>
          <w:sz w:val="32"/>
          <w:szCs w:val="32"/>
          <w:highlight w:val="none"/>
          <w:lang w:val="en-US" w:eastAsia="zh-CN" w:bidi="ar-SA"/>
        </w:rPr>
        <w:t>第</w:t>
      </w:r>
      <w:r>
        <w:rPr>
          <w:rFonts w:hint="eastAsia" w:ascii="Times New Roman" w:hAnsi="Times New Roman" w:eastAsia="黑体" w:cs="Times New Roman"/>
          <w:snapToGrid w:val="0"/>
          <w:color w:val="auto"/>
          <w:spacing w:val="0"/>
          <w:kern w:val="56"/>
          <w:sz w:val="32"/>
          <w:szCs w:val="32"/>
          <w:highlight w:val="none"/>
          <w:lang w:val="en-US" w:eastAsia="zh-CN" w:bidi="ar-SA"/>
        </w:rPr>
        <w:t>四十六</w:t>
      </w:r>
      <w:r>
        <w:rPr>
          <w:rFonts w:hint="default" w:ascii="Times New Roman" w:hAnsi="Times New Roman" w:eastAsia="黑体" w:cs="Times New Roman"/>
          <w:snapToGrid w:val="0"/>
          <w:color w:val="auto"/>
          <w:spacing w:val="0"/>
          <w:kern w:val="56"/>
          <w:sz w:val="32"/>
          <w:szCs w:val="32"/>
          <w:highlight w:val="none"/>
          <w:lang w:val="en-US" w:eastAsia="zh-CN" w:bidi="ar-SA"/>
        </w:rPr>
        <w:t xml:space="preserve">条 </w:t>
      </w:r>
      <w:r>
        <w:rPr>
          <w:rFonts w:hint="eastAsia" w:ascii="Times New Roman" w:hAnsi="Times New Roman" w:eastAsia="黑体" w:cs="Times New Roman"/>
          <w:snapToGrid w:val="0"/>
          <w:color w:val="auto"/>
          <w:spacing w:val="0"/>
          <w:kern w:val="56"/>
          <w:sz w:val="32"/>
          <w:szCs w:val="32"/>
          <w:highlight w:val="none"/>
          <w:lang w:val="en-US" w:eastAsia="zh-CN" w:bidi="ar-SA"/>
        </w:rPr>
        <w:t xml:space="preserve"> </w:t>
      </w:r>
      <w:r>
        <w:rPr>
          <w:rFonts w:hint="default" w:ascii="Times New Roman" w:hAnsi="Times New Roman" w:eastAsia="仿宋_GB2312" w:cs="Times New Roman"/>
          <w:sz w:val="32"/>
          <w:szCs w:val="32"/>
          <w:lang w:val="en-US" w:eastAsia="zh-CN"/>
        </w:rPr>
        <w:t>本办法相关的配套政策，由市医疗保障部门</w:t>
      </w:r>
      <w:r>
        <w:rPr>
          <w:rFonts w:hint="eastAsia" w:ascii="Times New Roman" w:hAnsi="Times New Roman" w:eastAsia="仿宋_GB2312" w:cs="Times New Roman"/>
          <w:sz w:val="32"/>
          <w:szCs w:val="32"/>
          <w:lang w:val="en-US" w:eastAsia="zh-CN"/>
        </w:rPr>
        <w:t>会相关部门</w:t>
      </w:r>
      <w:r>
        <w:rPr>
          <w:rFonts w:hint="default" w:ascii="Times New Roman" w:hAnsi="Times New Roman" w:eastAsia="仿宋_GB2312" w:cs="Times New Roman"/>
          <w:sz w:val="32"/>
          <w:szCs w:val="32"/>
          <w:lang w:val="en-US" w:eastAsia="zh-CN"/>
        </w:rPr>
        <w:t>根据国家和省规定另行制定。</w:t>
      </w:r>
    </w:p>
    <w:p w14:paraId="021E7301">
      <w:pPr>
        <w:pStyle w:val="13"/>
        <w:keepNext w:val="0"/>
        <w:keepLines w:val="0"/>
        <w:pageBreakBefore w:val="0"/>
        <w:kinsoku/>
        <w:wordWrap/>
        <w:bidi w:val="0"/>
        <w:spacing w:line="560" w:lineRule="exact"/>
        <w:ind w:firstLine="640" w:firstLineChars="200"/>
        <w:textAlignment w:val="auto"/>
        <w:rPr>
          <w:rFonts w:hint="eastAsia" w:ascii="Times New Roman" w:hAnsi="Times New Roman" w:cs="Times New Roman"/>
        </w:rPr>
      </w:pPr>
      <w:r>
        <w:rPr>
          <w:rFonts w:hint="eastAsia" w:ascii="Times New Roman" w:hAnsi="Times New Roman" w:eastAsia="仿宋_GB2312" w:cs="Times New Roman"/>
          <w:kern w:val="0"/>
          <w:sz w:val="32"/>
          <w:szCs w:val="32"/>
          <w:lang w:eastAsia="zh-CN"/>
        </w:rPr>
        <w:t>本办法未尽事宜，按照国家、省有关规定执行。施行期间，国家、省另有规定的，从其规定。</w:t>
      </w:r>
    </w:p>
    <w:p w14:paraId="24D92AFD">
      <w:pPr>
        <w:keepNext w:val="0"/>
        <w:keepLines w:val="0"/>
        <w:pageBreakBefore w:val="0"/>
        <w:shd w:val="clear" w:color="auto" w:fill="FFFFFF"/>
        <w:kinsoku/>
        <w:wordWrap/>
        <w:topLinePunct/>
        <w:autoSpaceDE w:val="0"/>
        <w:bidi w:val="0"/>
        <w:spacing w:line="560" w:lineRule="exact"/>
        <w:ind w:firstLine="640"/>
        <w:textAlignment w:val="auto"/>
        <w:rPr>
          <w:rFonts w:hint="eastAsia" w:ascii="Times New Roman" w:hAnsi="Times New Roman" w:eastAsia="仿宋_GB2312" w:cs="Times New Roman"/>
          <w:kern w:val="0"/>
          <w:sz w:val="32"/>
          <w:szCs w:val="32"/>
          <w:lang w:val="en-US" w:eastAsia="zh-CN" w:bidi="ar"/>
        </w:rPr>
      </w:pPr>
      <w:r>
        <w:rPr>
          <w:rFonts w:hint="eastAsia" w:ascii="Times New Roman" w:hAnsi="Times New Roman" w:eastAsia="黑体" w:cs="Times New Roman"/>
          <w:kern w:val="0"/>
          <w:sz w:val="32"/>
          <w:szCs w:val="32"/>
        </w:rPr>
        <w:t>第四十</w:t>
      </w:r>
      <w:r>
        <w:rPr>
          <w:rFonts w:hint="eastAsia" w:ascii="Times New Roman" w:hAnsi="Times New Roman" w:eastAsia="黑体" w:cs="Times New Roman"/>
          <w:kern w:val="0"/>
          <w:sz w:val="32"/>
          <w:szCs w:val="32"/>
          <w:lang w:eastAsia="zh-CN"/>
        </w:rPr>
        <w:t>七</w:t>
      </w:r>
      <w:r>
        <w:rPr>
          <w:rFonts w:hint="eastAsia" w:ascii="Times New Roman" w:hAnsi="Times New Roman" w:eastAsia="黑体" w:cs="Times New Roman"/>
          <w:kern w:val="0"/>
          <w:sz w:val="32"/>
          <w:szCs w:val="32"/>
        </w:rPr>
        <w:t>条</w:t>
      </w:r>
      <w:r>
        <w:rPr>
          <w:rStyle w:val="12"/>
          <w:rFonts w:hint="eastAsia" w:ascii="Times New Roman" w:hAnsi="Times New Roman" w:eastAsia="仿宋_GB2312" w:cs="Times New Roman"/>
          <w:kern w:val="0"/>
          <w:sz w:val="32"/>
          <w:szCs w:val="32"/>
          <w:lang w:bidi="ar"/>
        </w:rPr>
        <w:t xml:space="preserve"> </w:t>
      </w:r>
      <w:r>
        <w:rPr>
          <w:rFonts w:hint="eastAsia" w:ascii="Times New Roman" w:hAnsi="Times New Roman" w:eastAsia="仿宋_GB2312" w:cs="Times New Roman"/>
          <w:kern w:val="0"/>
          <w:sz w:val="32"/>
          <w:szCs w:val="32"/>
          <w:lang w:val="en-US" w:eastAsia="zh-CN" w:bidi="ar"/>
        </w:rPr>
        <w:t xml:space="preserve"> 本办法自2027年1月1日起施行，有效期至2031年12月31日。我市</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kern w:val="0"/>
          <w:sz w:val="32"/>
          <w:szCs w:val="32"/>
          <w:lang w:val="en-US" w:eastAsia="zh-CN" w:bidi="ar"/>
        </w:rPr>
        <w:t>分步实施，职工自2027年1月1日起征缴</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kern w:val="0"/>
          <w:sz w:val="32"/>
          <w:szCs w:val="32"/>
          <w:lang w:val="en-US" w:eastAsia="zh-CN" w:bidi="ar"/>
        </w:rPr>
        <w:t>保费，自2027年2月起实施保障；居民在2027年开展2028年城乡居民基本医疗保险集中参保缴费时，同步征缴2028年度的</w:t>
      </w:r>
      <w:r>
        <w:rPr>
          <w:rFonts w:hint="eastAsia" w:ascii="Times New Roman" w:hAnsi="Times New Roman" w:eastAsia="仿宋_GB2312" w:cs="Times New Roman"/>
          <w:color w:val="auto"/>
          <w:sz w:val="32"/>
          <w:szCs w:val="32"/>
          <w:lang w:eastAsia="zh-CN"/>
        </w:rPr>
        <w:t>长期护理保险</w:t>
      </w:r>
      <w:r>
        <w:rPr>
          <w:rFonts w:hint="eastAsia" w:ascii="Times New Roman" w:hAnsi="Times New Roman" w:eastAsia="仿宋_GB2312" w:cs="Times New Roman"/>
          <w:kern w:val="0"/>
          <w:sz w:val="32"/>
          <w:szCs w:val="32"/>
          <w:lang w:val="en-US" w:eastAsia="zh-CN" w:bidi="ar"/>
        </w:rPr>
        <w:t>保费，自2028年1月起实施保障。</w:t>
      </w:r>
      <w:bookmarkStart w:id="0" w:name="_GoBack"/>
      <w:bookmarkEnd w:id="0"/>
    </w:p>
    <w:sectPr>
      <w:footerReference r:id="rId3" w:type="default"/>
      <w:pgSz w:w="11906" w:h="16838"/>
      <w:pgMar w:top="187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B125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E4687">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2E4687">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E87976"/>
    <w:multiLevelType w:val="singleLevel"/>
    <w:tmpl w:val="38E87976"/>
    <w:lvl w:ilvl="0" w:tentative="0">
      <w:start w:val="2"/>
      <w:numFmt w:val="chineseCounting"/>
      <w:suff w:val="space"/>
      <w:lvlText w:val="第%1章"/>
      <w:lvlJc w:val="left"/>
      <w:rPr>
        <w:rFonts w:hint="eastAsia"/>
      </w:rPr>
    </w:lvl>
  </w:abstractNum>
  <w:abstractNum w:abstractNumId="1">
    <w:nsid w:val="65DBBE1F"/>
    <w:multiLevelType w:val="singleLevel"/>
    <w:tmpl w:val="65DBBE1F"/>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MmJkNmUzYjU3ZjA0MDFkMGJjYTY2MTNhOTAwODUifQ=="/>
  </w:docVars>
  <w:rsids>
    <w:rsidRoot w:val="76A049D8"/>
    <w:rsid w:val="001F6120"/>
    <w:rsid w:val="002662C5"/>
    <w:rsid w:val="003408C2"/>
    <w:rsid w:val="003D0404"/>
    <w:rsid w:val="00570628"/>
    <w:rsid w:val="00857725"/>
    <w:rsid w:val="00AB1812"/>
    <w:rsid w:val="00B57D17"/>
    <w:rsid w:val="00C14B91"/>
    <w:rsid w:val="00C80754"/>
    <w:rsid w:val="00C80838"/>
    <w:rsid w:val="0185366C"/>
    <w:rsid w:val="01FF1E15"/>
    <w:rsid w:val="025C1713"/>
    <w:rsid w:val="02704AC1"/>
    <w:rsid w:val="02755778"/>
    <w:rsid w:val="02A30C56"/>
    <w:rsid w:val="02B66E08"/>
    <w:rsid w:val="02C347C3"/>
    <w:rsid w:val="02F60496"/>
    <w:rsid w:val="0327302A"/>
    <w:rsid w:val="0342592F"/>
    <w:rsid w:val="0357702D"/>
    <w:rsid w:val="03DA3A15"/>
    <w:rsid w:val="04263D53"/>
    <w:rsid w:val="04332111"/>
    <w:rsid w:val="048900BC"/>
    <w:rsid w:val="049C0204"/>
    <w:rsid w:val="04E13D30"/>
    <w:rsid w:val="053973EC"/>
    <w:rsid w:val="05A06F97"/>
    <w:rsid w:val="05AF1454"/>
    <w:rsid w:val="05BC2226"/>
    <w:rsid w:val="05DA736C"/>
    <w:rsid w:val="060F639F"/>
    <w:rsid w:val="062067FE"/>
    <w:rsid w:val="063522A9"/>
    <w:rsid w:val="0636680F"/>
    <w:rsid w:val="063C3603"/>
    <w:rsid w:val="06823015"/>
    <w:rsid w:val="06894A27"/>
    <w:rsid w:val="06B40BCE"/>
    <w:rsid w:val="06C145A1"/>
    <w:rsid w:val="06C9486F"/>
    <w:rsid w:val="070D4E50"/>
    <w:rsid w:val="071E2D3E"/>
    <w:rsid w:val="07565717"/>
    <w:rsid w:val="077A1F3E"/>
    <w:rsid w:val="079C0106"/>
    <w:rsid w:val="07F910B5"/>
    <w:rsid w:val="08406D79"/>
    <w:rsid w:val="085B2F0C"/>
    <w:rsid w:val="08AB65AB"/>
    <w:rsid w:val="09043900"/>
    <w:rsid w:val="09067DD6"/>
    <w:rsid w:val="093F6F9B"/>
    <w:rsid w:val="097126F4"/>
    <w:rsid w:val="098B2772"/>
    <w:rsid w:val="09BE1938"/>
    <w:rsid w:val="09BE25B6"/>
    <w:rsid w:val="09CD37D2"/>
    <w:rsid w:val="0A1C11D8"/>
    <w:rsid w:val="0A791307"/>
    <w:rsid w:val="0A8D10CF"/>
    <w:rsid w:val="0B1260F1"/>
    <w:rsid w:val="0B4E1031"/>
    <w:rsid w:val="0B9D19D4"/>
    <w:rsid w:val="0C066A8C"/>
    <w:rsid w:val="0C120997"/>
    <w:rsid w:val="0C3129BD"/>
    <w:rsid w:val="0C3B4EC0"/>
    <w:rsid w:val="0C5D60B6"/>
    <w:rsid w:val="0CAC1534"/>
    <w:rsid w:val="0CBC4F7F"/>
    <w:rsid w:val="0CE5310B"/>
    <w:rsid w:val="0CEE3EEB"/>
    <w:rsid w:val="0D305579"/>
    <w:rsid w:val="0D5B78D6"/>
    <w:rsid w:val="0D651275"/>
    <w:rsid w:val="0D6B6A97"/>
    <w:rsid w:val="0D990BD9"/>
    <w:rsid w:val="0DB74EDC"/>
    <w:rsid w:val="0DD30050"/>
    <w:rsid w:val="0DD565A7"/>
    <w:rsid w:val="0DEA5696"/>
    <w:rsid w:val="0E5A5D29"/>
    <w:rsid w:val="0E721BC1"/>
    <w:rsid w:val="0EFC24DE"/>
    <w:rsid w:val="0F14635F"/>
    <w:rsid w:val="0F320544"/>
    <w:rsid w:val="0F933B9D"/>
    <w:rsid w:val="0FC802E2"/>
    <w:rsid w:val="0FD05FD0"/>
    <w:rsid w:val="0FE36FF4"/>
    <w:rsid w:val="0FE4089C"/>
    <w:rsid w:val="0FEC0089"/>
    <w:rsid w:val="100F4D89"/>
    <w:rsid w:val="10280653"/>
    <w:rsid w:val="10665C76"/>
    <w:rsid w:val="106B1F4F"/>
    <w:rsid w:val="11254238"/>
    <w:rsid w:val="112631E6"/>
    <w:rsid w:val="116A083A"/>
    <w:rsid w:val="11957EC4"/>
    <w:rsid w:val="11CC213F"/>
    <w:rsid w:val="120A4607"/>
    <w:rsid w:val="121360D4"/>
    <w:rsid w:val="122212E7"/>
    <w:rsid w:val="12655CC4"/>
    <w:rsid w:val="12BF1A7E"/>
    <w:rsid w:val="12C845DD"/>
    <w:rsid w:val="12FD6142"/>
    <w:rsid w:val="13241D3F"/>
    <w:rsid w:val="13763F01"/>
    <w:rsid w:val="1378430D"/>
    <w:rsid w:val="13B60C25"/>
    <w:rsid w:val="13F23B8F"/>
    <w:rsid w:val="14005579"/>
    <w:rsid w:val="141745CF"/>
    <w:rsid w:val="14246791"/>
    <w:rsid w:val="14643D5A"/>
    <w:rsid w:val="147061EC"/>
    <w:rsid w:val="148A24DD"/>
    <w:rsid w:val="1491554B"/>
    <w:rsid w:val="14AE08A4"/>
    <w:rsid w:val="14B21328"/>
    <w:rsid w:val="14CB424A"/>
    <w:rsid w:val="14D27219"/>
    <w:rsid w:val="14FB25A1"/>
    <w:rsid w:val="150E3403"/>
    <w:rsid w:val="151C29D8"/>
    <w:rsid w:val="15B60811"/>
    <w:rsid w:val="15FD4466"/>
    <w:rsid w:val="16032B0D"/>
    <w:rsid w:val="16357CC0"/>
    <w:rsid w:val="1656314F"/>
    <w:rsid w:val="165C3C55"/>
    <w:rsid w:val="16C21AE3"/>
    <w:rsid w:val="16C739EB"/>
    <w:rsid w:val="16D14653"/>
    <w:rsid w:val="178A2555"/>
    <w:rsid w:val="18700F1F"/>
    <w:rsid w:val="18701E48"/>
    <w:rsid w:val="18970B75"/>
    <w:rsid w:val="18BF25F5"/>
    <w:rsid w:val="18E73E2C"/>
    <w:rsid w:val="18FA7BCE"/>
    <w:rsid w:val="190E24E6"/>
    <w:rsid w:val="19466124"/>
    <w:rsid w:val="196D2192"/>
    <w:rsid w:val="199C3104"/>
    <w:rsid w:val="19B7492C"/>
    <w:rsid w:val="19DE3B66"/>
    <w:rsid w:val="1A385A6D"/>
    <w:rsid w:val="1A3A4A04"/>
    <w:rsid w:val="1A6E6E14"/>
    <w:rsid w:val="1A903C23"/>
    <w:rsid w:val="1AD03EF7"/>
    <w:rsid w:val="1AD53A66"/>
    <w:rsid w:val="1B061248"/>
    <w:rsid w:val="1B50662D"/>
    <w:rsid w:val="1BE2389B"/>
    <w:rsid w:val="1C470F99"/>
    <w:rsid w:val="1C792129"/>
    <w:rsid w:val="1C7C322A"/>
    <w:rsid w:val="1CA300C1"/>
    <w:rsid w:val="1CD920E4"/>
    <w:rsid w:val="1CEC0633"/>
    <w:rsid w:val="1D0600A4"/>
    <w:rsid w:val="1D523945"/>
    <w:rsid w:val="1DA60F59"/>
    <w:rsid w:val="1DD17FC3"/>
    <w:rsid w:val="1DD63903"/>
    <w:rsid w:val="1DF1446C"/>
    <w:rsid w:val="1DF968AF"/>
    <w:rsid w:val="1E487669"/>
    <w:rsid w:val="1E52346E"/>
    <w:rsid w:val="1E8C36F9"/>
    <w:rsid w:val="1F095831"/>
    <w:rsid w:val="1F205C28"/>
    <w:rsid w:val="1F4C4A3C"/>
    <w:rsid w:val="1F8950A4"/>
    <w:rsid w:val="1F9E2355"/>
    <w:rsid w:val="1FD025A1"/>
    <w:rsid w:val="200B24AE"/>
    <w:rsid w:val="200F75DF"/>
    <w:rsid w:val="20D40C59"/>
    <w:rsid w:val="21101C38"/>
    <w:rsid w:val="214F4C64"/>
    <w:rsid w:val="21A32365"/>
    <w:rsid w:val="21A57D4A"/>
    <w:rsid w:val="21D37623"/>
    <w:rsid w:val="21FA0651"/>
    <w:rsid w:val="225835D4"/>
    <w:rsid w:val="229918CC"/>
    <w:rsid w:val="22BD7457"/>
    <w:rsid w:val="22BE4F7D"/>
    <w:rsid w:val="23010098"/>
    <w:rsid w:val="231F302D"/>
    <w:rsid w:val="23350C5A"/>
    <w:rsid w:val="23682DB1"/>
    <w:rsid w:val="23771978"/>
    <w:rsid w:val="23AC1337"/>
    <w:rsid w:val="24226E62"/>
    <w:rsid w:val="243F0730"/>
    <w:rsid w:val="24964B06"/>
    <w:rsid w:val="2497689F"/>
    <w:rsid w:val="249A79B8"/>
    <w:rsid w:val="251C7177"/>
    <w:rsid w:val="259355BD"/>
    <w:rsid w:val="25AE2643"/>
    <w:rsid w:val="260929B3"/>
    <w:rsid w:val="264A6BBC"/>
    <w:rsid w:val="269B5515"/>
    <w:rsid w:val="26A56238"/>
    <w:rsid w:val="26C74269"/>
    <w:rsid w:val="26E1784D"/>
    <w:rsid w:val="279326EF"/>
    <w:rsid w:val="27AB7A4E"/>
    <w:rsid w:val="27F532E7"/>
    <w:rsid w:val="27F9315E"/>
    <w:rsid w:val="280B06A0"/>
    <w:rsid w:val="28C17F50"/>
    <w:rsid w:val="28FB32DD"/>
    <w:rsid w:val="29096346"/>
    <w:rsid w:val="29341905"/>
    <w:rsid w:val="295D1F35"/>
    <w:rsid w:val="296D0E96"/>
    <w:rsid w:val="29A23D31"/>
    <w:rsid w:val="29C1014D"/>
    <w:rsid w:val="29D477B9"/>
    <w:rsid w:val="29FC6D50"/>
    <w:rsid w:val="2A3D4359"/>
    <w:rsid w:val="2A591FBC"/>
    <w:rsid w:val="2A6F601E"/>
    <w:rsid w:val="2A7177DF"/>
    <w:rsid w:val="2A76091E"/>
    <w:rsid w:val="2A785045"/>
    <w:rsid w:val="2B151B38"/>
    <w:rsid w:val="2B3D730B"/>
    <w:rsid w:val="2B846BA7"/>
    <w:rsid w:val="2B9E35F1"/>
    <w:rsid w:val="2BD1352C"/>
    <w:rsid w:val="2C256E6B"/>
    <w:rsid w:val="2C402050"/>
    <w:rsid w:val="2C475FE3"/>
    <w:rsid w:val="2C6C188D"/>
    <w:rsid w:val="2C8114F5"/>
    <w:rsid w:val="2C91796A"/>
    <w:rsid w:val="2CA35EB4"/>
    <w:rsid w:val="2CB2598B"/>
    <w:rsid w:val="2CB31F81"/>
    <w:rsid w:val="2CCC4778"/>
    <w:rsid w:val="2CE97752"/>
    <w:rsid w:val="2D1B36F8"/>
    <w:rsid w:val="2D3B5ADD"/>
    <w:rsid w:val="2D475C22"/>
    <w:rsid w:val="2DF83A39"/>
    <w:rsid w:val="2E242F52"/>
    <w:rsid w:val="2E315DB1"/>
    <w:rsid w:val="2E8E2E39"/>
    <w:rsid w:val="2EC178B8"/>
    <w:rsid w:val="2EC41675"/>
    <w:rsid w:val="2EE144CD"/>
    <w:rsid w:val="2F182EDD"/>
    <w:rsid w:val="2F396882"/>
    <w:rsid w:val="2F806AC8"/>
    <w:rsid w:val="2FC73EF9"/>
    <w:rsid w:val="2FEC4E2B"/>
    <w:rsid w:val="300817B1"/>
    <w:rsid w:val="3026691C"/>
    <w:rsid w:val="307231A8"/>
    <w:rsid w:val="307D1535"/>
    <w:rsid w:val="3095731D"/>
    <w:rsid w:val="31230AD8"/>
    <w:rsid w:val="31327262"/>
    <w:rsid w:val="315A0567"/>
    <w:rsid w:val="31E70FB2"/>
    <w:rsid w:val="31F27A9E"/>
    <w:rsid w:val="32717907"/>
    <w:rsid w:val="32981347"/>
    <w:rsid w:val="32CF460B"/>
    <w:rsid w:val="32E06932"/>
    <w:rsid w:val="3330692E"/>
    <w:rsid w:val="33373D30"/>
    <w:rsid w:val="333F2317"/>
    <w:rsid w:val="33754352"/>
    <w:rsid w:val="34372941"/>
    <w:rsid w:val="347E1EEB"/>
    <w:rsid w:val="348B713D"/>
    <w:rsid w:val="348C4D32"/>
    <w:rsid w:val="34D04DC8"/>
    <w:rsid w:val="34E96910"/>
    <w:rsid w:val="351153E0"/>
    <w:rsid w:val="354D27AB"/>
    <w:rsid w:val="359027A9"/>
    <w:rsid w:val="35C43C98"/>
    <w:rsid w:val="35C73DFD"/>
    <w:rsid w:val="363063D2"/>
    <w:rsid w:val="36475007"/>
    <w:rsid w:val="36C54622"/>
    <w:rsid w:val="370D04D9"/>
    <w:rsid w:val="372B5295"/>
    <w:rsid w:val="373B204B"/>
    <w:rsid w:val="379C0372"/>
    <w:rsid w:val="37A12A4B"/>
    <w:rsid w:val="37A338EC"/>
    <w:rsid w:val="37F46201"/>
    <w:rsid w:val="381C6D0E"/>
    <w:rsid w:val="38612471"/>
    <w:rsid w:val="38A82BB6"/>
    <w:rsid w:val="38B16CBE"/>
    <w:rsid w:val="38B7274F"/>
    <w:rsid w:val="38B7797A"/>
    <w:rsid w:val="38DD3F57"/>
    <w:rsid w:val="39033890"/>
    <w:rsid w:val="39085177"/>
    <w:rsid w:val="39CB1BC4"/>
    <w:rsid w:val="39D05448"/>
    <w:rsid w:val="3A03622E"/>
    <w:rsid w:val="3A6744B2"/>
    <w:rsid w:val="3AE500B5"/>
    <w:rsid w:val="3AF60D5A"/>
    <w:rsid w:val="3AFD0065"/>
    <w:rsid w:val="3B094E71"/>
    <w:rsid w:val="3B1D3041"/>
    <w:rsid w:val="3B4A53B1"/>
    <w:rsid w:val="3B4E5A39"/>
    <w:rsid w:val="3B514788"/>
    <w:rsid w:val="3B8E59E5"/>
    <w:rsid w:val="3BA56321"/>
    <w:rsid w:val="3BE42001"/>
    <w:rsid w:val="3BF96D56"/>
    <w:rsid w:val="3C1B6FEC"/>
    <w:rsid w:val="3C29103D"/>
    <w:rsid w:val="3C566A3E"/>
    <w:rsid w:val="3C862B13"/>
    <w:rsid w:val="3C943D85"/>
    <w:rsid w:val="3C9A04CD"/>
    <w:rsid w:val="3C9D4A5F"/>
    <w:rsid w:val="3CB90837"/>
    <w:rsid w:val="3CBD2FEC"/>
    <w:rsid w:val="3CD647B5"/>
    <w:rsid w:val="3D1C0040"/>
    <w:rsid w:val="3D523433"/>
    <w:rsid w:val="3D656047"/>
    <w:rsid w:val="3D7B5AED"/>
    <w:rsid w:val="3D8C1AA8"/>
    <w:rsid w:val="3DAE5EC2"/>
    <w:rsid w:val="3DCC74FB"/>
    <w:rsid w:val="3E3A5236"/>
    <w:rsid w:val="3E3C4E61"/>
    <w:rsid w:val="3E8B0212"/>
    <w:rsid w:val="3ED852A2"/>
    <w:rsid w:val="3EE078A0"/>
    <w:rsid w:val="3EFB738C"/>
    <w:rsid w:val="3F4C5993"/>
    <w:rsid w:val="3F7A007F"/>
    <w:rsid w:val="40884021"/>
    <w:rsid w:val="40AA2B73"/>
    <w:rsid w:val="40AC6B04"/>
    <w:rsid w:val="40B810FF"/>
    <w:rsid w:val="40DA0D7C"/>
    <w:rsid w:val="40E93E56"/>
    <w:rsid w:val="40F51E89"/>
    <w:rsid w:val="40F95A16"/>
    <w:rsid w:val="40FE5944"/>
    <w:rsid w:val="41AB3B2E"/>
    <w:rsid w:val="41D939DB"/>
    <w:rsid w:val="42927B60"/>
    <w:rsid w:val="429C02FC"/>
    <w:rsid w:val="42BD0DA1"/>
    <w:rsid w:val="43A22025"/>
    <w:rsid w:val="43A3002D"/>
    <w:rsid w:val="43D419C5"/>
    <w:rsid w:val="43E34E89"/>
    <w:rsid w:val="43FD2DDA"/>
    <w:rsid w:val="44167247"/>
    <w:rsid w:val="443B3A3B"/>
    <w:rsid w:val="4445036C"/>
    <w:rsid w:val="446A03CB"/>
    <w:rsid w:val="447D039C"/>
    <w:rsid w:val="44EB17AA"/>
    <w:rsid w:val="44EE4339"/>
    <w:rsid w:val="451A13AF"/>
    <w:rsid w:val="45817E29"/>
    <w:rsid w:val="45E55E86"/>
    <w:rsid w:val="45F533CD"/>
    <w:rsid w:val="45FB77CB"/>
    <w:rsid w:val="46597D79"/>
    <w:rsid w:val="465F4D86"/>
    <w:rsid w:val="46AE05A1"/>
    <w:rsid w:val="470B1425"/>
    <w:rsid w:val="4720050E"/>
    <w:rsid w:val="47615847"/>
    <w:rsid w:val="47A44213"/>
    <w:rsid w:val="47D24C90"/>
    <w:rsid w:val="47E15899"/>
    <w:rsid w:val="48897C4B"/>
    <w:rsid w:val="48C46093"/>
    <w:rsid w:val="48DD0CAA"/>
    <w:rsid w:val="492B7622"/>
    <w:rsid w:val="49372DE2"/>
    <w:rsid w:val="49966156"/>
    <w:rsid w:val="49E670CE"/>
    <w:rsid w:val="4A4C45DF"/>
    <w:rsid w:val="4A6C2028"/>
    <w:rsid w:val="4AB344AE"/>
    <w:rsid w:val="4AD87876"/>
    <w:rsid w:val="4AEB582E"/>
    <w:rsid w:val="4B3747C0"/>
    <w:rsid w:val="4B547294"/>
    <w:rsid w:val="4B950D6A"/>
    <w:rsid w:val="4C0513A3"/>
    <w:rsid w:val="4C1404D8"/>
    <w:rsid w:val="4C4F6D8C"/>
    <w:rsid w:val="4C5E7D04"/>
    <w:rsid w:val="4C9016EF"/>
    <w:rsid w:val="4CDE01E1"/>
    <w:rsid w:val="4CF14D69"/>
    <w:rsid w:val="4CF43B6E"/>
    <w:rsid w:val="4D2E7EF7"/>
    <w:rsid w:val="4D782759"/>
    <w:rsid w:val="4D9B0D1E"/>
    <w:rsid w:val="4DC52FF9"/>
    <w:rsid w:val="4DD80599"/>
    <w:rsid w:val="4DED5526"/>
    <w:rsid w:val="4DFC13D3"/>
    <w:rsid w:val="4E0235AF"/>
    <w:rsid w:val="4E447ECF"/>
    <w:rsid w:val="4E706FAA"/>
    <w:rsid w:val="4E7B3AFA"/>
    <w:rsid w:val="4EB97A8C"/>
    <w:rsid w:val="4EC80F7A"/>
    <w:rsid w:val="4EC97B9F"/>
    <w:rsid w:val="4F1D4D2D"/>
    <w:rsid w:val="4F7F3364"/>
    <w:rsid w:val="4F8F28D0"/>
    <w:rsid w:val="4FA34CFE"/>
    <w:rsid w:val="4FAC54C7"/>
    <w:rsid w:val="4FE65048"/>
    <w:rsid w:val="50017999"/>
    <w:rsid w:val="502D0BCB"/>
    <w:rsid w:val="50746AF7"/>
    <w:rsid w:val="50C35389"/>
    <w:rsid w:val="50D4299F"/>
    <w:rsid w:val="51270AC4"/>
    <w:rsid w:val="51514E61"/>
    <w:rsid w:val="515D41D5"/>
    <w:rsid w:val="51995A28"/>
    <w:rsid w:val="519A206F"/>
    <w:rsid w:val="51A32B1A"/>
    <w:rsid w:val="51C54C55"/>
    <w:rsid w:val="51F4359F"/>
    <w:rsid w:val="51F52C3A"/>
    <w:rsid w:val="523F5026"/>
    <w:rsid w:val="5242086C"/>
    <w:rsid w:val="52745F4F"/>
    <w:rsid w:val="531F0EC1"/>
    <w:rsid w:val="533F14C0"/>
    <w:rsid w:val="53417EAF"/>
    <w:rsid w:val="53467791"/>
    <w:rsid w:val="5385350F"/>
    <w:rsid w:val="546D0C49"/>
    <w:rsid w:val="548B584B"/>
    <w:rsid w:val="549A28A4"/>
    <w:rsid w:val="54B1707D"/>
    <w:rsid w:val="54E200EF"/>
    <w:rsid w:val="54E22A79"/>
    <w:rsid w:val="55145DFA"/>
    <w:rsid w:val="55270FE4"/>
    <w:rsid w:val="55634960"/>
    <w:rsid w:val="55D261E0"/>
    <w:rsid w:val="55DA38A0"/>
    <w:rsid w:val="55F05200"/>
    <w:rsid w:val="56104201"/>
    <w:rsid w:val="56197820"/>
    <w:rsid w:val="565E627F"/>
    <w:rsid w:val="56932472"/>
    <w:rsid w:val="569D636B"/>
    <w:rsid w:val="56FC15F5"/>
    <w:rsid w:val="57454859"/>
    <w:rsid w:val="57455F72"/>
    <w:rsid w:val="577013CA"/>
    <w:rsid w:val="57A91901"/>
    <w:rsid w:val="57AA72A2"/>
    <w:rsid w:val="57AC4C64"/>
    <w:rsid w:val="5827444F"/>
    <w:rsid w:val="58443253"/>
    <w:rsid w:val="5858154D"/>
    <w:rsid w:val="58874C85"/>
    <w:rsid w:val="589016E6"/>
    <w:rsid w:val="594346CE"/>
    <w:rsid w:val="59516C0F"/>
    <w:rsid w:val="595565E5"/>
    <w:rsid w:val="59D005F3"/>
    <w:rsid w:val="59FE734B"/>
    <w:rsid w:val="5A1209A2"/>
    <w:rsid w:val="5A467B5B"/>
    <w:rsid w:val="5A4D721C"/>
    <w:rsid w:val="5A9518F9"/>
    <w:rsid w:val="5B2A0D21"/>
    <w:rsid w:val="5B991B08"/>
    <w:rsid w:val="5B997C0D"/>
    <w:rsid w:val="5BA070AF"/>
    <w:rsid w:val="5BE36E02"/>
    <w:rsid w:val="5C06796D"/>
    <w:rsid w:val="5C4E6776"/>
    <w:rsid w:val="5C6A37EF"/>
    <w:rsid w:val="5C8A54F9"/>
    <w:rsid w:val="5CC349F3"/>
    <w:rsid w:val="5D184CAE"/>
    <w:rsid w:val="5D3606B3"/>
    <w:rsid w:val="5D3A42A8"/>
    <w:rsid w:val="5D8051B1"/>
    <w:rsid w:val="5D942434"/>
    <w:rsid w:val="5D9B790A"/>
    <w:rsid w:val="5DB26190"/>
    <w:rsid w:val="5DBC5634"/>
    <w:rsid w:val="5DD754BA"/>
    <w:rsid w:val="5DDC4813"/>
    <w:rsid w:val="5DED567E"/>
    <w:rsid w:val="5E2A4C99"/>
    <w:rsid w:val="5E445C03"/>
    <w:rsid w:val="5E49734F"/>
    <w:rsid w:val="5E570E18"/>
    <w:rsid w:val="5E672F37"/>
    <w:rsid w:val="5E715C5E"/>
    <w:rsid w:val="5E9B16F3"/>
    <w:rsid w:val="5ECE2A5D"/>
    <w:rsid w:val="5EDE5A51"/>
    <w:rsid w:val="5EEC2AC7"/>
    <w:rsid w:val="5F117BAC"/>
    <w:rsid w:val="5F5F0736"/>
    <w:rsid w:val="5F851FA3"/>
    <w:rsid w:val="5FC1315C"/>
    <w:rsid w:val="5FC20048"/>
    <w:rsid w:val="5FE65FE4"/>
    <w:rsid w:val="603E474C"/>
    <w:rsid w:val="6044257D"/>
    <w:rsid w:val="605303D9"/>
    <w:rsid w:val="606F0D9F"/>
    <w:rsid w:val="60A17B22"/>
    <w:rsid w:val="60C74898"/>
    <w:rsid w:val="6118527D"/>
    <w:rsid w:val="616707E0"/>
    <w:rsid w:val="6172501B"/>
    <w:rsid w:val="61D83FCC"/>
    <w:rsid w:val="61E632D3"/>
    <w:rsid w:val="61F35FC3"/>
    <w:rsid w:val="62BF0517"/>
    <w:rsid w:val="62E24280"/>
    <w:rsid w:val="6313094A"/>
    <w:rsid w:val="631F0B45"/>
    <w:rsid w:val="633F0BBF"/>
    <w:rsid w:val="634879A5"/>
    <w:rsid w:val="63563B6A"/>
    <w:rsid w:val="639E05BF"/>
    <w:rsid w:val="63F75A4B"/>
    <w:rsid w:val="63FB5052"/>
    <w:rsid w:val="640E1B0F"/>
    <w:rsid w:val="641A4A3E"/>
    <w:rsid w:val="642A665E"/>
    <w:rsid w:val="642D19FF"/>
    <w:rsid w:val="649761B5"/>
    <w:rsid w:val="64994DA5"/>
    <w:rsid w:val="651D2E62"/>
    <w:rsid w:val="653438BA"/>
    <w:rsid w:val="653C0561"/>
    <w:rsid w:val="65451462"/>
    <w:rsid w:val="65841029"/>
    <w:rsid w:val="65CB43A9"/>
    <w:rsid w:val="65EC0747"/>
    <w:rsid w:val="66571FE4"/>
    <w:rsid w:val="671E1113"/>
    <w:rsid w:val="67316BCB"/>
    <w:rsid w:val="674152FA"/>
    <w:rsid w:val="6777710B"/>
    <w:rsid w:val="67AC2BC3"/>
    <w:rsid w:val="685F19E3"/>
    <w:rsid w:val="689E340C"/>
    <w:rsid w:val="68C95682"/>
    <w:rsid w:val="68E35B7E"/>
    <w:rsid w:val="695A670E"/>
    <w:rsid w:val="69731BEA"/>
    <w:rsid w:val="69AC66C4"/>
    <w:rsid w:val="69BB5974"/>
    <w:rsid w:val="69D54FA5"/>
    <w:rsid w:val="6A617C95"/>
    <w:rsid w:val="6AC12850"/>
    <w:rsid w:val="6AD2504B"/>
    <w:rsid w:val="6ADC37BF"/>
    <w:rsid w:val="6ADC43F8"/>
    <w:rsid w:val="6B0F149F"/>
    <w:rsid w:val="6B43244A"/>
    <w:rsid w:val="6B487844"/>
    <w:rsid w:val="6B9B0F84"/>
    <w:rsid w:val="6B9C5CF8"/>
    <w:rsid w:val="6BDC7CDB"/>
    <w:rsid w:val="6BFD6450"/>
    <w:rsid w:val="6C112F92"/>
    <w:rsid w:val="6C2210CA"/>
    <w:rsid w:val="6C443EF6"/>
    <w:rsid w:val="6C803A81"/>
    <w:rsid w:val="6C9247BD"/>
    <w:rsid w:val="6CFB1EDD"/>
    <w:rsid w:val="6D5F3107"/>
    <w:rsid w:val="6E3C3D68"/>
    <w:rsid w:val="6E453429"/>
    <w:rsid w:val="6E4E423D"/>
    <w:rsid w:val="6E6E3355"/>
    <w:rsid w:val="6E83027E"/>
    <w:rsid w:val="6EF65CDE"/>
    <w:rsid w:val="6F3B6D06"/>
    <w:rsid w:val="6FCA1B4E"/>
    <w:rsid w:val="6FF17B65"/>
    <w:rsid w:val="701A2263"/>
    <w:rsid w:val="702520FF"/>
    <w:rsid w:val="7028027D"/>
    <w:rsid w:val="707B54E7"/>
    <w:rsid w:val="708E0C41"/>
    <w:rsid w:val="71603933"/>
    <w:rsid w:val="717C11B4"/>
    <w:rsid w:val="71CA0999"/>
    <w:rsid w:val="72225F5B"/>
    <w:rsid w:val="73645E9A"/>
    <w:rsid w:val="736D5B1B"/>
    <w:rsid w:val="73B67E5B"/>
    <w:rsid w:val="744D266D"/>
    <w:rsid w:val="749E08F1"/>
    <w:rsid w:val="75023E22"/>
    <w:rsid w:val="75D37451"/>
    <w:rsid w:val="75F04680"/>
    <w:rsid w:val="76514541"/>
    <w:rsid w:val="76A049D8"/>
    <w:rsid w:val="76DD3DDD"/>
    <w:rsid w:val="771B2B82"/>
    <w:rsid w:val="776121CC"/>
    <w:rsid w:val="77655FB1"/>
    <w:rsid w:val="77700E71"/>
    <w:rsid w:val="777A466E"/>
    <w:rsid w:val="77E806B6"/>
    <w:rsid w:val="77ED0F35"/>
    <w:rsid w:val="78643617"/>
    <w:rsid w:val="78C60E26"/>
    <w:rsid w:val="78CC6E72"/>
    <w:rsid w:val="78FC5D55"/>
    <w:rsid w:val="7916166F"/>
    <w:rsid w:val="79786DA9"/>
    <w:rsid w:val="798A66D5"/>
    <w:rsid w:val="79915775"/>
    <w:rsid w:val="79D65121"/>
    <w:rsid w:val="7A037EEE"/>
    <w:rsid w:val="7A4A461B"/>
    <w:rsid w:val="7AA2383A"/>
    <w:rsid w:val="7AB7745D"/>
    <w:rsid w:val="7ACD1E79"/>
    <w:rsid w:val="7AD25CB5"/>
    <w:rsid w:val="7AF7054B"/>
    <w:rsid w:val="7B196B04"/>
    <w:rsid w:val="7B1C2CCB"/>
    <w:rsid w:val="7B3A70CD"/>
    <w:rsid w:val="7B3D351B"/>
    <w:rsid w:val="7B4927AB"/>
    <w:rsid w:val="7B6E5D6D"/>
    <w:rsid w:val="7B944376"/>
    <w:rsid w:val="7BBC1AD5"/>
    <w:rsid w:val="7BD90014"/>
    <w:rsid w:val="7BD91DB1"/>
    <w:rsid w:val="7BEB7641"/>
    <w:rsid w:val="7C037113"/>
    <w:rsid w:val="7C1C2D14"/>
    <w:rsid w:val="7C6E37D1"/>
    <w:rsid w:val="7C871B9A"/>
    <w:rsid w:val="7CF80501"/>
    <w:rsid w:val="7D984ED5"/>
    <w:rsid w:val="7D9C12B8"/>
    <w:rsid w:val="7D9F480B"/>
    <w:rsid w:val="7DE642E1"/>
    <w:rsid w:val="7DE66D72"/>
    <w:rsid w:val="7DEC38C1"/>
    <w:rsid w:val="7DFD162B"/>
    <w:rsid w:val="7E137240"/>
    <w:rsid w:val="7E6C1CCD"/>
    <w:rsid w:val="7E8B4E88"/>
    <w:rsid w:val="7EA06B86"/>
    <w:rsid w:val="7EBA751C"/>
    <w:rsid w:val="7EC736DA"/>
    <w:rsid w:val="7F141EE0"/>
    <w:rsid w:val="7F1944A2"/>
    <w:rsid w:val="7F9D6871"/>
    <w:rsid w:val="7FE06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宋体" w:asciiTheme="minorHAnsi" w:hAnsiTheme="minorHAnsi" w:cstheme="minorBidi"/>
      <w:kern w:val="2"/>
      <w:sz w:val="21"/>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autoSpaceDE w:val="0"/>
      <w:autoSpaceDN w:val="0"/>
    </w:pPr>
    <w:rPr>
      <w:rFonts w:ascii="仿宋_GB2312" w:hAnsi="仿宋_GB2312" w:cs="仿宋_GB2312"/>
      <w:sz w:val="22"/>
      <w:szCs w:val="32"/>
      <w:lang w:eastAsia="en-US"/>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libri Light" w:hAnsi="Calibri Light" w:cs="Times New Roman"/>
      <w:b/>
      <w:bCs/>
      <w:sz w:val="32"/>
      <w:szCs w:val="32"/>
    </w:rPr>
  </w:style>
  <w:style w:type="paragraph" w:styleId="9">
    <w:name w:val="Body Text First Indent"/>
    <w:basedOn w:val="4"/>
    <w:unhideWhenUsed/>
    <w:qFormat/>
    <w:uiPriority w:val="99"/>
    <w:pPr>
      <w:ind w:firstLine="420" w:firstLineChars="100"/>
    </w:pPr>
  </w:style>
  <w:style w:type="character" w:styleId="12">
    <w:name w:val="Strong"/>
    <w:basedOn w:val="11"/>
    <w:qFormat/>
    <w:uiPriority w:val="0"/>
    <w:rPr>
      <w:b/>
    </w:rPr>
  </w:style>
  <w:style w:type="paragraph" w:customStyle="1" w:styleId="13">
    <w:name w:val="Default"/>
    <w:basedOn w:val="14"/>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14">
    <w:name w:val="正文 New"/>
    <w:next w:val="15"/>
    <w:qFormat/>
    <w:uiPriority w:val="0"/>
    <w:pPr>
      <w:widowControl w:val="0"/>
      <w:jc w:val="both"/>
    </w:pPr>
    <w:rPr>
      <w:rFonts w:ascii="Calibri" w:hAnsi="Calibri" w:eastAsia="宋体" w:cs="黑体"/>
      <w:kern w:val="2"/>
      <w:sz w:val="21"/>
      <w:szCs w:val="22"/>
      <w:lang w:val="en-US" w:eastAsia="zh-CN"/>
    </w:rPr>
  </w:style>
  <w:style w:type="paragraph" w:customStyle="1" w:styleId="15">
    <w:name w:val="标题 2 New"/>
    <w:basedOn w:val="14"/>
    <w:next w:val="14"/>
    <w:qFormat/>
    <w:uiPriority w:val="0"/>
    <w:pPr>
      <w:keepNext/>
      <w:keepLines/>
      <w:spacing w:before="260" w:after="260" w:line="416" w:lineRule="auto"/>
      <w:outlineLvl w:val="1"/>
    </w:pPr>
    <w:rPr>
      <w:rFonts w:ascii="Calibri Light" w:hAnsi="Calibri Light" w:eastAsia="宋体" w:cs="Times New Roman"/>
      <w:b/>
      <w:bCs/>
      <w:szCs w:val="32"/>
    </w:rPr>
  </w:style>
  <w:style w:type="character" w:customStyle="1" w:styleId="16">
    <w:name w:val="fontstyle01"/>
    <w:basedOn w:val="11"/>
    <w:qFormat/>
    <w:uiPriority w:val="0"/>
    <w:rPr>
      <w:rFonts w:ascii="仿宋" w:hAnsi="仿宋" w:eastAsia="仿宋" w:cs="仿宋"/>
      <w:color w:val="000000"/>
      <w:sz w:val="32"/>
      <w:szCs w:val="32"/>
    </w:rPr>
  </w:style>
  <w:style w:type="paragraph" w:customStyle="1" w:styleId="17">
    <w:name w:val="TOC2"/>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 w:type="paragraph" w:customStyle="1" w:styleId="18">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市工商局</Company>
  <Pages>16</Pages>
  <Words>7983</Words>
  <Characters>8080</Characters>
  <Lines>0</Lines>
  <Paragraphs>0</Paragraphs>
  <TotalTime>23</TotalTime>
  <ScaleCrop>false</ScaleCrop>
  <LinksUpToDate>false</LinksUpToDate>
  <CharactersWithSpaces>8185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2019-05-07T16:38:00Z</dcterms:created>
  <dc:creator>张涛</dc:creator>
  <cp:lastModifiedBy>c_Ronfi</cp:lastModifiedBy>
  <cp:lastPrinted>2026-10-08T00:59:00Z</cp:lastPrinted>
  <dcterms:modified xsi:type="dcterms:W3CDTF">2026-10-16T02:44:49Z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EB39989279894725960016EBB2687E65_13</vt:lpwstr>
  </property>
  <property fmtid="{D5CDD505-2E9C-101B-9397-08002B2CF9AE}" pid="4" name="KSOTemplateDocerSaveRecord">
    <vt:lpwstr>eyJoZGlkIjoiYTUwMDYxZjE5Mzk4NzQ2NTg2NDQ0OGIyNjU3ODQ3MWUiLCJ1c2VySWQiOiIzMDA0OTMwNTgifQ==</vt:lpwstr>
  </property>
</Properties>
</file>