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40" w:lineRule="exact"/>
        <w:textAlignment w:val="auto"/>
        <w:rPr>
          <w:rFonts w:hint="eastAsia" w:eastAsia="黑体"/>
          <w:color w:val="auto"/>
          <w:sz w:val="32"/>
          <w:highlight w:val="none"/>
          <w:lang w:val="en-US" w:eastAsia="zh-CN"/>
        </w:rPr>
      </w:pPr>
      <w:r>
        <w:rPr>
          <w:rFonts w:hint="eastAsia" w:ascii="黑体" w:hAnsi="黑体" w:eastAsia="黑体" w:cs="黑体"/>
          <w:color w:val="auto"/>
          <w:sz w:val="32"/>
          <w:highlight w:val="none"/>
        </w:rPr>
        <w:t>附件</w:t>
      </w:r>
      <w:r>
        <w:rPr>
          <w:rFonts w:hint="eastAsia" w:ascii="黑体" w:hAnsi="黑体" w:eastAsia="黑体" w:cs="黑体"/>
          <w:color w:val="auto"/>
          <w:sz w:val="32"/>
          <w:highlight w:val="none"/>
          <w:lang w:val="en-US" w:eastAsia="zh-CN"/>
        </w:rPr>
        <w:t>2</w:t>
      </w:r>
    </w:p>
    <w:p>
      <w:pPr>
        <w:keepNext w:val="0"/>
        <w:keepLines w:val="0"/>
        <w:pageBreakBefore w:val="0"/>
        <w:widowControl w:val="0"/>
        <w:kinsoku/>
        <w:wordWrap/>
        <w:overflowPunct/>
        <w:topLinePunct w:val="0"/>
        <w:bidi w:val="0"/>
        <w:snapToGrid/>
        <w:spacing w:line="540" w:lineRule="exact"/>
        <w:jc w:val="center"/>
        <w:textAlignment w:val="auto"/>
        <w:rPr>
          <w:rFonts w:hint="eastAsia" w:eastAsia="方正小标宋简体"/>
          <w:color w:val="auto"/>
          <w:sz w:val="36"/>
          <w:szCs w:val="36"/>
          <w:highlight w:val="none"/>
        </w:rPr>
      </w:pPr>
    </w:p>
    <w:p>
      <w:pPr>
        <w:keepNext w:val="0"/>
        <w:keepLines w:val="0"/>
        <w:pageBreakBefore w:val="0"/>
        <w:widowControl w:val="0"/>
        <w:shd w:val="solid" w:color="FFFFFF" w:fill="auto"/>
        <w:kinsoku/>
        <w:wordWrap/>
        <w:overflowPunct/>
        <w:topLinePunct w:val="0"/>
        <w:autoSpaceDE/>
        <w:autoSpaceDN w:val="0"/>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pPr>
      <w:r>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t>《揭阳市医疗保障局关于公布揭阳市公立</w:t>
      </w:r>
    </w:p>
    <w:p>
      <w:pPr>
        <w:keepNext w:val="0"/>
        <w:keepLines w:val="0"/>
        <w:pageBreakBefore w:val="0"/>
        <w:widowControl w:val="0"/>
        <w:shd w:val="solid" w:color="FFFFFF" w:fill="auto"/>
        <w:kinsoku/>
        <w:wordWrap/>
        <w:overflowPunct/>
        <w:topLinePunct w:val="0"/>
        <w:autoSpaceDE/>
        <w:autoSpaceDN w:val="0"/>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pPr>
      <w:r>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t>医疗机构一般治疗类等医疗服务价格项目</w:t>
      </w:r>
    </w:p>
    <w:p>
      <w:pPr>
        <w:keepNext w:val="0"/>
        <w:keepLines w:val="0"/>
        <w:pageBreakBefore w:val="0"/>
        <w:widowControl w:val="0"/>
        <w:shd w:val="solid" w:color="FFFFFF" w:fill="auto"/>
        <w:kinsoku/>
        <w:wordWrap/>
        <w:overflowPunct/>
        <w:topLinePunct w:val="0"/>
        <w:autoSpaceDE/>
        <w:autoSpaceDN w:val="0"/>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pPr>
      <w:r>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t>价格的通知（征求意见稿）》</w:t>
      </w:r>
    </w:p>
    <w:p>
      <w:pPr>
        <w:keepNext w:val="0"/>
        <w:keepLines w:val="0"/>
        <w:pageBreakBefore w:val="0"/>
        <w:widowControl w:val="0"/>
        <w:shd w:val="solid" w:color="FFFFFF" w:fill="auto"/>
        <w:kinsoku/>
        <w:wordWrap/>
        <w:overflowPunct/>
        <w:topLinePunct w:val="0"/>
        <w:autoSpaceDE/>
        <w:autoSpaceDN w:val="0"/>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pPr>
      <w:r>
        <w:rPr>
          <w:rFonts w:hint="eastAsia" w:ascii="方正小标宋简体" w:hAnsi="方正小标宋简体" w:eastAsia="方正小标宋简体" w:cs="方正小标宋简体"/>
          <w:color w:val="auto"/>
          <w:spacing w:val="-11"/>
          <w:sz w:val="44"/>
          <w:szCs w:val="44"/>
          <w:highlight w:val="none"/>
          <w:shd w:val="clear" w:color="auto" w:fill="FFFFFF"/>
          <w:lang w:val="en-US" w:eastAsia="zh-CN"/>
        </w:rPr>
        <w:t>起草说明</w:t>
      </w:r>
    </w:p>
    <w:p>
      <w:pPr>
        <w:keepNext w:val="0"/>
        <w:keepLines w:val="0"/>
        <w:pageBreakBefore w:val="0"/>
        <w:widowControl w:val="0"/>
        <w:kinsoku/>
        <w:wordWrap/>
        <w:overflowPunct/>
        <w:topLinePunct w:val="0"/>
        <w:bidi w:val="0"/>
        <w:snapToGrid/>
        <w:spacing w:line="540" w:lineRule="exact"/>
        <w:ind w:right="641"/>
        <w:textAlignment w:val="auto"/>
        <w:rPr>
          <w:rFonts w:eastAsia="方正小标宋简体"/>
          <w:color w:val="auto"/>
          <w:sz w:val="44"/>
          <w:highlight w:val="none"/>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Times New Roman" w:hAnsi="Times New Roman" w:eastAsia="仿宋"/>
          <w:sz w:val="32"/>
          <w:szCs w:val="32"/>
        </w:rPr>
      </w:pPr>
      <w:r>
        <w:rPr>
          <w:rFonts w:hint="eastAsia" w:ascii="黑体" w:hAnsi="黑体" w:eastAsia="黑体" w:cs="黑体"/>
          <w:sz w:val="32"/>
          <w:szCs w:val="32"/>
          <w:lang w:val="en-US" w:eastAsia="zh-CN"/>
        </w:rPr>
        <w:t>一、</w:t>
      </w:r>
      <w:r>
        <w:rPr>
          <w:rFonts w:hint="eastAsia" w:ascii="黑体" w:hAnsi="黑体" w:eastAsia="黑体" w:cs="黑体"/>
          <w:b w:val="0"/>
          <w:bCs w:val="0"/>
          <w:kern w:val="0"/>
          <w:sz w:val="32"/>
          <w:lang w:eastAsia="zh-CN"/>
        </w:rPr>
        <w:t>起草</w:t>
      </w:r>
      <w:r>
        <w:rPr>
          <w:rFonts w:hint="eastAsia" w:ascii="黑体" w:hAnsi="黑体" w:eastAsia="黑体" w:cs="黑体"/>
          <w:b w:val="0"/>
          <w:bCs w:val="0"/>
          <w:kern w:val="0"/>
          <w:sz w:val="32"/>
        </w:rPr>
        <w:t>背景</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为贯彻落实《国家医疗保障局办公室关于进一步做好医疗服务价格管理工作的通知》（医保办发〔2022〕16号）等文件精神</w:t>
      </w:r>
      <w:bookmarkStart w:id="0" w:name="OLE_LINK2"/>
      <w:r>
        <w:rPr>
          <w:rFonts w:hint="eastAsia" w:ascii="仿宋_GB2312" w:hAnsi="仿宋_GB2312" w:eastAsia="仿宋_GB2312" w:cs="仿宋_GB2312"/>
          <w:color w:val="auto"/>
          <w:sz w:val="32"/>
          <w:szCs w:val="32"/>
          <w:highlight w:val="none"/>
          <w:u w:val="none"/>
          <w:lang w:val="en-US" w:eastAsia="zh-CN"/>
        </w:rPr>
        <w:t>，根据国家医疗保障局医药价格和招标采购司关于一般治疗、药学、病理、手术和治疗辅助操作、眼科、颌面外科、血管淋巴、骨骼肌肉系统、物理治疗等9批次医疗服务价格项目立项指南文件及国家医保局工作要求，省医保局于2026年7月21日印发《广东省医疗保障局关于规范整合一般治疗类等医疗服务价格项目的通知》（粤医保发〔2026〕9号），对我省一般治疗、药学、病理、手术和治疗辅助操作、眼科、颌面外科、血管淋巴、骨骼肌</w:t>
      </w:r>
      <w:bookmarkStart w:id="4" w:name="_GoBack"/>
      <w:bookmarkEnd w:id="4"/>
      <w:r>
        <w:rPr>
          <w:rFonts w:hint="eastAsia" w:ascii="仿宋_GB2312" w:hAnsi="仿宋_GB2312" w:eastAsia="仿宋_GB2312" w:cs="仿宋_GB2312"/>
          <w:color w:val="auto"/>
          <w:sz w:val="32"/>
          <w:szCs w:val="32"/>
          <w:highlight w:val="none"/>
          <w:u w:val="none"/>
          <w:lang w:val="en-US" w:eastAsia="zh-CN"/>
        </w:rPr>
        <w:t>肉系统、物理治疗等9类医疗服务价格项目进行优化整合并制定全省最高限价，</w:t>
      </w:r>
      <w:bookmarkEnd w:id="0"/>
      <w:r>
        <w:rPr>
          <w:rFonts w:hint="eastAsia" w:ascii="仿宋_GB2312" w:hAnsi="仿宋_GB2312" w:eastAsia="仿宋_GB2312" w:cs="仿宋_GB2312"/>
          <w:color w:val="auto"/>
          <w:sz w:val="32"/>
          <w:szCs w:val="32"/>
          <w:highlight w:val="none"/>
          <w:u w:val="none"/>
          <w:lang w:val="en-US" w:eastAsia="zh-CN"/>
        </w:rPr>
        <w:t>要求各地市根据省最高价确定辖区内公立医疗机构相关医疗服务项目的政府指导价。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黑体" w:hAnsi="黑体" w:eastAsia="黑体" w:cs="黑体"/>
          <w:strike w:val="0"/>
          <w:dstrike w:val="0"/>
          <w:sz w:val="32"/>
          <w:szCs w:val="32"/>
          <w:u w:val="none"/>
          <w:lang w:val="en-US" w:eastAsia="zh-CN"/>
        </w:rPr>
      </w:pPr>
      <w:r>
        <w:rPr>
          <w:rFonts w:hint="eastAsia" w:ascii="黑体" w:hAnsi="黑体" w:eastAsia="黑体" w:cs="黑体"/>
          <w:strike w:val="0"/>
          <w:dstrike w:val="0"/>
          <w:sz w:val="32"/>
          <w:szCs w:val="32"/>
          <w:u w:val="none"/>
          <w:lang w:val="en-US" w:eastAsia="zh-CN"/>
        </w:rPr>
        <w:t>二、政策依据</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《广东省定价目录（2022年版）》</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粤府办</w:t>
      </w:r>
      <w:r>
        <w:rPr>
          <w:rFonts w:hint="eastAsia" w:ascii="仿宋_GB2312" w:hAnsi="仿宋_GB2312" w:eastAsia="仿宋_GB2312" w:cs="仿宋_GB2312"/>
          <w:b w:val="0"/>
          <w:bCs w:val="0"/>
          <w:color w:val="auto"/>
          <w:kern w:val="0"/>
          <w:sz w:val="32"/>
          <w:szCs w:val="32"/>
          <w:lang w:val="en-US" w:eastAsia="zh-CN" w:bidi="ar"/>
        </w:rPr>
        <w:t>〔2022〕5号）</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（二）</w:t>
      </w:r>
      <w:r>
        <w:rPr>
          <w:rFonts w:hint="eastAsia" w:ascii="仿宋_GB2312" w:hAnsi="仿宋_GB2312" w:eastAsia="仿宋_GB2312" w:cs="仿宋_GB2312"/>
          <w:b w:val="0"/>
          <w:bCs w:val="0"/>
          <w:color w:val="auto"/>
          <w:kern w:val="0"/>
          <w:sz w:val="32"/>
          <w:szCs w:val="32"/>
          <w:lang w:val="en-US" w:eastAsia="zh-CN" w:bidi="ar"/>
        </w:rPr>
        <w:t>《广东省发展改革委关于印发关于政府制定价格行为规则的实施细则（2024年修订）的通知》</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kern w:val="0"/>
          <w:sz w:val="32"/>
          <w:szCs w:val="32"/>
          <w:lang w:val="en-US" w:eastAsia="zh-CN" w:bidi="ar"/>
        </w:rPr>
        <w:t>粤发改规〔2024〕3号</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eastAsia="zh-CN"/>
        </w:rPr>
        <w:t>（三）《广东省医疗保障局</w:t>
      </w:r>
      <w:r>
        <w:rPr>
          <w:rFonts w:hint="eastAsia" w:ascii="仿宋_GB2312" w:hAnsi="仿宋_GB2312" w:eastAsia="仿宋_GB2312" w:cs="仿宋_GB2312"/>
          <w:b w:val="0"/>
          <w:bCs w:val="0"/>
          <w:color w:val="auto"/>
          <w:sz w:val="32"/>
          <w:szCs w:val="32"/>
          <w:highlight w:val="none"/>
          <w:u w:val="none"/>
          <w:lang w:val="en-US" w:eastAsia="zh-CN"/>
        </w:rPr>
        <w:t>关于印发</w:t>
      </w:r>
      <w:r>
        <w:rPr>
          <w:rFonts w:hint="eastAsia" w:ascii="仿宋_GB2312" w:hAnsi="仿宋_GB2312" w:eastAsia="仿宋_GB2312" w:cs="仿宋_GB2312"/>
          <w:b w:val="0"/>
          <w:bCs w:val="0"/>
          <w:color w:val="auto"/>
          <w:sz w:val="32"/>
          <w:szCs w:val="32"/>
          <w:highlight w:val="none"/>
          <w:u w:val="none"/>
          <w:lang w:eastAsia="zh-CN"/>
        </w:rPr>
        <w:t>新增医疗服务价格项目管理办法》（粤医保规〔202</w:t>
      </w:r>
      <w:r>
        <w:rPr>
          <w:rFonts w:hint="eastAsia" w:ascii="仿宋_GB2312" w:hAnsi="仿宋_GB2312" w:eastAsia="仿宋_GB2312" w:cs="仿宋_GB2312"/>
          <w:b w:val="0"/>
          <w:bCs w:val="0"/>
          <w:color w:val="auto"/>
          <w:sz w:val="32"/>
          <w:szCs w:val="32"/>
          <w:highlight w:val="none"/>
          <w:u w:val="none"/>
          <w:lang w:val="en-US" w:eastAsia="zh-CN"/>
        </w:rPr>
        <w:t>4</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2</w:t>
      </w:r>
      <w:r>
        <w:rPr>
          <w:rFonts w:hint="eastAsia" w:ascii="仿宋_GB2312" w:hAnsi="仿宋_GB2312" w:eastAsia="仿宋_GB2312" w:cs="仿宋_GB2312"/>
          <w:b w:val="0"/>
          <w:bCs w:val="0"/>
          <w:color w:val="auto"/>
          <w:sz w:val="32"/>
          <w:szCs w:val="32"/>
          <w:highlight w:val="none"/>
          <w:u w:val="none"/>
          <w:lang w:eastAsia="zh-CN"/>
        </w:rPr>
        <w:t>号）</w:t>
      </w:r>
    </w:p>
    <w:p>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strike w:val="0"/>
          <w:dstrike w:val="0"/>
          <w:color w:val="auto"/>
          <w:sz w:val="32"/>
          <w:szCs w:val="32"/>
          <w:u w:val="none"/>
          <w:lang w:val="en-US" w:eastAsia="zh-CN"/>
        </w:rPr>
        <w:t>（四）《广东省医疗保障局关于完善公立医疗机构医疗服务价格管理机制的通知》(粤医保规〔2025〕5号）</w:t>
      </w:r>
    </w:p>
    <w:p>
      <w:pPr>
        <w:pStyle w:val="2"/>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strike w:val="0"/>
          <w:dstrike w:val="0"/>
          <w:color w:val="auto"/>
          <w:sz w:val="32"/>
          <w:szCs w:val="32"/>
          <w:highlight w:val="none"/>
          <w:u w:val="none"/>
          <w:lang w:val="en-US" w:eastAsia="zh-CN"/>
        </w:rPr>
      </w:pPr>
      <w:r>
        <w:rPr>
          <w:rFonts w:hint="eastAsia" w:ascii="仿宋_GB2312" w:hAnsi="仿宋_GB2312" w:eastAsia="仿宋_GB2312" w:cs="仿宋_GB2312"/>
          <w:b w:val="0"/>
          <w:bCs w:val="0"/>
          <w:strike w:val="0"/>
          <w:dstrike w:val="0"/>
          <w:color w:val="auto"/>
          <w:sz w:val="32"/>
          <w:szCs w:val="32"/>
          <w:highlight w:val="none"/>
          <w:u w:val="none"/>
          <w:lang w:val="en-US" w:eastAsia="zh-CN"/>
        </w:rPr>
        <w:t>（五）</w:t>
      </w:r>
      <w:r>
        <w:rPr>
          <w:rFonts w:hint="eastAsia" w:ascii="仿宋_GB2312" w:hAnsi="仿宋_GB2312" w:eastAsia="仿宋_GB2312" w:cs="仿宋_GB2312"/>
          <w:kern w:val="0"/>
          <w:sz w:val="32"/>
          <w:szCs w:val="32"/>
          <w:highlight w:val="none"/>
          <w:u w:val="none"/>
          <w:lang w:val="en-US" w:eastAsia="zh-CN"/>
        </w:rPr>
        <w:t>《</w:t>
      </w:r>
      <w:r>
        <w:rPr>
          <w:rFonts w:hint="eastAsia" w:ascii="仿宋_GB2312" w:hAnsi="仿宋_GB2312" w:eastAsia="仿宋_GB2312" w:cs="仿宋_GB2312"/>
          <w:kern w:val="0"/>
          <w:sz w:val="32"/>
          <w:szCs w:val="32"/>
          <w:highlight w:val="none"/>
          <w:lang w:val="en-US" w:eastAsia="zh-CN"/>
        </w:rPr>
        <w:t>广东省医疗保障局关于规范整合一般治疗类等医疗服务价格项目的通知》（粤医保发〔2026〕</w:t>
      </w:r>
      <w:r>
        <w:rPr>
          <w:rFonts w:hint="eastAsia" w:ascii="仿宋_GB2312" w:hAnsi="仿宋_GB2312" w:eastAsia="仿宋_GB2312" w:cs="仿宋_GB2312"/>
          <w:sz w:val="32"/>
          <w:szCs w:val="32"/>
          <w:highlight w:val="none"/>
          <w:u w:val="none"/>
          <w:lang w:val="en-US" w:eastAsia="zh-CN"/>
        </w:rPr>
        <w:t>9号）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left"/>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lang w:eastAsia="zh-CN"/>
        </w:rPr>
        <w:t>定价</w:t>
      </w:r>
      <w:r>
        <w:rPr>
          <w:rFonts w:hint="eastAsia" w:ascii="黑体" w:hAnsi="黑体" w:eastAsia="黑体" w:cs="黑体"/>
          <w:color w:val="auto"/>
          <w:sz w:val="32"/>
          <w:szCs w:val="32"/>
          <w:lang w:val="en-US" w:eastAsia="zh-CN"/>
        </w:rPr>
        <w:t>情况</w:t>
      </w:r>
    </w:p>
    <w:p>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trike w:val="0"/>
          <w:dstrike w:val="0"/>
          <w:color w:val="auto"/>
          <w:sz w:val="32"/>
          <w:szCs w:val="32"/>
          <w:highlight w:val="none"/>
          <w:u w:val="none"/>
          <w:lang w:eastAsia="zh-CN"/>
        </w:rPr>
        <w:t>我局</w:t>
      </w:r>
      <w:r>
        <w:rPr>
          <w:rFonts w:hint="eastAsia" w:ascii="仿宋_GB2312" w:hAnsi="仿宋_GB2312" w:eastAsia="仿宋_GB2312" w:cs="仿宋_GB2312"/>
          <w:strike w:val="0"/>
          <w:dstrike w:val="0"/>
          <w:color w:val="000000" w:themeColor="text1"/>
          <w:sz w:val="32"/>
          <w:szCs w:val="32"/>
          <w:highlight w:val="none"/>
          <w:u w:val="none"/>
          <w:lang w:val="en-US" w:eastAsia="zh-CN"/>
          <w14:textFill>
            <w14:solidFill>
              <w14:schemeClr w14:val="tx1"/>
            </w14:solidFill>
          </w14:textFill>
        </w:rPr>
        <w:t>按照定价程序开展项目价格调查和成本调查，</w:t>
      </w:r>
      <w:r>
        <w:rPr>
          <w:rFonts w:hint="eastAsia" w:ascii="仿宋_GB2312" w:hAnsi="仿宋_GB2312" w:eastAsia="仿宋_GB2312" w:cs="仿宋_GB2312"/>
          <w:strike w:val="0"/>
          <w:dstrike w:val="0"/>
          <w:color w:val="auto"/>
          <w:sz w:val="32"/>
          <w:szCs w:val="32"/>
          <w:highlight w:val="none"/>
          <w:u w:val="none"/>
          <w:lang w:val="en-US" w:eastAsia="zh-CN"/>
        </w:rPr>
        <w:t>组织有关公立医疗机构填报项目价格和成本数据,选取揭阳市人民医院等12家样本医院对</w:t>
      </w:r>
      <w:r>
        <w:rPr>
          <w:rFonts w:hint="eastAsia" w:ascii="Times New Roman" w:hAnsi="Times New Roman" w:eastAsia="仿宋_GB2312"/>
          <w:color w:val="000000"/>
          <w:sz w:val="32"/>
          <w:szCs w:val="32"/>
          <w:highlight w:val="none"/>
          <w:lang w:eastAsia="zh-CN"/>
        </w:rPr>
        <w:t>一般治疗、药学、病理、手术和治疗辅助操作、眼科、颌面外科、血管淋巴、骨骼肌肉系统、物理治疗</w:t>
      </w:r>
      <w:r>
        <w:rPr>
          <w:rFonts w:hint="eastAsia" w:ascii="仿宋_GB2312" w:hAnsi="仿宋_GB2312" w:eastAsia="仿宋_GB2312" w:cs="仿宋_GB2312"/>
          <w:strike w:val="0"/>
          <w:dstrike w:val="0"/>
          <w:color w:val="auto"/>
          <w:kern w:val="2"/>
          <w:sz w:val="32"/>
          <w:szCs w:val="32"/>
          <w:highlight w:val="none"/>
          <w:u w:val="none"/>
          <w:lang w:val="en-US" w:eastAsia="zh-CN" w:bidi="ar-SA"/>
        </w:rPr>
        <w:t>等9类</w:t>
      </w:r>
      <w:r>
        <w:rPr>
          <w:rFonts w:hint="eastAsia" w:ascii="仿宋_GB2312" w:hAnsi="仿宋_GB2312" w:eastAsia="仿宋_GB2312" w:cs="仿宋_GB2312"/>
          <w:strike w:val="0"/>
          <w:dstrike w:val="0"/>
          <w:color w:val="auto"/>
          <w:sz w:val="32"/>
          <w:szCs w:val="32"/>
          <w:highlight w:val="none"/>
          <w:u w:val="none"/>
          <w:lang w:val="en-US" w:eastAsia="zh-CN"/>
        </w:rPr>
        <w:t>医疗服务价格项目进行成本测算。</w:t>
      </w:r>
      <w:r>
        <w:rPr>
          <w:rFonts w:hint="eastAsia" w:ascii="仿宋_GB2312" w:hAnsi="仿宋_GB2312" w:eastAsia="仿宋_GB2312" w:cs="仿宋_GB2312"/>
          <w:strike w:val="0"/>
          <w:dstrike w:val="0"/>
          <w:color w:val="000000" w:themeColor="text1"/>
          <w:sz w:val="32"/>
          <w:szCs w:val="32"/>
          <w:highlight w:val="none"/>
          <w:u w:val="none"/>
          <w:lang w:val="en-US" w:eastAsia="zh-CN"/>
          <w14:textFill>
            <w14:solidFill>
              <w14:schemeClr w14:val="tx1"/>
            </w14:solidFill>
          </w14:textFill>
        </w:rPr>
        <w:t>在省医保局制定的全省最高限</w:t>
      </w:r>
      <w:r>
        <w:rPr>
          <w:rFonts w:hint="eastAsia" w:ascii="仿宋_GB2312" w:hAnsi="仿宋_GB2312" w:eastAsia="仿宋_GB2312" w:cs="仿宋_GB2312"/>
          <w:strike w:val="0"/>
          <w:dstrike w:val="0"/>
          <w:color w:val="000000" w:themeColor="text1"/>
          <w:sz w:val="32"/>
          <w:szCs w:val="32"/>
          <w:highlight w:val="none"/>
          <w:u w:val="none"/>
          <w14:textFill>
            <w14:solidFill>
              <w14:schemeClr w14:val="tx1"/>
            </w14:solidFill>
          </w14:textFill>
        </w:rPr>
        <w:t>价</w:t>
      </w:r>
      <w:r>
        <w:rPr>
          <w:rFonts w:hint="eastAsia" w:ascii="仿宋_GB2312" w:hAnsi="仿宋_GB2312" w:eastAsia="仿宋_GB2312" w:cs="仿宋_GB2312"/>
          <w:strike w:val="0"/>
          <w:dstrike w:val="0"/>
          <w:color w:val="000000" w:themeColor="text1"/>
          <w:sz w:val="32"/>
          <w:szCs w:val="32"/>
          <w:highlight w:val="none"/>
          <w:u w:val="none"/>
          <w:lang w:val="en-US" w:eastAsia="zh-CN"/>
          <w14:textFill>
            <w14:solidFill>
              <w14:schemeClr w14:val="tx1"/>
            </w14:solidFill>
          </w14:textFill>
        </w:rPr>
        <w:t>的基础上</w:t>
      </w:r>
      <w:r>
        <w:rPr>
          <w:rFonts w:hint="eastAsia" w:ascii="仿宋_GB2312" w:hAnsi="仿宋_GB2312"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auto"/>
          <w:sz w:val="32"/>
          <w:szCs w:val="32"/>
          <w:highlight w:val="none"/>
          <w:u w:val="none"/>
        </w:rPr>
        <w:t>综合考虑地区经济发展水平（人均GDP）、城镇单位就业人员平均工资、</w:t>
      </w:r>
      <w:r>
        <w:rPr>
          <w:rFonts w:hint="eastAsia" w:ascii="仿宋_GB2312" w:hAnsi="仿宋_GB2312" w:eastAsia="仿宋_GB2312" w:cs="仿宋_GB2312"/>
          <w:color w:val="auto"/>
          <w:sz w:val="32"/>
          <w:szCs w:val="32"/>
          <w:highlight w:val="none"/>
          <w:u w:val="none"/>
          <w:lang w:val="en-US" w:eastAsia="zh-CN"/>
        </w:rPr>
        <w:t>居民人均可支配收入等指标排名数据、</w:t>
      </w:r>
      <w:r>
        <w:rPr>
          <w:rFonts w:hint="eastAsia" w:ascii="仿宋_GB2312" w:hAnsi="仿宋_GB2312" w:eastAsia="仿宋_GB2312" w:cs="仿宋_GB2312"/>
          <w:color w:val="auto"/>
          <w:sz w:val="32"/>
          <w:szCs w:val="32"/>
          <w:highlight w:val="none"/>
          <w:u w:val="none"/>
        </w:rPr>
        <w:t>医疗服务质量、患者负担水平、次均费用增幅、地方财政补贴、区域价格比较</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rPr>
        <w:t>基金</w:t>
      </w:r>
      <w:r>
        <w:rPr>
          <w:rFonts w:hint="eastAsia" w:ascii="仿宋_GB2312" w:hAnsi="仿宋_GB2312" w:eastAsia="仿宋_GB2312" w:cs="仿宋_GB2312"/>
          <w:color w:val="auto"/>
          <w:sz w:val="32"/>
          <w:szCs w:val="32"/>
          <w:highlight w:val="none"/>
          <w:lang w:val="en-US" w:eastAsia="zh-CN"/>
        </w:rPr>
        <w:t>运行</w:t>
      </w:r>
      <w:r>
        <w:rPr>
          <w:rFonts w:hint="eastAsia" w:ascii="仿宋_GB2312" w:hAnsi="仿宋_GB2312" w:eastAsia="仿宋_GB2312" w:cs="仿宋_GB2312"/>
          <w:color w:val="auto"/>
          <w:sz w:val="32"/>
          <w:szCs w:val="32"/>
          <w:highlight w:val="none"/>
        </w:rPr>
        <w:t>等情况</w:t>
      </w:r>
      <w:r>
        <w:rPr>
          <w:rFonts w:hint="eastAsia" w:ascii="仿宋_GB2312" w:hAnsi="仿宋_GB2312" w:eastAsia="仿宋_GB2312" w:cs="仿宋_GB2312"/>
          <w:color w:val="auto"/>
          <w:sz w:val="32"/>
          <w:szCs w:val="32"/>
          <w:highlight w:val="none"/>
          <w:u w:val="none"/>
        </w:rPr>
        <w:t>等</w:t>
      </w:r>
      <w:r>
        <w:rPr>
          <w:rFonts w:hint="eastAsia" w:ascii="仿宋_GB2312" w:hAnsi="仿宋_GB2312" w:eastAsia="仿宋_GB2312" w:cs="仿宋_GB2312"/>
          <w:color w:val="auto"/>
          <w:sz w:val="32"/>
          <w:szCs w:val="32"/>
          <w:highlight w:val="none"/>
          <w:u w:val="none"/>
          <w:lang w:eastAsia="zh-CN"/>
        </w:rPr>
        <w:t>因素</w:t>
      </w: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，经专家论证，</w:t>
      </w:r>
      <w:r>
        <w:rPr>
          <w:rFonts w:hint="eastAsia" w:ascii="仿宋_GB2312" w:hAnsi="仿宋_GB2312" w:eastAsia="仿宋_GB2312" w:cs="仿宋_GB2312"/>
          <w:strike w:val="0"/>
          <w:dstrike w:val="0"/>
          <w:color w:val="auto"/>
          <w:sz w:val="32"/>
          <w:szCs w:val="32"/>
          <w:highlight w:val="none"/>
          <w:lang w:val="en-US" w:eastAsia="zh-CN"/>
        </w:rPr>
        <w:t>拟</w:t>
      </w:r>
      <w:r>
        <w:rPr>
          <w:rFonts w:hint="eastAsia" w:ascii="仿宋_GB2312" w:hAnsi="仿宋_GB2312" w:eastAsia="仿宋_GB2312" w:cs="仿宋_GB2312"/>
          <w:color w:val="auto"/>
          <w:sz w:val="32"/>
          <w:szCs w:val="32"/>
          <w:highlight w:val="none"/>
          <w:u w:val="none"/>
          <w:lang w:val="en-US" w:eastAsia="zh-CN"/>
        </w:rPr>
        <w:t>按以下标准确定我市各级别公立医疗机构的最高限价。</w:t>
      </w:r>
    </w:p>
    <w:p>
      <w:pPr>
        <w:keepNext w:val="0"/>
        <w:keepLines w:val="0"/>
        <w:pageBreakBefore w:val="0"/>
        <w:numPr>
          <w:ilvl w:val="0"/>
          <w:numId w:val="0"/>
        </w:numPr>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bookmarkStart w:id="1" w:name="OLE_LINK3"/>
      <w:bookmarkStart w:id="2" w:name="OLE_LINK1"/>
      <w:bookmarkStart w:id="3" w:name="OLE_LINK9"/>
      <w:r>
        <w:rPr>
          <w:rFonts w:hint="eastAsia" w:ascii="仿宋_GB2312" w:hAnsi="仿宋_GB2312" w:eastAsia="仿宋_GB2312" w:cs="仿宋_GB2312"/>
          <w:color w:val="auto"/>
          <w:sz w:val="32"/>
          <w:szCs w:val="32"/>
          <w:highlight w:val="none"/>
          <w:u w:val="none"/>
          <w:lang w:val="en-US" w:eastAsia="zh-CN"/>
        </w:rPr>
        <w:t>我市三级公立医疗机构各类医疗服务价格项目的价格在全省最高限价基础上按比例下浮执行：</w:t>
      </w:r>
      <w:r>
        <w:rPr>
          <w:rFonts w:hint="eastAsia" w:ascii="仿宋_GB2312" w:hAnsi="仿宋_GB2312" w:eastAsia="仿宋_GB2312" w:cs="仿宋_GB2312"/>
          <w:color w:val="auto"/>
          <w:sz w:val="32"/>
          <w:szCs w:val="32"/>
          <w:highlight w:val="none"/>
          <w:u w:val="none"/>
          <w:lang w:eastAsia="zh-CN"/>
        </w:rPr>
        <w:t>一般治疗</w:t>
      </w:r>
      <w:r>
        <w:rPr>
          <w:rFonts w:hint="eastAsia" w:ascii="仿宋_GB2312" w:hAnsi="仿宋_GB2312" w:eastAsia="仿宋_GB2312" w:cs="仿宋_GB2312"/>
          <w:color w:val="auto"/>
          <w:sz w:val="32"/>
          <w:szCs w:val="32"/>
          <w:highlight w:val="none"/>
          <w:u w:val="none"/>
          <w:lang w:val="en-US" w:eastAsia="zh-CN"/>
        </w:rPr>
        <w:t>类下浮5-13%，</w:t>
      </w:r>
      <w:r>
        <w:rPr>
          <w:rFonts w:hint="eastAsia" w:ascii="仿宋_GB2312" w:hAnsi="仿宋_GB2312" w:eastAsia="仿宋_GB2312" w:cs="仿宋_GB2312"/>
          <w:color w:val="auto"/>
          <w:sz w:val="32"/>
          <w:szCs w:val="32"/>
          <w:highlight w:val="none"/>
          <w:u w:val="none"/>
          <w:lang w:eastAsia="zh-CN"/>
        </w:rPr>
        <w:t>药学</w:t>
      </w:r>
      <w:r>
        <w:rPr>
          <w:rFonts w:hint="eastAsia" w:ascii="仿宋_GB2312" w:hAnsi="仿宋_GB2312" w:eastAsia="仿宋_GB2312" w:cs="仿宋_GB2312"/>
          <w:color w:val="auto"/>
          <w:sz w:val="32"/>
          <w:szCs w:val="32"/>
          <w:highlight w:val="none"/>
          <w:u w:val="none"/>
          <w:lang w:val="en-US" w:eastAsia="zh-CN"/>
        </w:rPr>
        <w:t>类下浮10-12%，</w:t>
      </w:r>
      <w:r>
        <w:rPr>
          <w:rFonts w:hint="eastAsia" w:ascii="仿宋_GB2312" w:hAnsi="仿宋_GB2312" w:eastAsia="仿宋_GB2312" w:cs="仿宋_GB2312"/>
          <w:color w:val="auto"/>
          <w:sz w:val="32"/>
          <w:szCs w:val="32"/>
          <w:highlight w:val="none"/>
          <w:u w:val="none"/>
          <w:lang w:eastAsia="zh-CN"/>
        </w:rPr>
        <w:t>病理</w:t>
      </w:r>
      <w:r>
        <w:rPr>
          <w:rFonts w:hint="eastAsia" w:ascii="仿宋_GB2312" w:hAnsi="仿宋_GB2312" w:eastAsia="仿宋_GB2312" w:cs="仿宋_GB2312"/>
          <w:color w:val="auto"/>
          <w:sz w:val="32"/>
          <w:szCs w:val="32"/>
          <w:highlight w:val="none"/>
          <w:u w:val="none"/>
          <w:lang w:val="en-US" w:eastAsia="zh-CN"/>
        </w:rPr>
        <w:t>类下浮10-12%，</w:t>
      </w:r>
      <w:r>
        <w:rPr>
          <w:rFonts w:hint="eastAsia" w:ascii="仿宋_GB2312" w:hAnsi="仿宋_GB2312" w:eastAsia="仿宋_GB2312" w:cs="仿宋_GB2312"/>
          <w:color w:val="auto"/>
          <w:sz w:val="32"/>
          <w:szCs w:val="32"/>
          <w:highlight w:val="none"/>
          <w:u w:val="none"/>
          <w:lang w:eastAsia="zh-CN"/>
        </w:rPr>
        <w:t>手术和治疗辅助操作</w:t>
      </w:r>
      <w:r>
        <w:rPr>
          <w:rFonts w:hint="eastAsia" w:ascii="仿宋_GB2312" w:hAnsi="仿宋_GB2312" w:eastAsia="仿宋_GB2312" w:cs="仿宋_GB2312"/>
          <w:color w:val="auto"/>
          <w:sz w:val="32"/>
          <w:szCs w:val="32"/>
          <w:highlight w:val="none"/>
          <w:u w:val="none"/>
          <w:lang w:val="en-US" w:eastAsia="zh-CN"/>
        </w:rPr>
        <w:t>类下浮10-12%，</w:t>
      </w:r>
      <w:r>
        <w:rPr>
          <w:rFonts w:hint="eastAsia" w:ascii="仿宋_GB2312" w:hAnsi="仿宋_GB2312" w:eastAsia="仿宋_GB2312" w:cs="仿宋_GB2312"/>
          <w:color w:val="auto"/>
          <w:sz w:val="32"/>
          <w:szCs w:val="32"/>
          <w:highlight w:val="none"/>
          <w:u w:val="none"/>
          <w:lang w:eastAsia="zh-CN"/>
        </w:rPr>
        <w:t>眼科</w:t>
      </w:r>
      <w:r>
        <w:rPr>
          <w:rFonts w:hint="eastAsia" w:ascii="仿宋_GB2312" w:hAnsi="仿宋_GB2312" w:eastAsia="仿宋_GB2312" w:cs="仿宋_GB2312"/>
          <w:color w:val="auto"/>
          <w:sz w:val="32"/>
          <w:szCs w:val="32"/>
          <w:highlight w:val="none"/>
          <w:u w:val="none"/>
          <w:lang w:val="en-US" w:eastAsia="zh-CN"/>
        </w:rPr>
        <w:t>类下浮8%-20%，</w:t>
      </w:r>
      <w:r>
        <w:rPr>
          <w:rFonts w:hint="eastAsia" w:ascii="仿宋_GB2312" w:hAnsi="仿宋_GB2312" w:eastAsia="仿宋_GB2312" w:cs="仿宋_GB2312"/>
          <w:color w:val="auto"/>
          <w:sz w:val="32"/>
          <w:szCs w:val="32"/>
          <w:highlight w:val="none"/>
          <w:u w:val="none"/>
          <w:lang w:eastAsia="zh-CN"/>
        </w:rPr>
        <w:t>颌面外科</w:t>
      </w:r>
      <w:r>
        <w:rPr>
          <w:rFonts w:hint="eastAsia" w:ascii="仿宋_GB2312" w:hAnsi="仿宋_GB2312" w:eastAsia="仿宋_GB2312" w:cs="仿宋_GB2312"/>
          <w:color w:val="auto"/>
          <w:sz w:val="32"/>
          <w:szCs w:val="32"/>
          <w:highlight w:val="none"/>
          <w:u w:val="none"/>
          <w:lang w:val="en-US" w:eastAsia="zh-CN"/>
        </w:rPr>
        <w:t>类下浮10-20%，</w:t>
      </w:r>
      <w:r>
        <w:rPr>
          <w:rFonts w:hint="eastAsia" w:ascii="仿宋_GB2312" w:hAnsi="仿宋_GB2312" w:eastAsia="仿宋_GB2312" w:cs="仿宋_GB2312"/>
          <w:color w:val="auto"/>
          <w:sz w:val="32"/>
          <w:szCs w:val="32"/>
          <w:highlight w:val="none"/>
          <w:u w:val="none"/>
          <w:lang w:eastAsia="zh-CN"/>
        </w:rPr>
        <w:t>血管淋巴</w:t>
      </w:r>
      <w:r>
        <w:rPr>
          <w:rFonts w:hint="eastAsia" w:ascii="仿宋_GB2312" w:hAnsi="仿宋_GB2312" w:eastAsia="仿宋_GB2312" w:cs="仿宋_GB2312"/>
          <w:color w:val="auto"/>
          <w:sz w:val="32"/>
          <w:szCs w:val="32"/>
          <w:highlight w:val="none"/>
          <w:u w:val="none"/>
          <w:lang w:val="en-US" w:eastAsia="zh-CN"/>
        </w:rPr>
        <w:t>类下浮8-20%，</w:t>
      </w:r>
      <w:r>
        <w:rPr>
          <w:rFonts w:hint="eastAsia" w:ascii="仿宋_GB2312" w:hAnsi="仿宋_GB2312" w:eastAsia="仿宋_GB2312" w:cs="仿宋_GB2312"/>
          <w:color w:val="auto"/>
          <w:sz w:val="32"/>
          <w:szCs w:val="32"/>
          <w:highlight w:val="none"/>
          <w:u w:val="none"/>
          <w:lang w:eastAsia="zh-CN"/>
        </w:rPr>
        <w:t>骨骼肌肉系统</w:t>
      </w:r>
      <w:r>
        <w:rPr>
          <w:rFonts w:hint="eastAsia" w:ascii="仿宋_GB2312" w:hAnsi="仿宋_GB2312" w:eastAsia="仿宋_GB2312" w:cs="仿宋_GB2312"/>
          <w:color w:val="auto"/>
          <w:sz w:val="32"/>
          <w:szCs w:val="32"/>
          <w:highlight w:val="none"/>
          <w:u w:val="none"/>
          <w:lang w:val="en-US" w:eastAsia="zh-CN"/>
        </w:rPr>
        <w:t>类下浮8%-20%，</w:t>
      </w:r>
      <w:r>
        <w:rPr>
          <w:rFonts w:hint="eastAsia" w:ascii="仿宋_GB2312" w:hAnsi="仿宋_GB2312" w:eastAsia="仿宋_GB2312" w:cs="仿宋_GB2312"/>
          <w:color w:val="auto"/>
          <w:sz w:val="32"/>
          <w:szCs w:val="32"/>
          <w:highlight w:val="none"/>
          <w:u w:val="none"/>
          <w:lang w:eastAsia="zh-CN"/>
        </w:rPr>
        <w:t>物理治疗</w:t>
      </w:r>
      <w:r>
        <w:rPr>
          <w:rFonts w:hint="eastAsia" w:ascii="仿宋_GB2312" w:hAnsi="仿宋_GB2312" w:eastAsia="仿宋_GB2312" w:cs="仿宋_GB2312"/>
          <w:color w:val="auto"/>
          <w:sz w:val="32"/>
          <w:szCs w:val="32"/>
          <w:highlight w:val="none"/>
          <w:u w:val="none"/>
          <w:lang w:val="en-US" w:eastAsia="zh-CN"/>
        </w:rPr>
        <w:t>类下浮8%-12%；其中，“药物浓度测定费”等17个项目实行二、三级同价，其余项目二级公立医疗机构比三级公立医疗机构下浮5%；“采血费（末梢）”等32个项目一级公立医疗机构比二级公立医疗机构下浮6%，其余项目一级公立医疗机构比二级公立医疗机构下浮10%。儿童加收项目的加收比例按20%执行。</w:t>
      </w:r>
    </w:p>
    <w:p>
      <w:pPr>
        <w:keepNext w:val="0"/>
        <w:keepLines w:val="0"/>
        <w:pageBreakBefore w:val="0"/>
        <w:numPr>
          <w:ilvl w:val="0"/>
          <w:numId w:val="0"/>
        </w:numPr>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p>
    <w:bookmarkEnd w:id="1"/>
    <w:bookmarkEnd w:id="2"/>
    <w:bookmarkEnd w:id="3"/>
    <w:p>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strike w:val="0"/>
          <w:dstrike w:val="0"/>
          <w:color w:val="auto"/>
          <w:sz w:val="32"/>
          <w:szCs w:val="32"/>
          <w:highlight w:val="none"/>
          <w:lang w:val="en-US" w:eastAsia="zh-CN"/>
        </w:rPr>
      </w:pPr>
    </w:p>
    <w:sectPr>
      <w:footerReference r:id="rId3" w:type="default"/>
      <w:pgSz w:w="11906" w:h="16838"/>
      <w:pgMar w:top="2098" w:right="1474" w:bottom="2098"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10601030101010101"/>
    <w:charset w:val="86"/>
    <w:family w:val="auto"/>
    <w:pitch w:val="default"/>
    <w:sig w:usb0="00000000" w:usb1="0000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4AD9BA"/>
    <w:multiLevelType w:val="singleLevel"/>
    <w:tmpl w:val="674AD9BA"/>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F37147"/>
    <w:rsid w:val="0168087E"/>
    <w:rsid w:val="041266A3"/>
    <w:rsid w:val="062460A4"/>
    <w:rsid w:val="06375C46"/>
    <w:rsid w:val="07F228AB"/>
    <w:rsid w:val="082D0D9F"/>
    <w:rsid w:val="08335BA4"/>
    <w:rsid w:val="085849C6"/>
    <w:rsid w:val="09AD298D"/>
    <w:rsid w:val="0B0601D3"/>
    <w:rsid w:val="0C2256DA"/>
    <w:rsid w:val="0C555716"/>
    <w:rsid w:val="0CB72F7C"/>
    <w:rsid w:val="0F6540DE"/>
    <w:rsid w:val="0FA83B48"/>
    <w:rsid w:val="10AC218B"/>
    <w:rsid w:val="111171BF"/>
    <w:rsid w:val="11292AD3"/>
    <w:rsid w:val="120D40DA"/>
    <w:rsid w:val="12270597"/>
    <w:rsid w:val="123D6138"/>
    <w:rsid w:val="124E25A9"/>
    <w:rsid w:val="12BD05FB"/>
    <w:rsid w:val="13160E21"/>
    <w:rsid w:val="15172443"/>
    <w:rsid w:val="1703438A"/>
    <w:rsid w:val="17393D38"/>
    <w:rsid w:val="17B60D70"/>
    <w:rsid w:val="17B615F2"/>
    <w:rsid w:val="17BB65BF"/>
    <w:rsid w:val="17DB0193"/>
    <w:rsid w:val="18192340"/>
    <w:rsid w:val="18D0739F"/>
    <w:rsid w:val="193D73B7"/>
    <w:rsid w:val="19C86A17"/>
    <w:rsid w:val="1AD2507A"/>
    <w:rsid w:val="1BB52328"/>
    <w:rsid w:val="1C5A581E"/>
    <w:rsid w:val="1CB63315"/>
    <w:rsid w:val="1D532714"/>
    <w:rsid w:val="1E7608F7"/>
    <w:rsid w:val="1F2C538C"/>
    <w:rsid w:val="20077DB8"/>
    <w:rsid w:val="21145BA0"/>
    <w:rsid w:val="22231152"/>
    <w:rsid w:val="22657DF7"/>
    <w:rsid w:val="22F978C0"/>
    <w:rsid w:val="22FC4187"/>
    <w:rsid w:val="23401C04"/>
    <w:rsid w:val="236A5687"/>
    <w:rsid w:val="23CE7442"/>
    <w:rsid w:val="24463FD3"/>
    <w:rsid w:val="254803D9"/>
    <w:rsid w:val="257552AB"/>
    <w:rsid w:val="26FD099E"/>
    <w:rsid w:val="291E4AC7"/>
    <w:rsid w:val="29342DAD"/>
    <w:rsid w:val="2A176CD8"/>
    <w:rsid w:val="2A4F2DA4"/>
    <w:rsid w:val="2B41026A"/>
    <w:rsid w:val="2B790DCE"/>
    <w:rsid w:val="2C2827DC"/>
    <w:rsid w:val="2C3152D5"/>
    <w:rsid w:val="2C4D0ED1"/>
    <w:rsid w:val="2C61292A"/>
    <w:rsid w:val="2CA87244"/>
    <w:rsid w:val="2CB4581A"/>
    <w:rsid w:val="2D3102CF"/>
    <w:rsid w:val="2DD83397"/>
    <w:rsid w:val="2DD87BE9"/>
    <w:rsid w:val="2E5E0004"/>
    <w:rsid w:val="2EA1665D"/>
    <w:rsid w:val="2F0B4272"/>
    <w:rsid w:val="2F3A5849"/>
    <w:rsid w:val="2FD63906"/>
    <w:rsid w:val="2FFE50DA"/>
    <w:rsid w:val="303F0A50"/>
    <w:rsid w:val="3081482E"/>
    <w:rsid w:val="3140408E"/>
    <w:rsid w:val="31BC5EF6"/>
    <w:rsid w:val="32862878"/>
    <w:rsid w:val="32FB5420"/>
    <w:rsid w:val="33746B65"/>
    <w:rsid w:val="345B33B2"/>
    <w:rsid w:val="35AC300F"/>
    <w:rsid w:val="372876B2"/>
    <w:rsid w:val="37AB5C5D"/>
    <w:rsid w:val="37E7753B"/>
    <w:rsid w:val="39E05399"/>
    <w:rsid w:val="3B9212AA"/>
    <w:rsid w:val="3D100B8F"/>
    <w:rsid w:val="3E265FE2"/>
    <w:rsid w:val="3F7C234E"/>
    <w:rsid w:val="417F629A"/>
    <w:rsid w:val="42927B60"/>
    <w:rsid w:val="43134991"/>
    <w:rsid w:val="437C555D"/>
    <w:rsid w:val="43995A28"/>
    <w:rsid w:val="445101DD"/>
    <w:rsid w:val="44683002"/>
    <w:rsid w:val="44F338DE"/>
    <w:rsid w:val="455E200B"/>
    <w:rsid w:val="47C9785B"/>
    <w:rsid w:val="485F5020"/>
    <w:rsid w:val="486A6E89"/>
    <w:rsid w:val="499354E2"/>
    <w:rsid w:val="4A241BB8"/>
    <w:rsid w:val="4B1A264B"/>
    <w:rsid w:val="4E9C1CAD"/>
    <w:rsid w:val="4F572DB7"/>
    <w:rsid w:val="4F6F0A5D"/>
    <w:rsid w:val="4FC053D2"/>
    <w:rsid w:val="50594413"/>
    <w:rsid w:val="505D6678"/>
    <w:rsid w:val="51794B49"/>
    <w:rsid w:val="53C278DE"/>
    <w:rsid w:val="54D8242A"/>
    <w:rsid w:val="556631C7"/>
    <w:rsid w:val="556A0640"/>
    <w:rsid w:val="55CB6F34"/>
    <w:rsid w:val="568A6353"/>
    <w:rsid w:val="583B1D24"/>
    <w:rsid w:val="58893101"/>
    <w:rsid w:val="589E6B0C"/>
    <w:rsid w:val="58B9539A"/>
    <w:rsid w:val="58E662A8"/>
    <w:rsid w:val="58F354E0"/>
    <w:rsid w:val="595222E8"/>
    <w:rsid w:val="59742260"/>
    <w:rsid w:val="59A53AA2"/>
    <w:rsid w:val="5A2570D8"/>
    <w:rsid w:val="5A67167C"/>
    <w:rsid w:val="5ABD247B"/>
    <w:rsid w:val="5AFA46E2"/>
    <w:rsid w:val="5C3929A3"/>
    <w:rsid w:val="5D015BB7"/>
    <w:rsid w:val="5D3512FF"/>
    <w:rsid w:val="5D762780"/>
    <w:rsid w:val="5DB35BB8"/>
    <w:rsid w:val="5DB76CD4"/>
    <w:rsid w:val="5F3D7392"/>
    <w:rsid w:val="5F80377C"/>
    <w:rsid w:val="6025396A"/>
    <w:rsid w:val="60A42D92"/>
    <w:rsid w:val="62270931"/>
    <w:rsid w:val="62B24367"/>
    <w:rsid w:val="62C562D6"/>
    <w:rsid w:val="62F54CD7"/>
    <w:rsid w:val="63BF40D6"/>
    <w:rsid w:val="63EF2F4B"/>
    <w:rsid w:val="63F36A7C"/>
    <w:rsid w:val="63F40ACD"/>
    <w:rsid w:val="641A2D34"/>
    <w:rsid w:val="64642178"/>
    <w:rsid w:val="65551864"/>
    <w:rsid w:val="659E0DB4"/>
    <w:rsid w:val="66811E61"/>
    <w:rsid w:val="68FC767B"/>
    <w:rsid w:val="6A4A3CA8"/>
    <w:rsid w:val="6AF757D9"/>
    <w:rsid w:val="6AFE1347"/>
    <w:rsid w:val="6B2C3544"/>
    <w:rsid w:val="6B6E49B3"/>
    <w:rsid w:val="6C322E38"/>
    <w:rsid w:val="6CC048DB"/>
    <w:rsid w:val="705A4CA3"/>
    <w:rsid w:val="70FA5ED1"/>
    <w:rsid w:val="713B1E8D"/>
    <w:rsid w:val="71FA2E5E"/>
    <w:rsid w:val="72451E09"/>
    <w:rsid w:val="7258196C"/>
    <w:rsid w:val="72814C5A"/>
    <w:rsid w:val="72D91BFD"/>
    <w:rsid w:val="73355D34"/>
    <w:rsid w:val="73427790"/>
    <w:rsid w:val="74733022"/>
    <w:rsid w:val="74CA767E"/>
    <w:rsid w:val="74FB6C89"/>
    <w:rsid w:val="75126272"/>
    <w:rsid w:val="756D09E3"/>
    <w:rsid w:val="76146FAA"/>
    <w:rsid w:val="76712F9F"/>
    <w:rsid w:val="76B14514"/>
    <w:rsid w:val="77192A9A"/>
    <w:rsid w:val="77D45F4A"/>
    <w:rsid w:val="783B4D3C"/>
    <w:rsid w:val="79455C0B"/>
    <w:rsid w:val="79472441"/>
    <w:rsid w:val="795129BA"/>
    <w:rsid w:val="79FF7EEC"/>
    <w:rsid w:val="7C365F96"/>
    <w:rsid w:val="7C7660D7"/>
    <w:rsid w:val="7C8B3E72"/>
    <w:rsid w:val="7D887796"/>
    <w:rsid w:val="7DF06F0E"/>
    <w:rsid w:val="7E3E250B"/>
    <w:rsid w:val="7EE910F6"/>
    <w:rsid w:val="7FE55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customStyle="1" w:styleId="2">
    <w:name w:val="Default"/>
    <w:basedOn w:val="3"/>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3">
    <w:name w:val="正文 New"/>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
    <w:name w:val="标题 2 New"/>
    <w:basedOn w:val="3"/>
    <w:next w:val="3"/>
    <w:qFormat/>
    <w:uiPriority w:val="0"/>
    <w:pPr>
      <w:keepNext/>
      <w:keepLines/>
      <w:spacing w:before="260" w:after="260" w:line="416" w:lineRule="auto"/>
      <w:outlineLvl w:val="1"/>
    </w:pPr>
    <w:rPr>
      <w:rFonts w:ascii="Calibri Light" w:hAnsi="Calibri Light" w:eastAsia="宋体" w:cs="Times New Roman"/>
      <w:b/>
      <w:bCs/>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0"/>
    <w:pPr>
      <w:ind w:left="420" w:leftChars="200"/>
    </w:pPr>
    <w:rPr>
      <w:rFonts w:hint="eastAsia"/>
    </w:rPr>
  </w:style>
  <w:style w:type="paragraph" w:styleId="8">
    <w:name w:val="Normal (Web)"/>
    <w:basedOn w:val="1"/>
    <w:qFormat/>
    <w:uiPriority w:val="0"/>
    <w:pPr>
      <w:spacing w:before="100" w:beforeAutospacing="1" w:after="100" w:afterAutospacing="1"/>
      <w:jc w:val="left"/>
    </w:pPr>
    <w:rPr>
      <w:rFonts w:ascii="Calibri" w:hAnsi="Calibri"/>
      <w:kern w:val="0"/>
      <w:sz w:val="24"/>
      <w:szCs w:val="22"/>
    </w:rPr>
  </w:style>
  <w:style w:type="paragraph" w:customStyle="1" w:styleId="11">
    <w:name w:val="p0"/>
    <w:basedOn w:val="1"/>
    <w:qFormat/>
    <w:uiPriority w:val="0"/>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4</Pages>
  <Words>1662</Words>
  <Characters>1755</Characters>
  <Lines>0</Lines>
  <Paragraphs>0</Paragraphs>
  <TotalTime>0</TotalTime>
  <ScaleCrop>false</ScaleCrop>
  <LinksUpToDate>false</LinksUpToDate>
  <CharactersWithSpaces>1755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2023-02-24T00:54:00Z</dcterms:created>
  <dc:creator>Administrator</dc:creator>
  <cp:lastModifiedBy>小伙子</cp:lastModifiedBy>
  <dcterms:modified xsi:type="dcterms:W3CDTF">2026-10-08T07:55:47Z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eyJoZGlkIjoiYjcxMDI1NWUxMzgwOTQ1YjFhN2MxNTg0YzNhZDk5MzUiLCJ1c2VySWQiOiIxMjEyNzIwNDAxIn0=</vt:lpwstr>
  </property>
  <property fmtid="{D5CDD505-2E9C-101B-9397-08002B2CF9AE}" pid="4" name="ICV">
    <vt:lpwstr>4E8A8E9FDC8C4430AE0A1F8364D4A206_12</vt:lpwstr>
  </property>
</Properties>
</file>