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0C9E42">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line="600" w:lineRule="exact"/>
        <w:jc w:val="both"/>
        <w:textAlignment w:val="auto"/>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附件1</w:t>
      </w:r>
    </w:p>
    <w:p w14:paraId="229C4991">
      <w:pPr>
        <w:spacing w:line="540" w:lineRule="exact"/>
        <w:jc w:val="both"/>
        <w:rPr>
          <w:rFonts w:hint="eastAsia" w:ascii="方正小标宋简体" w:hAnsi="方正小标宋简体" w:eastAsia="方正小标宋简体" w:cs="方正小标宋简体"/>
          <w:sz w:val="44"/>
          <w:szCs w:val="44"/>
        </w:rPr>
      </w:pPr>
    </w:p>
    <w:p w14:paraId="6AB74CAF">
      <w:pPr>
        <w:spacing w:line="54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揭阳市长期护理保险实施办法</w:t>
      </w:r>
    </w:p>
    <w:p w14:paraId="63D6A280">
      <w:pPr>
        <w:pStyle w:val="2"/>
        <w:jc w:val="center"/>
        <w:rPr>
          <w:rFonts w:ascii="仿宋_GB2312" w:hAnsi="仿宋_GB2312" w:eastAsia="仿宋_GB2312" w:cs="仿宋_GB2312"/>
          <w:sz w:val="32"/>
          <w:szCs w:val="32"/>
        </w:rPr>
      </w:pPr>
      <w:r>
        <w:rPr>
          <w:rFonts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二次</w:t>
      </w:r>
      <w:r>
        <w:rPr>
          <w:rFonts w:ascii="仿宋_GB2312" w:hAnsi="仿宋_GB2312" w:eastAsia="仿宋_GB2312" w:cs="仿宋_GB2312"/>
          <w:sz w:val="32"/>
          <w:szCs w:val="32"/>
        </w:rPr>
        <w:t>征求意见稿）</w:t>
      </w:r>
    </w:p>
    <w:p w14:paraId="36BA1363">
      <w:pPr>
        <w:pStyle w:val="11"/>
        <w:topLinePunct/>
        <w:autoSpaceDE w:val="0"/>
        <w:spacing w:beforeAutospacing="0" w:afterAutospacing="0" w:line="540" w:lineRule="exact"/>
        <w:jc w:val="both"/>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p>
    <w:p w14:paraId="34E3D23E">
      <w:pPr>
        <w:pStyle w:val="11"/>
        <w:numPr>
          <w:ilvl w:val="0"/>
          <w:numId w:val="1"/>
        </w:numPr>
        <w:topLinePunct/>
        <w:autoSpaceDE w:val="0"/>
        <w:spacing w:beforeAutospacing="0" w:afterAutospacing="0" w:line="540" w:lineRule="exact"/>
        <w:jc w:val="center"/>
        <w:rPr>
          <w:rFonts w:hint="eastAsia" w:ascii="黑体" w:hAnsi="黑体" w:eastAsia="黑体" w:cs="黑体"/>
          <w:color w:val="000000" w:themeColor="text1"/>
          <w:sz w:val="32"/>
          <w:szCs w:val="32"/>
          <w:shd w:val="clear" w:color="auto" w:fill="FFFFFF"/>
          <w14:textFill>
            <w14:solidFill>
              <w14:schemeClr w14:val="tx1"/>
            </w14:solidFill>
          </w14:textFill>
        </w:rPr>
      </w:pPr>
      <w:r>
        <w:rPr>
          <w:rFonts w:hint="eastAsia" w:ascii="黑体" w:hAnsi="黑体" w:eastAsia="黑体" w:cs="黑体"/>
          <w:color w:val="000000" w:themeColor="text1"/>
          <w:sz w:val="32"/>
          <w:szCs w:val="32"/>
          <w:shd w:val="clear" w:color="auto" w:fill="FFFFFF"/>
          <w14:textFill>
            <w14:solidFill>
              <w14:schemeClr w14:val="tx1"/>
            </w14:solidFill>
          </w14:textFill>
        </w:rPr>
        <w:t>总  则</w:t>
      </w:r>
    </w:p>
    <w:p w14:paraId="25E0DA12">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b w:val="0"/>
          <w:bCs w:val="0"/>
          <w:color w:val="auto"/>
          <w:sz w:val="32"/>
          <w:szCs w:val="32"/>
          <w:u w:val="none"/>
        </w:rPr>
      </w:pPr>
      <w:r>
        <w:rPr>
          <w:rFonts w:hint="eastAsia" w:ascii="黑体" w:hAnsi="黑体" w:eastAsia="黑体" w:cs="黑体"/>
          <w:sz w:val="32"/>
          <w:szCs w:val="32"/>
        </w:rPr>
        <w:t xml:space="preserve">第一条  </w:t>
      </w:r>
      <w:r>
        <w:rPr>
          <w:rFonts w:hint="eastAsia" w:ascii="仿宋_GB2312" w:hAnsi="仿宋_GB2312" w:eastAsia="仿宋_GB2312" w:cs="仿宋_GB2312"/>
          <w:b w:val="0"/>
          <w:bCs w:val="0"/>
          <w:color w:val="auto"/>
          <w:sz w:val="32"/>
          <w:szCs w:val="32"/>
          <w:u w:val="none"/>
        </w:rPr>
        <w:t>为建立健全本市长期护理保险制度体系，保障</w:t>
      </w:r>
      <w:r>
        <w:rPr>
          <w:rFonts w:hint="eastAsia" w:ascii="仿宋_GB2312" w:hAnsi="仿宋_GB2312" w:eastAsia="仿宋_GB2312" w:cs="仿宋_GB2312"/>
          <w:b w:val="0"/>
          <w:bCs w:val="0"/>
          <w:i w:val="0"/>
          <w:iCs w:val="0"/>
          <w:color w:val="auto"/>
          <w:sz w:val="32"/>
          <w:szCs w:val="32"/>
          <w:u w:val="none"/>
        </w:rPr>
        <w:t>失能人员</w:t>
      </w:r>
      <w:r>
        <w:rPr>
          <w:rFonts w:hint="eastAsia" w:ascii="仿宋_GB2312" w:hAnsi="仿宋_GB2312" w:eastAsia="仿宋_GB2312" w:cs="仿宋_GB2312"/>
          <w:b w:val="0"/>
          <w:bCs w:val="0"/>
          <w:color w:val="auto"/>
          <w:sz w:val="32"/>
          <w:szCs w:val="32"/>
          <w:u w:val="none"/>
        </w:rPr>
        <w:t>基本护理需求，根据国家和省有关文件精神，结合本市实际，制定本办法。</w:t>
      </w:r>
    </w:p>
    <w:p w14:paraId="5D058F50">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sz w:val="32"/>
          <w:szCs w:val="32"/>
        </w:rPr>
      </w:pPr>
      <w:r>
        <w:rPr>
          <w:rFonts w:hint="eastAsia" w:ascii="黑体" w:hAnsi="黑体" w:eastAsia="黑体" w:cs="黑体"/>
          <w:sz w:val="32"/>
          <w:szCs w:val="32"/>
        </w:rPr>
        <w:t xml:space="preserve">第二条  </w:t>
      </w:r>
      <w:r>
        <w:rPr>
          <w:rFonts w:hint="eastAsia" w:ascii="仿宋_GB2312" w:hAnsi="仿宋_GB2312" w:eastAsia="仿宋_GB2312" w:cs="仿宋_GB2312"/>
          <w:sz w:val="32"/>
          <w:szCs w:val="32"/>
        </w:rPr>
        <w:t>本办法所称的长期护理保险（以下简称“长护险”），是指通过建立稳定可持续的筹资机制、</w:t>
      </w:r>
      <w:r>
        <w:rPr>
          <w:rFonts w:hint="eastAsia" w:ascii="仿宋_GB2312" w:hAnsi="仿宋_GB2312" w:eastAsia="仿宋_GB2312" w:cs="仿宋_GB2312"/>
          <w:b w:val="0"/>
          <w:bCs w:val="0"/>
          <w:color w:val="auto"/>
          <w:sz w:val="32"/>
          <w:szCs w:val="32"/>
          <w:u w:val="none"/>
        </w:rPr>
        <w:t>为失能人员的</w:t>
      </w:r>
      <w:r>
        <w:rPr>
          <w:rFonts w:hint="eastAsia" w:ascii="仿宋_GB2312" w:hAnsi="仿宋_GB2312" w:eastAsia="仿宋_GB2312" w:cs="仿宋_GB2312"/>
          <w:sz w:val="32"/>
          <w:szCs w:val="32"/>
        </w:rPr>
        <w:t>基本生活照料和与之密切相关的医疗护理提供服务或资金保障的社会保险制度。</w:t>
      </w:r>
    </w:p>
    <w:p w14:paraId="0B1D3112">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sz w:val="32"/>
          <w:szCs w:val="32"/>
          <w:lang w:val="zh-CN"/>
        </w:rPr>
      </w:pPr>
      <w:r>
        <w:rPr>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本办法适用于本市行政区域内的长护险的参保范围、资金筹集、待遇享受、基金管理及经办服务等管理事项。</w:t>
      </w:r>
    </w:p>
    <w:p w14:paraId="6EEAD0E8">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sz w:val="32"/>
          <w:szCs w:val="32"/>
        </w:rPr>
      </w:pPr>
      <w:r>
        <w:rPr>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长护险制度坚持以人为本，先行解决重度失能人员长期护理保障问题，结合实际逐步扩大保障范围；坚持独立运行，着力于建立独立险种，独立设计、独立推进，与医疗保险制度互相衔接、相互独立；坚持统筹协调，同步统筹推动医疗健康、养老服务产业发展，做好与相关社会保障制度及商业保险的功能衔接；坚持“以收定支、收支平衡、略有结余”的原则，合理划分筹资责任和保障责任，合理确定保障范围和待遇标准，确保可持续性；坚持市级统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统收统支、分级经办、属地负责</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政策制度、基金管理、信息管理全市统一；坚持机制创新，探索可持续发展的运行机制，提升保障效能和管理水平。</w:t>
      </w:r>
    </w:p>
    <w:p w14:paraId="6E7B618F">
      <w:pPr>
        <w:spacing w:line="540" w:lineRule="exact"/>
        <w:ind w:firstLine="640" w:firstLineChars="200"/>
        <w:rPr>
          <w:rFonts w:ascii="仿宋_GB2312" w:hAnsi="仿宋_GB2312" w:eastAsia="仿宋_GB2312" w:cs="仿宋_GB2312"/>
          <w:color w:val="auto"/>
          <w:sz w:val="32"/>
          <w:szCs w:val="32"/>
        </w:rPr>
      </w:pPr>
      <w:r>
        <w:rPr>
          <w:rFonts w:hint="eastAsia" w:ascii="黑体" w:hAnsi="黑体" w:eastAsia="黑体" w:cs="黑体"/>
          <w:kern w:val="0"/>
          <w:sz w:val="32"/>
          <w:szCs w:val="32"/>
        </w:rPr>
        <w:t>第五条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b/>
          <w:bCs/>
          <w:color w:val="auto"/>
          <w:sz w:val="32"/>
          <w:szCs w:val="32"/>
        </w:rPr>
        <w:t xml:space="preserve"> </w:t>
      </w:r>
      <w:r>
        <w:rPr>
          <w:rFonts w:ascii="仿宋_GB2312" w:hAnsi="仿宋_GB2312" w:eastAsia="仿宋_GB2312" w:cs="仿宋_GB2312"/>
          <w:color w:val="auto"/>
          <w:sz w:val="32"/>
          <w:szCs w:val="32"/>
        </w:rPr>
        <w:t>市</w:t>
      </w:r>
      <w:r>
        <w:rPr>
          <w:rFonts w:hint="eastAsia" w:ascii="仿宋_GB2312" w:hAnsi="仿宋_GB2312" w:eastAsia="仿宋_GB2312" w:cs="仿宋_GB2312"/>
          <w:color w:val="auto"/>
          <w:sz w:val="32"/>
          <w:szCs w:val="32"/>
          <w:lang w:eastAsia="zh-CN"/>
        </w:rPr>
        <w:t>医保行政部门</w:t>
      </w:r>
      <w:r>
        <w:rPr>
          <w:rFonts w:hint="eastAsia" w:ascii="仿宋_GB2312" w:hAnsi="仿宋_GB2312" w:eastAsia="仿宋_GB2312" w:cs="仿宋_GB2312"/>
          <w:color w:val="auto"/>
          <w:sz w:val="32"/>
          <w:szCs w:val="32"/>
        </w:rPr>
        <w:t>牵头做好长护险制度建设工作，负责长护险的政策制定、组织实施和监督管理，指导做好长护险经办工作；联合人社部门做好长期照护师培训培养和职业技能等级认定工作，加强长期照护师职业技能等级认定工作监督管理指导。</w:t>
      </w:r>
    </w:p>
    <w:p w14:paraId="0CD39C8E">
      <w:pPr>
        <w:pStyle w:val="2"/>
        <w:ind w:firstLine="640" w:firstLineChars="200"/>
        <w:rPr>
          <w:b w:val="0"/>
          <w:bCs w:val="0"/>
          <w:color w:val="auto"/>
          <w:u w:val="none"/>
        </w:rPr>
      </w:pPr>
      <w:r>
        <w:rPr>
          <w:rFonts w:hint="eastAsia" w:ascii="Times New Roman" w:hAnsi="Times New Roman" w:eastAsia="仿宋_GB2312" w:cs="Times New Roman"/>
          <w:b w:val="0"/>
          <w:bCs w:val="0"/>
          <w:color w:val="auto"/>
          <w:sz w:val="32"/>
          <w:szCs w:val="32"/>
          <w:u w:val="none"/>
          <w:lang w:val="en-US" w:eastAsia="zh-CN"/>
        </w:rPr>
        <w:t>市医保经办机构负责统筹全市政策落地、定点评估机构和定点长护服务机构确定、基金汇总拨付、信息系统管理、第三方经办机构管理等工作。</w:t>
      </w:r>
    </w:p>
    <w:p w14:paraId="7EDD4F85">
      <w:pPr>
        <w:spacing w:line="540" w:lineRule="exact"/>
        <w:ind w:firstLine="640" w:firstLineChars="200"/>
        <w:rPr>
          <w:rFonts w:hint="eastAsia" w:ascii="仿宋_GB2312" w:hAnsi="仿宋_GB2312" w:eastAsia="仿宋_GB2312" w:cs="仿宋_GB2312"/>
          <w:sz w:val="32"/>
          <w:szCs w:val="32"/>
        </w:rPr>
      </w:pPr>
      <w:r>
        <w:rPr>
          <w:rFonts w:hint="eastAsia" w:ascii="Times New Roman" w:hAnsi="Times New Roman" w:eastAsia="仿宋_GB2312" w:cs="Times New Roman"/>
          <w:b w:val="0"/>
          <w:bCs w:val="0"/>
          <w:color w:val="auto"/>
          <w:sz w:val="32"/>
          <w:szCs w:val="32"/>
          <w:u w:val="none"/>
          <w:lang w:val="en-US" w:eastAsia="zh-CN"/>
        </w:rPr>
        <w:t>各地医保行政部门做好辖区内长护险政策贯彻实施、属地行政监督管理工作；各地医保经办机构承担辖区内长护险具体经办主体责任，负责参保管理、失能评估受理与组织评估、定点评估机构和定点长护服务机构准入申请及组织评估、协议管理、待遇费用审批、核查等经办事务。</w:t>
      </w:r>
      <w:r>
        <w:rPr>
          <w:rFonts w:hint="eastAsia" w:ascii="仿宋_GB2312" w:hAnsi="仿宋_GB2312" w:eastAsia="仿宋_GB2312" w:cs="仿宋_GB2312"/>
          <w:b w:val="0"/>
          <w:bCs w:val="0"/>
          <w:color w:val="auto"/>
          <w:sz w:val="32"/>
          <w:szCs w:val="32"/>
          <w:u w:val="none"/>
        </w:rPr>
        <w:br w:type="textWrapping"/>
      </w:r>
      <w:r>
        <w:rPr>
          <w:rFonts w:hint="eastAsia" w:ascii="仿宋_GB2312" w:hAnsi="仿宋_GB2312" w:eastAsia="仿宋_GB2312" w:cs="仿宋_GB2312"/>
          <w:sz w:val="32"/>
          <w:szCs w:val="32"/>
        </w:rPr>
        <w:t xml:space="preserve">    财政部门负责及时足额安排相关财政补助资金，配合医保部门做好基金测算等。</w:t>
      </w:r>
    </w:p>
    <w:p w14:paraId="0304E0B5">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税务部门负责做好保费征收等工作。</w:t>
      </w:r>
    </w:p>
    <w:p w14:paraId="44F46B8F">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民政部门负责加强养老服务行业监管，做好相关数据信息共享，与财政部门、医保部门、残联共同做好长护险政策与相关津补贴制度的衔接，探索失能等级评估结果跨部门互认机制等。</w:t>
      </w:r>
    </w:p>
    <w:p w14:paraId="28CD352B">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卫健部门负责开展长期护理服务的医疗机构的行业管理和医疗服务技术指导，为失能等级评估工作提供支持，鼓励基层医疗卫生机构提供长期护理服务。</w:t>
      </w:r>
    </w:p>
    <w:p w14:paraId="2D90FF24">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人社部门负责支持配合做好长期照护师培训评价和长护险与工伤保险衔接、退休人员保费代扣代缴等工作，并做好相关数据信息共享。</w:t>
      </w:r>
    </w:p>
    <w:p w14:paraId="5E85FFCE">
      <w:p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农业农村部门负责做好防止返贫致贫对象认定和帮扶工作。</w:t>
      </w:r>
    </w:p>
    <w:p w14:paraId="657EE326">
      <w:pPr>
        <w:pStyle w:val="2"/>
        <w:spacing w:line="540" w:lineRule="exact"/>
        <w:ind w:firstLine="640" w:firstLineChars="200"/>
        <w:rPr>
          <w:rFonts w:ascii="仿宋_GB2312" w:hAnsi="仿宋_GB2312" w:eastAsia="仿宋_GB2312" w:cs="仿宋_GB2312"/>
          <w:color w:val="auto"/>
          <w:sz w:val="32"/>
          <w:szCs w:val="32"/>
        </w:rPr>
      </w:pPr>
      <w:r>
        <w:rPr>
          <w:rFonts w:ascii="仿宋_GB2312" w:hAnsi="仿宋_GB2312" w:eastAsia="仿宋_GB2312" w:cs="仿宋_GB2312"/>
          <w:color w:val="auto"/>
          <w:sz w:val="32"/>
          <w:szCs w:val="32"/>
        </w:rPr>
        <w:t>残联负责做好相关残疾人数据共享，协同做好残疾人参保相关工作。</w:t>
      </w:r>
    </w:p>
    <w:p w14:paraId="238B0B4A">
      <w:pPr>
        <w:pStyle w:val="2"/>
        <w:spacing w:line="540" w:lineRule="exact"/>
        <w:ind w:firstLine="640" w:firstLineChars="200"/>
        <w:rPr>
          <w:rFonts w:ascii="仿宋_GB2312" w:hAnsi="仿宋_GB2312" w:eastAsia="仿宋_GB2312" w:cs="仿宋_GB2312"/>
          <w:b/>
          <w:color w:val="auto"/>
          <w:kern w:val="44"/>
          <w:sz w:val="32"/>
          <w:szCs w:val="32"/>
        </w:rPr>
      </w:pPr>
      <w:r>
        <w:rPr>
          <w:rFonts w:ascii="仿宋_GB2312" w:hAnsi="仿宋_GB2312" w:eastAsia="仿宋_GB2312" w:cs="仿宋_GB2312"/>
          <w:color w:val="auto"/>
          <w:sz w:val="32"/>
          <w:szCs w:val="32"/>
        </w:rPr>
        <w:t>各</w:t>
      </w:r>
      <w:r>
        <w:rPr>
          <w:rFonts w:hint="eastAsia" w:ascii="仿宋_GB2312" w:hAnsi="仿宋_GB2312" w:eastAsia="仿宋_GB2312" w:cs="仿宋_GB2312"/>
          <w:color w:val="auto"/>
          <w:sz w:val="32"/>
          <w:szCs w:val="32"/>
          <w:lang w:eastAsia="zh-CN"/>
        </w:rPr>
        <w:t>级人民</w:t>
      </w:r>
      <w:r>
        <w:rPr>
          <w:rFonts w:ascii="仿宋_GB2312" w:hAnsi="仿宋_GB2312" w:eastAsia="仿宋_GB2312" w:cs="仿宋_GB2312"/>
          <w:color w:val="auto"/>
          <w:sz w:val="32"/>
          <w:szCs w:val="32"/>
        </w:rPr>
        <w:t>政府应当履行属地责任，统筹区域医疗卫生与养老服务资源，支持有条件的医疗机构增设养老床位，开展医养结合服务，推动医养结合深度融合，鼓励企业开发适老化产品与服务，促进银发经济创新升级，落实长护险制度的相关工作。乡镇（街道）、村（社区）配合做好长护险制度相关工作。</w:t>
      </w:r>
    </w:p>
    <w:p w14:paraId="483C4C8D">
      <w:pPr>
        <w:pStyle w:val="18"/>
        <w:widowControl w:val="0"/>
        <w:topLinePunct/>
        <w:autoSpaceDE w:val="0"/>
        <w:spacing w:before="0" w:after="0" w:line="540" w:lineRule="exact"/>
        <w:ind w:firstLine="640" w:firstLineChars="200"/>
        <w:jc w:val="both"/>
        <w:rPr>
          <w:rFonts w:hint="eastAsia" w:ascii="仿宋_GB2312" w:hAnsi="仿宋_GB2312" w:eastAsia="仿宋_GB2312" w:cs="仿宋_GB2312"/>
          <w:sz w:val="32"/>
          <w:szCs w:val="32"/>
        </w:rPr>
      </w:pPr>
    </w:p>
    <w:p w14:paraId="3DE66051">
      <w:pPr>
        <w:pStyle w:val="11"/>
        <w:numPr>
          <w:ilvl w:val="0"/>
          <w:numId w:val="2"/>
        </w:numPr>
        <w:topLinePunct/>
        <w:autoSpaceDE w:val="0"/>
        <w:spacing w:beforeAutospacing="0" w:afterAutospacing="0" w:line="540" w:lineRule="exact"/>
        <w:jc w:val="center"/>
        <w:rPr>
          <w:rFonts w:hint="eastAsia" w:ascii="黑体" w:hAnsi="黑体" w:eastAsia="黑体" w:cs="黑体"/>
          <w:sz w:val="32"/>
          <w:szCs w:val="32"/>
        </w:rPr>
      </w:pPr>
      <w:r>
        <w:rPr>
          <w:rFonts w:hint="eastAsia" w:ascii="黑体" w:hAnsi="黑体" w:eastAsia="黑体" w:cs="黑体"/>
          <w:sz w:val="32"/>
          <w:szCs w:val="32"/>
        </w:rPr>
        <w:t>参保缴费</w:t>
      </w:r>
    </w:p>
    <w:p w14:paraId="381858FE">
      <w:pPr>
        <w:pStyle w:val="11"/>
        <w:topLinePunct/>
        <w:autoSpaceDE w:val="0"/>
        <w:spacing w:beforeAutospacing="0" w:afterAutospacing="0" w:line="540" w:lineRule="exact"/>
        <w:jc w:val="both"/>
        <w:rPr>
          <w:rFonts w:hint="eastAsia" w:ascii="仿宋_GB2312" w:hAnsi="仿宋_GB2312" w:eastAsia="仿宋_GB2312" w:cs="仿宋_GB2312"/>
          <w:sz w:val="32"/>
          <w:szCs w:val="32"/>
        </w:rPr>
      </w:pPr>
    </w:p>
    <w:p w14:paraId="050CEC86">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sz w:val="32"/>
          <w:szCs w:val="32"/>
        </w:rPr>
      </w:pPr>
      <w:r>
        <w:rPr>
          <w:rFonts w:hint="eastAsia" w:ascii="黑体" w:hAnsi="黑体" w:eastAsia="黑体" w:cs="黑体"/>
          <w:sz w:val="32"/>
          <w:szCs w:val="32"/>
        </w:rPr>
        <w:t>第六条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用人单位（包括企业、事业单位、机关、社会组织）及单位职工、退休人员、灵活就业人员（以下简称职工）和未就业城乡居民（以下简称居民）等按照属地管理原则参加长护险。</w:t>
      </w:r>
    </w:p>
    <w:p w14:paraId="18734430">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sz w:val="32"/>
          <w:szCs w:val="32"/>
        </w:rPr>
      </w:pPr>
      <w:r>
        <w:rPr>
          <w:rFonts w:hint="eastAsia" w:ascii="黑体" w:hAnsi="黑体" w:eastAsia="黑体" w:cs="黑体"/>
          <w:sz w:val="32"/>
          <w:szCs w:val="32"/>
        </w:rPr>
        <w:t>第七条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长护险保险费与基本医疗保险同步征收，分为月度缴费和年度缴费，其中按职工参保政策参保的按月度缴费，按居民参保政策参保的按年度缴费。</w:t>
      </w:r>
    </w:p>
    <w:p w14:paraId="70FA1954">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sz w:val="32"/>
          <w:szCs w:val="32"/>
        </w:rPr>
      </w:pPr>
      <w:r>
        <w:rPr>
          <w:rFonts w:hint="eastAsia" w:ascii="黑体" w:hAnsi="黑体" w:eastAsia="黑体" w:cs="黑体"/>
          <w:sz w:val="32"/>
          <w:szCs w:val="32"/>
        </w:rPr>
        <w:t>第八条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构建与经济发展水平相适应、与各方负担能力相匹配、可持续的多元筹资机制，并按照以下缴费标准执行：</w:t>
      </w:r>
    </w:p>
    <w:p w14:paraId="78EA7CBD">
      <w:pPr>
        <w:pStyle w:val="11"/>
        <w:topLinePunct/>
        <w:autoSpaceDE w:val="0"/>
        <w:spacing w:beforeAutospacing="0" w:afterAutospacing="0" w:line="540" w:lineRule="exact"/>
        <w:ind w:firstLine="640" w:firstLineChars="200"/>
        <w:jc w:val="both"/>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（一）职工缴费</w:t>
      </w:r>
    </w:p>
    <w:p w14:paraId="75DF0FF8">
      <w:pPr>
        <w:pStyle w:val="11"/>
        <w:topLinePunct/>
        <w:autoSpaceDE w:val="0"/>
        <w:spacing w:beforeAutospacing="0" w:afterAutospacing="0" w:line="540" w:lineRule="exact"/>
        <w:ind w:firstLine="640" w:firstLineChars="200"/>
        <w:jc w:val="both"/>
        <w:rPr>
          <w:rFonts w:hint="eastAsia" w:ascii="仿宋_GB2312" w:hAnsi="仿宋_GB2312" w:eastAsia="仿宋" w:cs="仿宋_GB2312"/>
          <w:b w:val="0"/>
          <w:bCs w:val="0"/>
          <w:color w:val="auto"/>
          <w:sz w:val="32"/>
          <w:szCs w:val="32"/>
          <w:u w:val="none"/>
          <w:lang w:eastAsia="zh-CN"/>
        </w:rPr>
      </w:pPr>
      <w:r>
        <w:rPr>
          <w:rFonts w:hint="eastAsia" w:ascii="仿宋_GB2312" w:hAnsi="仿宋_GB2312" w:eastAsia="仿宋_GB2312" w:cs="仿宋_GB2312"/>
          <w:kern w:val="2"/>
          <w:sz w:val="32"/>
          <w:szCs w:val="32"/>
        </w:rPr>
        <w:t>1.单位职工。</w:t>
      </w:r>
      <w:r>
        <w:rPr>
          <w:rFonts w:hint="eastAsia" w:ascii="仿宋_GB2312" w:hAnsi="仿宋_GB2312" w:eastAsia="仿宋_GB2312" w:cs="仿宋_GB2312"/>
          <w:sz w:val="32"/>
          <w:szCs w:val="32"/>
        </w:rPr>
        <w:t>缴费费率为0.3%，由用人单位和个人各按0.15%同比例分担。</w:t>
      </w:r>
      <w:r>
        <w:rPr>
          <w:rFonts w:hint="eastAsia" w:ascii="仿宋" w:hAnsi="仿宋" w:eastAsia="仿宋" w:cs="仿宋"/>
          <w:b w:val="0"/>
          <w:bCs w:val="0"/>
          <w:color w:val="auto"/>
          <w:sz w:val="32"/>
          <w:szCs w:val="32"/>
          <w:u w:val="none"/>
        </w:rPr>
        <w:t>缴费基数与职工基本</w:t>
      </w:r>
      <w:r>
        <w:rPr>
          <w:rFonts w:hint="eastAsia" w:ascii="仿宋" w:hAnsi="仿宋" w:eastAsia="仿宋" w:cs="仿宋"/>
          <w:b w:val="0"/>
          <w:bCs w:val="0"/>
          <w:color w:val="auto"/>
          <w:sz w:val="32"/>
          <w:szCs w:val="32"/>
          <w:u w:val="none"/>
          <w:shd w:val="clear" w:color="auto" w:fill="auto"/>
        </w:rPr>
        <w:t>医疗保险缴费基数保持一致，将当前职工基本医疗保险单位缴费费率</w:t>
      </w:r>
      <w:r>
        <w:rPr>
          <w:rFonts w:hint="eastAsia" w:ascii="仿宋" w:hAnsi="仿宋" w:eastAsia="仿宋" w:cs="仿宋"/>
          <w:b w:val="0"/>
          <w:bCs w:val="0"/>
          <w:color w:val="auto"/>
          <w:sz w:val="32"/>
          <w:szCs w:val="32"/>
          <w:u w:val="none"/>
          <w:shd w:val="clear" w:color="auto" w:fill="auto"/>
          <w:lang w:val="en-US" w:eastAsia="zh-CN"/>
        </w:rPr>
        <w:t>调整</w:t>
      </w:r>
      <w:r>
        <w:rPr>
          <w:rFonts w:hint="eastAsia" w:ascii="仿宋" w:hAnsi="仿宋" w:eastAsia="仿宋" w:cs="仿宋"/>
          <w:b w:val="0"/>
          <w:bCs w:val="0"/>
          <w:color w:val="auto"/>
          <w:sz w:val="32"/>
          <w:szCs w:val="32"/>
          <w:u w:val="none"/>
          <w:shd w:val="clear" w:color="auto" w:fill="auto"/>
        </w:rPr>
        <w:t>降低0.15％</w:t>
      </w:r>
      <w:r>
        <w:rPr>
          <w:rFonts w:hint="eastAsia" w:ascii="仿宋" w:hAnsi="仿宋" w:eastAsia="仿宋" w:cs="仿宋"/>
          <w:b w:val="0"/>
          <w:bCs w:val="0"/>
          <w:color w:val="auto"/>
          <w:sz w:val="32"/>
          <w:szCs w:val="32"/>
          <w:u w:val="none"/>
          <w:shd w:val="clear" w:color="auto" w:fill="auto"/>
          <w:lang w:eastAsia="zh-CN"/>
        </w:rPr>
        <w:t>，</w:t>
      </w:r>
      <w:r>
        <w:rPr>
          <w:rFonts w:hint="eastAsia" w:ascii="仿宋" w:hAnsi="仿宋" w:eastAsia="仿宋" w:cs="仿宋"/>
          <w:b w:val="0"/>
          <w:bCs w:val="0"/>
          <w:color w:val="auto"/>
          <w:sz w:val="32"/>
          <w:szCs w:val="32"/>
          <w:u w:val="none"/>
          <w:shd w:val="clear" w:color="auto" w:fill="auto"/>
          <w:lang w:val="en-US" w:eastAsia="zh-CN"/>
        </w:rPr>
        <w:t>调整部分</w:t>
      </w:r>
      <w:r>
        <w:rPr>
          <w:rFonts w:hint="eastAsia" w:ascii="仿宋" w:hAnsi="仿宋" w:eastAsia="仿宋" w:cs="仿宋"/>
          <w:b w:val="0"/>
          <w:bCs w:val="0"/>
          <w:color w:val="auto"/>
          <w:sz w:val="32"/>
          <w:szCs w:val="32"/>
          <w:u w:val="none"/>
          <w:shd w:val="clear" w:color="auto" w:fill="auto"/>
          <w:lang w:eastAsia="zh-CN"/>
        </w:rPr>
        <w:t>用作</w:t>
      </w:r>
      <w:r>
        <w:rPr>
          <w:rFonts w:hint="eastAsia" w:ascii="仿宋" w:hAnsi="仿宋" w:eastAsia="仿宋" w:cs="仿宋"/>
          <w:b w:val="0"/>
          <w:bCs w:val="0"/>
          <w:color w:val="auto"/>
          <w:sz w:val="32"/>
          <w:szCs w:val="32"/>
          <w:u w:val="none"/>
          <w:shd w:val="clear" w:color="auto" w:fill="auto"/>
        </w:rPr>
        <w:t>长护险单位缴费费率，不额外</w:t>
      </w:r>
      <w:r>
        <w:rPr>
          <w:rFonts w:hint="eastAsia" w:ascii="仿宋" w:hAnsi="仿宋" w:eastAsia="仿宋" w:cs="仿宋"/>
          <w:b w:val="0"/>
          <w:bCs w:val="0"/>
          <w:color w:val="auto"/>
          <w:sz w:val="32"/>
          <w:szCs w:val="32"/>
          <w:u w:val="none"/>
        </w:rPr>
        <w:t>增加用人单位缴费负担</w:t>
      </w:r>
      <w:r>
        <w:rPr>
          <w:rFonts w:hint="eastAsia" w:ascii="仿宋" w:hAnsi="仿宋" w:eastAsia="仿宋" w:cs="仿宋"/>
          <w:b w:val="0"/>
          <w:bCs w:val="0"/>
          <w:color w:val="auto"/>
          <w:sz w:val="32"/>
          <w:szCs w:val="32"/>
          <w:u w:val="none"/>
          <w:lang w:eastAsia="zh-CN"/>
        </w:rPr>
        <w:t>。</w:t>
      </w:r>
    </w:p>
    <w:p w14:paraId="6FBAF5BF">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kern w:val="2"/>
          <w:sz w:val="32"/>
          <w:szCs w:val="32"/>
        </w:rPr>
      </w:pPr>
      <w:r>
        <w:rPr>
          <w:rFonts w:hint="eastAsia" w:ascii="仿宋_GB2312" w:hAnsi="仿宋_GB2312" w:eastAsia="仿宋_GB2312" w:cs="仿宋_GB2312"/>
          <w:b w:val="0"/>
          <w:bCs w:val="0"/>
          <w:color w:val="auto"/>
          <w:kern w:val="2"/>
          <w:sz w:val="32"/>
          <w:szCs w:val="32"/>
          <w:u w:val="none"/>
        </w:rPr>
        <w:t>2.退休人员。</w:t>
      </w:r>
      <w:r>
        <w:rPr>
          <w:rFonts w:hint="eastAsia" w:ascii="仿宋_GB2312" w:hAnsi="仿宋_GB2312" w:eastAsia="仿宋_GB2312" w:cs="仿宋_GB2312"/>
          <w:b w:val="0"/>
          <w:bCs w:val="0"/>
          <w:color w:val="auto"/>
          <w:kern w:val="2"/>
          <w:sz w:val="32"/>
          <w:szCs w:val="32"/>
          <w:u w:val="none"/>
        </w:rPr>
        <w:t>职工</w:t>
      </w:r>
      <w:r>
        <w:rPr>
          <w:rFonts w:hint="eastAsia" w:ascii="仿宋_GB2312" w:hAnsi="仿宋_GB2312" w:eastAsia="仿宋_GB2312" w:cs="仿宋_GB2312"/>
          <w:b w:val="0"/>
          <w:bCs w:val="0"/>
          <w:color w:val="auto"/>
          <w:kern w:val="2"/>
          <w:sz w:val="32"/>
          <w:szCs w:val="32"/>
          <w:u w:val="none"/>
        </w:rPr>
        <w:t>达到法定退休年龄的，缴费费率为0.15%，</w:t>
      </w:r>
      <w:r>
        <w:rPr>
          <w:rFonts w:hint="eastAsia" w:ascii="仿宋_GB2312" w:hAnsi="仿宋_GB2312" w:eastAsia="仿宋_GB2312" w:cs="仿宋_GB2312"/>
          <w:b w:val="0"/>
          <w:bCs w:val="0"/>
          <w:color w:val="auto"/>
          <w:kern w:val="2"/>
          <w:sz w:val="32"/>
          <w:szCs w:val="32"/>
          <w:u w:val="none"/>
        </w:rPr>
        <w:t>由个人缴费，</w:t>
      </w:r>
      <w:r>
        <w:rPr>
          <w:rFonts w:hint="eastAsia" w:ascii="仿宋_GB2312" w:hAnsi="仿宋_GB2312" w:eastAsia="仿宋_GB2312" w:cs="仿宋_GB2312"/>
          <w:b w:val="0"/>
          <w:bCs w:val="0"/>
          <w:color w:val="auto"/>
          <w:kern w:val="2"/>
          <w:sz w:val="32"/>
          <w:szCs w:val="32"/>
          <w:u w:val="none"/>
        </w:rPr>
        <w:t>原用人单位不缴费。缴费基数为本人基本养老金，</w:t>
      </w:r>
      <w:r>
        <w:rPr>
          <w:rFonts w:hint="eastAsia" w:ascii="仿宋_GB2312" w:hAnsi="仿宋_GB2312" w:eastAsia="仿宋_GB2312" w:cs="仿宋_GB2312"/>
          <w:b w:val="0"/>
          <w:bCs w:val="0"/>
          <w:color w:val="auto"/>
          <w:kern w:val="2"/>
          <w:sz w:val="32"/>
          <w:szCs w:val="32"/>
          <w:u w:val="none"/>
        </w:rPr>
        <w:t>未领取职工基本养老金或无法通过数据共享等途径获取职工基本养老金数据的人员，建制当年以本市上年度退休人员平均基本养老金、制度实施次年起以本市上年度退休人员长护险缴费基数平均值核定其长护险缴费基数。</w:t>
      </w:r>
      <w:r>
        <w:rPr>
          <w:rFonts w:hint="eastAsia" w:ascii="仿宋_GB2312" w:hAnsi="仿宋_GB2312" w:eastAsia="仿宋_GB2312" w:cs="仿宋_GB2312"/>
          <w:b w:val="0"/>
          <w:bCs w:val="0"/>
          <w:color w:val="auto"/>
          <w:kern w:val="2"/>
          <w:sz w:val="32"/>
          <w:szCs w:val="32"/>
          <w:u w:val="none"/>
        </w:rPr>
        <w:t>按照国家规定费款优先从本人职工基本医疗保险个人账户中代扣代缴</w:t>
      </w:r>
      <w:r>
        <w:rPr>
          <w:rFonts w:hint="eastAsia" w:ascii="仿宋_GB2312" w:hAnsi="仿宋_GB2312" w:eastAsia="仿宋_GB2312" w:cs="仿宋_GB2312"/>
          <w:kern w:val="2"/>
          <w:sz w:val="32"/>
          <w:szCs w:val="32"/>
        </w:rPr>
        <w:t>；无医保个人账户划入的，费款由个人按月缴纳。探索由发放基本养老金的社会保险经办机构代扣代缴。</w:t>
      </w:r>
    </w:p>
    <w:p w14:paraId="4114F458">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kern w:val="2"/>
          <w:sz w:val="32"/>
          <w:szCs w:val="32"/>
        </w:rPr>
        <w:t>3.困难企业退休人员。符合《转发市劳动保障局 财政局关于揭阳市困难企业退休人员参加城镇职工基本医疗保险实施意见的通知》（</w:t>
      </w:r>
      <w:r>
        <w:rPr>
          <w:rFonts w:hint="eastAsia" w:ascii="仿宋_GB2312" w:hAnsi="仿宋_GB2312" w:eastAsia="仿宋_GB2312" w:cs="仿宋_GB2312"/>
          <w:sz w:val="32"/>
          <w:szCs w:val="32"/>
        </w:rPr>
        <w:t>揭府办〔2007〕192号</w:t>
      </w:r>
      <w:r>
        <w:rPr>
          <w:rFonts w:hint="eastAsia" w:ascii="仿宋_GB2312" w:hAnsi="仿宋_GB2312" w:eastAsia="仿宋_GB2312" w:cs="仿宋_GB2312"/>
          <w:kern w:val="2"/>
          <w:sz w:val="32"/>
          <w:szCs w:val="32"/>
        </w:rPr>
        <w:t>）规定的困难企业退休人员，</w:t>
      </w:r>
      <w:r>
        <w:rPr>
          <w:rFonts w:hint="eastAsia" w:ascii="仿宋_GB2312" w:hAnsi="仿宋_GB2312" w:eastAsia="仿宋_GB2312" w:cs="仿宋_GB2312"/>
          <w:sz w:val="32"/>
          <w:szCs w:val="32"/>
        </w:rPr>
        <w:t>以本人基本养老金为缴费基数，缴费费率按0.15%，其个人缴费部分由财政资金给予资助。</w:t>
      </w:r>
    </w:p>
    <w:p w14:paraId="7CA1AD87">
      <w:pPr>
        <w:pStyle w:val="11"/>
        <w:topLinePunct/>
        <w:autoSpaceDE w:val="0"/>
        <w:spacing w:beforeAutospacing="0" w:afterAutospacing="0" w:line="540" w:lineRule="exact"/>
        <w:ind w:firstLine="640" w:firstLineChars="200"/>
        <w:jc w:val="both"/>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（二）灵活就业人员</w:t>
      </w:r>
    </w:p>
    <w:p w14:paraId="12A52106">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b w:val="0"/>
          <w:bCs w:val="0"/>
          <w:color w:val="auto"/>
          <w:sz w:val="32"/>
          <w:szCs w:val="32"/>
          <w:u w:val="none"/>
          <w:shd w:val="clear" w:color="FFFFFF" w:fill="D9D9D9"/>
        </w:rPr>
      </w:pPr>
      <w:r>
        <w:rPr>
          <w:rFonts w:hint="eastAsia" w:ascii="仿宋_GB2312" w:hAnsi="仿宋_GB2312" w:eastAsia="仿宋_GB2312" w:cs="仿宋_GB2312"/>
          <w:sz w:val="32"/>
          <w:szCs w:val="32"/>
        </w:rPr>
        <w:t>灵活就业人员参加长护险的类型与基本医疗保险保持一致。</w:t>
      </w:r>
      <w:r>
        <w:rPr>
          <w:rFonts w:hint="eastAsia" w:ascii="仿宋_GB2312" w:hAnsi="仿宋_GB2312" w:eastAsia="仿宋_GB2312" w:cs="仿宋_GB2312"/>
          <w:b w:val="0"/>
          <w:bCs w:val="0"/>
          <w:color w:val="auto"/>
          <w:sz w:val="32"/>
          <w:szCs w:val="32"/>
          <w:u w:val="none"/>
          <w:shd w:val="clear" w:color="auto" w:fill="auto"/>
        </w:rPr>
        <w:t>鼓励灵活就业人员按单位职工费率标准参保，缴费基数按</w:t>
      </w:r>
      <w:r>
        <w:rPr>
          <w:rFonts w:hint="eastAsia" w:ascii="仿宋_GB2312" w:hAnsi="仿宋_GB2312" w:eastAsia="仿宋_GB2312" w:cs="仿宋_GB2312"/>
          <w:b w:val="0"/>
          <w:bCs w:val="0"/>
          <w:color w:val="auto"/>
          <w:sz w:val="32"/>
          <w:szCs w:val="32"/>
          <w:u w:val="none"/>
          <w:shd w:val="clear" w:color="auto" w:fill="auto"/>
          <w:lang w:val="en-US" w:eastAsia="zh-CN"/>
        </w:rPr>
        <w:t>本市</w:t>
      </w:r>
      <w:r>
        <w:rPr>
          <w:rFonts w:hint="eastAsia" w:ascii="仿宋_GB2312" w:hAnsi="仿宋_GB2312" w:eastAsia="仿宋_GB2312" w:cs="仿宋_GB2312"/>
          <w:b w:val="0"/>
          <w:bCs w:val="0"/>
          <w:color w:val="auto"/>
          <w:sz w:val="32"/>
          <w:szCs w:val="32"/>
          <w:u w:val="none"/>
          <w:shd w:val="clear" w:color="auto" w:fill="auto"/>
        </w:rPr>
        <w:t>上年度全口径城镇单位就业人员月平均工资的60%确定，由个人按规定缴费；灵活就业人员也可选择按居民参保政策参保缴费。</w:t>
      </w:r>
    </w:p>
    <w:p w14:paraId="73F1BE20">
      <w:pPr>
        <w:pStyle w:val="11"/>
        <w:topLinePunct/>
        <w:autoSpaceDE w:val="0"/>
        <w:spacing w:beforeAutospacing="0" w:afterAutospacing="0" w:line="540" w:lineRule="exact"/>
        <w:ind w:firstLine="640" w:firstLineChars="200"/>
        <w:jc w:val="both"/>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（三）居民缴费</w:t>
      </w:r>
    </w:p>
    <w:p w14:paraId="1A620EF8">
      <w:pPr>
        <w:spacing w:line="540" w:lineRule="exact"/>
        <w:ind w:firstLine="640" w:firstLineChars="200"/>
        <w:rPr>
          <w:rFonts w:hint="eastAsia" w:ascii="仿宋_GB2312" w:hAnsi="仿宋_GB2312" w:eastAsia="仿宋_GB2312" w:cs="仿宋_GB2312"/>
          <w:b w:val="0"/>
          <w:bCs w:val="0"/>
          <w:color w:val="auto"/>
          <w:sz w:val="32"/>
          <w:szCs w:val="32"/>
          <w:u w:val="none"/>
        </w:rPr>
      </w:pPr>
      <w:r>
        <w:rPr>
          <w:rFonts w:hint="eastAsia" w:ascii="仿宋_GB2312" w:hAnsi="仿宋_GB2312" w:eastAsia="仿宋_GB2312" w:cs="仿宋_GB2312"/>
          <w:sz w:val="32"/>
          <w:szCs w:val="32"/>
        </w:rPr>
        <w:t>1.居民以本市上年度城乡居民人均可支配收入为缴费基数，缴费费率从0.15%起步，用5年时间逐步过渡到0</w:t>
      </w:r>
      <w:r>
        <w:rPr>
          <w:rFonts w:hint="eastAsia" w:ascii="仿宋_GB2312" w:hAnsi="仿宋_GB2312" w:eastAsia="仿宋_GB2312" w:cs="仿宋_GB2312"/>
          <w:b w:val="0"/>
          <w:bCs w:val="0"/>
          <w:color w:val="auto"/>
          <w:sz w:val="32"/>
          <w:szCs w:val="32"/>
          <w:u w:val="none"/>
        </w:rPr>
        <w:t>.3%（若当年基金出现收不抵支情况，可提前调整至0.3%），</w:t>
      </w:r>
      <w:r>
        <w:rPr>
          <w:rFonts w:hint="eastAsia" w:ascii="Times New Roman" w:hAnsi="Times New Roman" w:eastAsia="仿宋_GB2312" w:cs="Times New Roman"/>
          <w:b w:val="0"/>
          <w:bCs w:val="0"/>
          <w:color w:val="auto"/>
          <w:sz w:val="32"/>
          <w:szCs w:val="32"/>
          <w:u w:val="none"/>
          <w:lang w:val="en-US" w:eastAsia="zh-CN"/>
        </w:rPr>
        <w:t>长护险保费由个人和政府补助按同比例分担，政府补助标准按国家、省具体补助办法执行。</w:t>
      </w:r>
    </w:p>
    <w:p w14:paraId="2A01D5EA">
      <w:pPr>
        <w:pStyle w:val="6"/>
        <w:spacing w:line="540" w:lineRule="exact"/>
        <w:ind w:firstLine="640" w:firstLineChars="200"/>
        <w:jc w:val="both"/>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color w:val="auto"/>
          <w:kern w:val="0"/>
          <w:sz w:val="32"/>
          <w:szCs w:val="32"/>
          <w:u w:val="none"/>
        </w:rPr>
        <w:t>2.</w:t>
      </w:r>
      <w:r>
        <w:rPr>
          <w:rFonts w:hint="eastAsia" w:ascii="仿宋_GB2312" w:hAnsi="仿宋_GB2312" w:eastAsia="仿宋_GB2312" w:cs="仿宋_GB2312"/>
          <w:b w:val="0"/>
          <w:bCs w:val="0"/>
          <w:color w:val="auto"/>
          <w:kern w:val="0"/>
          <w:sz w:val="32"/>
          <w:szCs w:val="32"/>
          <w:u w:val="none"/>
          <w:shd w:val="clear" w:color="auto" w:fill="auto"/>
        </w:rPr>
        <w:t>18周岁以下</w:t>
      </w:r>
      <w:r>
        <w:rPr>
          <w:rFonts w:hint="eastAsia" w:ascii="仿宋_GB2312" w:hAnsi="仿宋_GB2312" w:eastAsia="仿宋_GB2312" w:cs="仿宋_GB2312"/>
          <w:b w:val="0"/>
          <w:bCs w:val="0"/>
          <w:color w:val="auto"/>
          <w:kern w:val="0"/>
          <w:sz w:val="32"/>
          <w:szCs w:val="32"/>
          <w:u w:val="none"/>
          <w:shd w:val="clear" w:color="auto" w:fill="auto"/>
          <w:lang w:val="en-US" w:eastAsia="zh-CN"/>
        </w:rPr>
        <w:t>未就业人员</w:t>
      </w:r>
      <w:r>
        <w:rPr>
          <w:rFonts w:hint="eastAsia" w:ascii="仿宋_GB2312" w:hAnsi="仿宋_GB2312" w:eastAsia="仿宋_GB2312" w:cs="仿宋_GB2312"/>
          <w:b w:val="0"/>
          <w:bCs w:val="0"/>
          <w:color w:val="auto"/>
          <w:kern w:val="0"/>
          <w:sz w:val="32"/>
          <w:szCs w:val="32"/>
          <w:u w:val="none"/>
        </w:rPr>
        <w:t>跟随父母或其他法定抚养</w:t>
      </w:r>
      <w:r>
        <w:rPr>
          <w:rFonts w:hint="eastAsia" w:ascii="仿宋_GB2312" w:hAnsi="仿宋_GB2312" w:eastAsia="仿宋_GB2312" w:cs="仿宋_GB2312"/>
          <w:b w:val="0"/>
          <w:bCs w:val="0"/>
          <w:kern w:val="0"/>
          <w:sz w:val="32"/>
          <w:szCs w:val="32"/>
        </w:rPr>
        <w:t>人等参保，不单独筹资，享受居民待遇标准。孤儿、事实无人抚养儿童中无法跟从参保的，视同参保。</w:t>
      </w:r>
    </w:p>
    <w:p w14:paraId="5DDA34EC">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3.符合条件的困难人员其个人缴费部分按规定给予全额资助，资助对象与基本医疗保险资助对象保持一致。</w:t>
      </w:r>
    </w:p>
    <w:p w14:paraId="36BE42D4">
      <w:pPr>
        <w:topLinePunct/>
        <w:autoSpaceDE w:val="0"/>
        <w:spacing w:line="540" w:lineRule="exact"/>
        <w:ind w:firstLine="640" w:firstLineChars="200"/>
        <w:rPr>
          <w:rFonts w:ascii="仿宋_GB2312" w:hAnsi="仿宋_GB2312" w:eastAsia="仿宋_GB2312" w:cs="仿宋_GB2312"/>
          <w:sz w:val="32"/>
          <w:szCs w:val="32"/>
        </w:rPr>
      </w:pPr>
      <w:r>
        <w:rPr>
          <w:rFonts w:hint="eastAsia" w:ascii="黑体" w:hAnsi="黑体" w:eastAsia="黑体" w:cs="黑体"/>
          <w:kern w:val="0"/>
          <w:sz w:val="32"/>
          <w:szCs w:val="32"/>
        </w:rPr>
        <w:t>第九条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职工基本医疗保险个人账户可以用于本人及其近亲属（包括配偶、父母、子女、兄弟姐妹、祖父母、外祖父母、孙子女、外孙子女）参加长护险的个人缴费。</w:t>
      </w:r>
    </w:p>
    <w:p w14:paraId="75B28E3E">
      <w:pPr>
        <w:pStyle w:val="2"/>
        <w:topLinePunct/>
        <w:autoSpaceDE w:val="0"/>
        <w:spacing w:line="540" w:lineRule="exact"/>
        <w:ind w:firstLine="640" w:firstLineChars="200"/>
        <w:rPr>
          <w:rFonts w:hint="eastAsia" w:ascii="仿宋_GB2312" w:hAnsi="仿宋_GB2312" w:eastAsia="仿宋_GB2312" w:cs="仿宋_GB2312"/>
          <w:b w:val="0"/>
          <w:bCs w:val="0"/>
          <w:color w:val="auto"/>
          <w:kern w:val="2"/>
          <w:sz w:val="32"/>
          <w:szCs w:val="32"/>
          <w:u w:val="none"/>
          <w:shd w:val="clear" w:color="auto" w:fill="auto"/>
          <w:lang w:eastAsia="zh-CN"/>
        </w:rPr>
      </w:pPr>
      <w:r>
        <w:rPr>
          <w:rFonts w:hint="eastAsia" w:ascii="黑体" w:hAnsi="黑体" w:eastAsia="黑体" w:cs="黑体"/>
          <w:color w:val="auto"/>
          <w:kern w:val="0"/>
          <w:sz w:val="32"/>
          <w:szCs w:val="32"/>
        </w:rPr>
        <w:t>第十条</w:t>
      </w:r>
      <w:r>
        <w:rPr>
          <w:rFonts w:ascii="黑体" w:hAnsi="黑体" w:eastAsia="黑体" w:cs="黑体"/>
          <w:color w:val="auto"/>
          <w:kern w:val="0"/>
          <w:sz w:val="32"/>
          <w:szCs w:val="32"/>
        </w:rPr>
        <w:t xml:space="preserve">  </w:t>
      </w:r>
      <w:r>
        <w:rPr>
          <w:rFonts w:ascii="仿宋_GB2312" w:hAnsi="仿宋_GB2312" w:eastAsia="仿宋_GB2312" w:cs="仿宋_GB2312"/>
          <w:color w:val="auto"/>
          <w:kern w:val="2"/>
          <w:sz w:val="32"/>
          <w:szCs w:val="32"/>
        </w:rPr>
        <w:t>在年度中途参加居民医保的人员，其</w:t>
      </w:r>
      <w:r>
        <w:rPr>
          <w:rFonts w:hint="eastAsia" w:ascii="仿宋_GB2312" w:hAnsi="仿宋_GB2312" w:eastAsia="仿宋_GB2312" w:cs="仿宋_GB2312"/>
          <w:sz w:val="32"/>
          <w:szCs w:val="32"/>
        </w:rPr>
        <w:t>长护险</w:t>
      </w:r>
      <w:r>
        <w:rPr>
          <w:rFonts w:hint="eastAsia" w:ascii="仿宋_GB2312" w:hAnsi="仿宋_GB2312" w:eastAsia="仿宋_GB2312" w:cs="仿宋_GB2312"/>
          <w:sz w:val="32"/>
          <w:szCs w:val="32"/>
          <w:lang w:eastAsia="zh-CN"/>
        </w:rPr>
        <w:t>保</w:t>
      </w:r>
      <w:r>
        <w:rPr>
          <w:rFonts w:ascii="仿宋_GB2312" w:hAnsi="仿宋_GB2312" w:eastAsia="仿宋_GB2312" w:cs="仿宋_GB2312"/>
          <w:color w:val="auto"/>
          <w:kern w:val="2"/>
          <w:sz w:val="32"/>
          <w:szCs w:val="32"/>
        </w:rPr>
        <w:t>费按全年标准一次性缴纳。待遇享受期开始后，参保人员已缴纳的</w:t>
      </w:r>
      <w:r>
        <w:rPr>
          <w:rFonts w:hint="eastAsia" w:ascii="仿宋_GB2312" w:hAnsi="仿宋_GB2312" w:eastAsia="仿宋_GB2312" w:cs="仿宋_GB2312"/>
          <w:sz w:val="32"/>
          <w:szCs w:val="32"/>
        </w:rPr>
        <w:t>长护险</w:t>
      </w:r>
      <w:r>
        <w:rPr>
          <w:rFonts w:hint="eastAsia" w:ascii="仿宋_GB2312" w:hAnsi="仿宋_GB2312" w:eastAsia="仿宋_GB2312" w:cs="仿宋_GB2312"/>
          <w:sz w:val="32"/>
          <w:szCs w:val="32"/>
          <w:lang w:eastAsia="zh-CN"/>
        </w:rPr>
        <w:t>保</w:t>
      </w:r>
      <w:r>
        <w:rPr>
          <w:rFonts w:ascii="仿宋_GB2312" w:hAnsi="仿宋_GB2312" w:eastAsia="仿宋_GB2312" w:cs="仿宋_GB2312"/>
          <w:color w:val="auto"/>
          <w:kern w:val="2"/>
          <w:sz w:val="32"/>
          <w:szCs w:val="32"/>
        </w:rPr>
        <w:t>费不予退回。参保人按规定补缴基本医疗保险费时，其应缴未</w:t>
      </w:r>
      <w:r>
        <w:rPr>
          <w:rFonts w:ascii="仿宋_GB2312" w:hAnsi="仿宋_GB2312" w:eastAsia="仿宋_GB2312" w:cs="仿宋_GB2312"/>
          <w:b w:val="0"/>
          <w:bCs w:val="0"/>
          <w:color w:val="auto"/>
          <w:kern w:val="2"/>
          <w:sz w:val="32"/>
          <w:szCs w:val="32"/>
          <w:u w:val="none"/>
        </w:rPr>
        <w:t>缴的长护险保费同步补缴，补缴起始时间不早于本办法施行之日。</w:t>
      </w:r>
      <w:r>
        <w:rPr>
          <w:rFonts w:hint="eastAsia" w:ascii="仿宋_GB2312" w:hAnsi="仿宋_GB2312" w:eastAsia="仿宋_GB2312" w:cs="仿宋_GB2312"/>
          <w:b w:val="0"/>
          <w:bCs w:val="0"/>
          <w:color w:val="auto"/>
          <w:kern w:val="2"/>
          <w:sz w:val="32"/>
          <w:szCs w:val="32"/>
          <w:u w:val="none"/>
          <w:shd w:val="clear" w:color="auto" w:fill="auto"/>
          <w:lang w:val="en-US" w:eastAsia="zh-CN"/>
        </w:rPr>
        <w:t>参保人长护险补缴及退费情形参照基本医疗保险有关规定执行。职工与居民参保关系相互转换的，其缴费规则同基本医疗保险。</w:t>
      </w:r>
    </w:p>
    <w:p w14:paraId="572B3270"/>
    <w:p w14:paraId="313E254D">
      <w:pPr>
        <w:rPr>
          <w:rFonts w:hint="eastAsia"/>
        </w:rPr>
      </w:pPr>
    </w:p>
    <w:p w14:paraId="5C2EE64A">
      <w:pPr>
        <w:pStyle w:val="18"/>
        <w:widowControl w:val="0"/>
        <w:topLinePunct/>
        <w:autoSpaceDE w:val="0"/>
        <w:spacing w:before="0" w:after="0" w:line="540" w:lineRule="exact"/>
        <w:ind w:firstLine="640" w:firstLineChars="200"/>
        <w:jc w:val="both"/>
        <w:rPr>
          <w:rFonts w:hint="eastAsia" w:ascii="仿宋_GB2312" w:hAnsi="仿宋_GB2312" w:eastAsia="仿宋_GB2312" w:cs="仿宋_GB2312"/>
          <w:sz w:val="32"/>
          <w:szCs w:val="32"/>
        </w:rPr>
      </w:pPr>
    </w:p>
    <w:p w14:paraId="146566CE">
      <w:pPr>
        <w:pStyle w:val="11"/>
        <w:numPr>
          <w:ilvl w:val="0"/>
          <w:numId w:val="3"/>
        </w:numPr>
        <w:topLinePunct/>
        <w:autoSpaceDE w:val="0"/>
        <w:spacing w:beforeAutospacing="0" w:afterAutospacing="0" w:line="540" w:lineRule="exact"/>
        <w:jc w:val="center"/>
        <w:rPr>
          <w:rFonts w:hint="eastAsia" w:ascii="黑体" w:hAnsi="黑体" w:eastAsia="黑体" w:cs="黑体"/>
          <w:sz w:val="32"/>
          <w:szCs w:val="32"/>
        </w:rPr>
      </w:pPr>
      <w:r>
        <w:rPr>
          <w:rFonts w:hint="eastAsia" w:ascii="黑体" w:hAnsi="黑体" w:eastAsia="黑体" w:cs="黑体"/>
          <w:sz w:val="32"/>
          <w:szCs w:val="32"/>
        </w:rPr>
        <w:t>失能评估</w:t>
      </w:r>
    </w:p>
    <w:p w14:paraId="09B1D340">
      <w:pPr>
        <w:pStyle w:val="11"/>
        <w:topLinePunct/>
        <w:autoSpaceDE w:val="0"/>
        <w:spacing w:beforeAutospacing="0" w:afterAutospacing="0" w:line="540" w:lineRule="exact"/>
        <w:jc w:val="both"/>
        <w:rPr>
          <w:rFonts w:hint="eastAsia" w:ascii="仿宋_GB2312" w:hAnsi="仿宋_GB2312" w:eastAsia="仿宋_GB2312" w:cs="仿宋_GB2312"/>
          <w:sz w:val="32"/>
          <w:szCs w:val="32"/>
          <w:shd w:val="clear" w:color="FFFFFF" w:fill="D9D9D9"/>
        </w:rPr>
      </w:pPr>
    </w:p>
    <w:p w14:paraId="623E6BB9">
      <w:pPr>
        <w:pStyle w:val="11"/>
        <w:topLinePunct/>
        <w:autoSpaceDE w:val="0"/>
        <w:spacing w:beforeAutospacing="0" w:afterAutospacing="0" w:line="540" w:lineRule="exact"/>
        <w:ind w:firstLine="640" w:firstLineChars="200"/>
        <w:jc w:val="both"/>
        <w:rPr>
          <w:rStyle w:val="15"/>
          <w:rFonts w:hint="eastAsia" w:ascii="仿宋_GB2312" w:hAnsi="仿宋_GB2312" w:eastAsia="仿宋_GB2312" w:cs="仿宋_GB2312"/>
          <w:b w:val="0"/>
          <w:sz w:val="32"/>
          <w:szCs w:val="32"/>
          <w:shd w:val="clear" w:color="auto" w:fill="auto"/>
        </w:rPr>
      </w:pPr>
      <w:r>
        <w:rPr>
          <w:rFonts w:hint="eastAsia" w:ascii="黑体" w:hAnsi="黑体" w:eastAsia="黑体" w:cs="黑体"/>
          <w:sz w:val="32"/>
          <w:szCs w:val="32"/>
          <w:shd w:val="clear" w:color="auto" w:fill="auto"/>
        </w:rPr>
        <w:t>第十一条</w:t>
      </w:r>
      <w:r>
        <w:rPr>
          <w:rFonts w:hint="eastAsia" w:ascii="仿宋_GB2312" w:hAnsi="仿宋_GB2312" w:eastAsia="仿宋_GB2312" w:cs="仿宋_GB2312"/>
          <w:b/>
          <w:bCs/>
          <w:kern w:val="2"/>
          <w:sz w:val="32"/>
          <w:szCs w:val="32"/>
          <w:shd w:val="clear" w:color="auto" w:fill="auto"/>
        </w:rPr>
        <w:t xml:space="preserve">  </w:t>
      </w:r>
      <w:r>
        <w:rPr>
          <w:rStyle w:val="15"/>
          <w:rFonts w:hint="eastAsia" w:ascii="仿宋_GB2312" w:hAnsi="仿宋_GB2312" w:eastAsia="仿宋_GB2312" w:cs="仿宋_GB2312"/>
          <w:b w:val="0"/>
          <w:bCs w:val="0"/>
          <w:color w:val="auto"/>
          <w:sz w:val="32"/>
          <w:szCs w:val="32"/>
          <w:u w:val="none"/>
          <w:shd w:val="clear" w:color="auto" w:fill="auto"/>
        </w:rPr>
        <w:t>参保人员因年老、疾病、伤残等原因，失能状态持续6个月（含）以上，</w:t>
      </w:r>
      <w:r>
        <w:rPr>
          <w:rStyle w:val="15"/>
          <w:rFonts w:hint="eastAsia" w:ascii="仿宋_GB2312" w:hAnsi="仿宋_GB2312" w:eastAsia="仿宋_GB2312" w:cs="仿宋_GB2312"/>
          <w:b w:val="0"/>
          <w:bCs w:val="0"/>
          <w:color w:val="auto"/>
          <w:sz w:val="32"/>
          <w:szCs w:val="32"/>
          <w:u w:val="none"/>
          <w:shd w:val="clear" w:color="auto" w:fill="auto"/>
        </w:rPr>
        <w:t>可向</w:t>
      </w:r>
      <w:r>
        <w:rPr>
          <w:rStyle w:val="15"/>
          <w:rFonts w:hint="eastAsia" w:ascii="仿宋_GB2312" w:hAnsi="仿宋_GB2312" w:eastAsia="仿宋_GB2312" w:cs="仿宋_GB2312"/>
          <w:b w:val="0"/>
          <w:sz w:val="32"/>
          <w:szCs w:val="32"/>
          <w:shd w:val="clear" w:color="auto" w:fill="auto"/>
        </w:rPr>
        <w:t>参保所在地医保经办机构申请失能等级评估。</w:t>
      </w:r>
    </w:p>
    <w:p w14:paraId="457AFF39">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sz w:val="32"/>
          <w:szCs w:val="32"/>
        </w:rPr>
      </w:pPr>
      <w:r>
        <w:rPr>
          <w:rFonts w:hint="eastAsia" w:ascii="黑体" w:hAnsi="黑体" w:eastAsia="黑体" w:cs="黑体"/>
          <w:sz w:val="32"/>
          <w:szCs w:val="32"/>
        </w:rPr>
        <w:t>第十</w:t>
      </w:r>
      <w:r>
        <w:rPr>
          <w:rFonts w:hint="eastAsia" w:ascii="黑体" w:hAnsi="黑体" w:eastAsia="黑体" w:cs="黑体"/>
          <w:sz w:val="32"/>
          <w:szCs w:val="32"/>
          <w:lang w:eastAsia="zh-CN"/>
        </w:rPr>
        <w:t>二</w:t>
      </w:r>
      <w:r>
        <w:rPr>
          <w:rFonts w:hint="eastAsia" w:ascii="黑体" w:hAnsi="黑体" w:eastAsia="黑体" w:cs="黑体"/>
          <w:sz w:val="32"/>
          <w:szCs w:val="32"/>
        </w:rPr>
        <w:t>条</w:t>
      </w:r>
      <w:r>
        <w:rPr>
          <w:rFonts w:hint="eastAsia" w:ascii="仿宋_GB2312" w:hAnsi="仿宋_GB2312" w:eastAsia="仿宋_GB2312" w:cs="仿宋_GB2312"/>
          <w:b/>
          <w:bCs/>
          <w:kern w:val="2"/>
          <w:sz w:val="32"/>
          <w:szCs w:val="32"/>
        </w:rPr>
        <w:t xml:space="preserve">  </w:t>
      </w:r>
      <w:r>
        <w:rPr>
          <w:rFonts w:hint="eastAsia" w:ascii="仿宋_GB2312" w:hAnsi="仿宋_GB2312" w:eastAsia="仿宋_GB2312" w:cs="仿宋_GB2312"/>
          <w:sz w:val="32"/>
          <w:szCs w:val="32"/>
        </w:rPr>
        <w:t>失能等级评估是指评估机构按照长期护理失能等级评估标准，对参保人员日常生活活动、认知、感知觉与沟通等方面的能力丧失程度进行等级评估。评估结论为重度失能的参保人员可按规定享受长护险待遇，</w:t>
      </w:r>
      <w:r>
        <w:rPr>
          <w:rStyle w:val="15"/>
          <w:rFonts w:hint="eastAsia" w:ascii="仿宋_GB2312" w:hAnsi="仿宋_GB2312" w:eastAsia="仿宋_GB2312" w:cs="仿宋_GB2312"/>
          <w:b w:val="0"/>
          <w:sz w:val="32"/>
          <w:szCs w:val="32"/>
        </w:rPr>
        <w:t>评估结论有效期为2年。</w:t>
      </w:r>
    </w:p>
    <w:p w14:paraId="1C140025">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sz w:val="32"/>
          <w:szCs w:val="32"/>
        </w:rPr>
      </w:pPr>
      <w:r>
        <w:rPr>
          <w:rFonts w:hint="eastAsia" w:ascii="黑体" w:hAnsi="黑体" w:eastAsia="黑体" w:cs="黑体"/>
          <w:sz w:val="32"/>
          <w:szCs w:val="32"/>
        </w:rPr>
        <w:t>第十</w:t>
      </w:r>
      <w:r>
        <w:rPr>
          <w:rFonts w:hint="eastAsia" w:ascii="黑体" w:hAnsi="黑体" w:eastAsia="黑体" w:cs="黑体"/>
          <w:sz w:val="32"/>
          <w:szCs w:val="32"/>
          <w:lang w:eastAsia="zh-CN"/>
        </w:rPr>
        <w:t>三</w:t>
      </w:r>
      <w:r>
        <w:rPr>
          <w:rFonts w:hint="eastAsia" w:ascii="黑体" w:hAnsi="黑体" w:eastAsia="黑体" w:cs="黑体"/>
          <w:sz w:val="32"/>
          <w:szCs w:val="32"/>
        </w:rPr>
        <w:t>条</w:t>
      </w:r>
      <w:r>
        <w:rPr>
          <w:rFonts w:hint="eastAsia" w:ascii="仿宋_GB2312" w:hAnsi="仿宋_GB2312" w:eastAsia="仿宋_GB2312" w:cs="仿宋_GB2312"/>
          <w:b/>
          <w:bCs/>
          <w:kern w:val="2"/>
          <w:sz w:val="32"/>
          <w:szCs w:val="32"/>
        </w:rPr>
        <w:t xml:space="preserve">  </w:t>
      </w:r>
      <w:r>
        <w:rPr>
          <w:rFonts w:hint="eastAsia" w:ascii="仿宋_GB2312" w:hAnsi="仿宋_GB2312" w:eastAsia="仿宋_GB2312" w:cs="仿宋_GB2312"/>
          <w:sz w:val="32"/>
          <w:szCs w:val="32"/>
        </w:rPr>
        <w:t>失能评定标准按照</w:t>
      </w:r>
      <w:r>
        <w:rPr>
          <w:rFonts w:hint="eastAsia" w:ascii="仿宋_GB2312" w:hAnsi="仿宋_GB2312" w:eastAsia="仿宋_GB2312" w:cs="仿宋_GB2312"/>
          <w:kern w:val="2"/>
          <w:sz w:val="32"/>
          <w:szCs w:val="32"/>
        </w:rPr>
        <w:t>国家医疗保障局</w:t>
      </w:r>
      <w:r>
        <w:rPr>
          <w:rFonts w:hint="eastAsia" w:ascii="仿宋_GB2312" w:hAnsi="仿宋_GB2312" w:eastAsia="仿宋_GB2312" w:cs="仿宋_GB2312"/>
          <w:sz w:val="32"/>
          <w:szCs w:val="32"/>
        </w:rPr>
        <w:t>《长期护理保险失能等级评估管理办法（试行）》、《长期护理失能等级评估标准（试行）》及《长期护理保险失能等级评估操作指南（试行）》等规定执行。</w:t>
      </w:r>
    </w:p>
    <w:p w14:paraId="3826AEF3">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kern w:val="2"/>
          <w:sz w:val="32"/>
          <w:szCs w:val="32"/>
        </w:rPr>
      </w:pPr>
      <w:r>
        <w:rPr>
          <w:rFonts w:hint="eastAsia" w:ascii="黑体" w:hAnsi="黑体" w:eastAsia="黑体" w:cs="黑体"/>
          <w:sz w:val="32"/>
          <w:szCs w:val="32"/>
        </w:rPr>
        <w:t>第十</w:t>
      </w:r>
      <w:r>
        <w:rPr>
          <w:rFonts w:hint="eastAsia" w:ascii="黑体" w:hAnsi="黑体" w:eastAsia="黑体" w:cs="黑体"/>
          <w:sz w:val="32"/>
          <w:szCs w:val="32"/>
          <w:lang w:eastAsia="zh-CN"/>
        </w:rPr>
        <w:t>四</w:t>
      </w:r>
      <w:r>
        <w:rPr>
          <w:rFonts w:hint="eastAsia" w:ascii="黑体" w:hAnsi="黑体" w:eastAsia="黑体" w:cs="黑体"/>
          <w:sz w:val="32"/>
          <w:szCs w:val="32"/>
        </w:rPr>
        <w:t>条</w:t>
      </w:r>
      <w:r>
        <w:rPr>
          <w:rFonts w:hint="eastAsia" w:ascii="仿宋_GB2312" w:hAnsi="仿宋_GB2312" w:eastAsia="仿宋_GB2312" w:cs="仿宋_GB2312"/>
          <w:b/>
          <w:bCs/>
          <w:kern w:val="2"/>
          <w:sz w:val="32"/>
          <w:szCs w:val="32"/>
        </w:rPr>
        <w:t xml:space="preserve">  </w:t>
      </w:r>
      <w:r>
        <w:rPr>
          <w:rFonts w:hint="eastAsia" w:ascii="仿宋_GB2312" w:hAnsi="仿宋_GB2312" w:eastAsia="仿宋_GB2312" w:cs="仿宋_GB2312"/>
          <w:kern w:val="2"/>
          <w:sz w:val="32"/>
          <w:szCs w:val="32"/>
        </w:rPr>
        <w:t>失能等级评估流程主要包括评估申请、受理审核、现场评估、提出结论、公示与送达等环节。</w:t>
      </w:r>
    </w:p>
    <w:p w14:paraId="4892E117">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kern w:val="2"/>
          <w:sz w:val="32"/>
          <w:szCs w:val="32"/>
        </w:rPr>
      </w:pPr>
      <w:r>
        <w:rPr>
          <w:rFonts w:hint="eastAsia" w:ascii="黑体" w:hAnsi="黑体" w:eastAsia="黑体" w:cs="黑体"/>
          <w:sz w:val="32"/>
          <w:szCs w:val="32"/>
        </w:rPr>
        <w:t>第十</w:t>
      </w:r>
      <w:r>
        <w:rPr>
          <w:rFonts w:hint="eastAsia" w:ascii="黑体" w:hAnsi="黑体" w:eastAsia="黑体" w:cs="黑体"/>
          <w:sz w:val="32"/>
          <w:szCs w:val="32"/>
          <w:lang w:eastAsia="zh-CN"/>
        </w:rPr>
        <w:t>五</w:t>
      </w:r>
      <w:r>
        <w:rPr>
          <w:rFonts w:hint="eastAsia" w:ascii="黑体" w:hAnsi="黑体" w:eastAsia="黑体" w:cs="黑体"/>
          <w:sz w:val="32"/>
          <w:szCs w:val="32"/>
        </w:rPr>
        <w:t>条</w:t>
      </w:r>
      <w:r>
        <w:rPr>
          <w:rFonts w:hint="eastAsia" w:ascii="仿宋_GB2312" w:hAnsi="仿宋_GB2312" w:eastAsia="仿宋_GB2312" w:cs="仿宋_GB2312"/>
          <w:b/>
          <w:bCs/>
          <w:kern w:val="2"/>
          <w:sz w:val="32"/>
          <w:szCs w:val="32"/>
        </w:rPr>
        <w:t xml:space="preserve">  </w:t>
      </w:r>
      <w:r>
        <w:rPr>
          <w:rFonts w:hint="eastAsia" w:ascii="仿宋_GB2312" w:hAnsi="仿宋_GB2312" w:eastAsia="仿宋_GB2312" w:cs="仿宋_GB2312"/>
          <w:kern w:val="2"/>
          <w:sz w:val="32"/>
          <w:szCs w:val="32"/>
        </w:rPr>
        <w:t>参保人员或其监护人、委托代理人对失能等级评估结论有异议的，可在收到评估结论之日起5个工作日内，向属地医保经办机构提出复评申请。属地医保经办机构应组织评估专家对参保人员进行复评，复核评定结论为最终评估结论。</w:t>
      </w:r>
    </w:p>
    <w:p w14:paraId="08743D93">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kern w:val="2"/>
          <w:sz w:val="32"/>
          <w:szCs w:val="32"/>
        </w:rPr>
      </w:pPr>
      <w:r>
        <w:rPr>
          <w:rFonts w:hint="eastAsia" w:ascii="黑体" w:hAnsi="黑体" w:eastAsia="黑体" w:cs="黑体"/>
          <w:sz w:val="32"/>
          <w:szCs w:val="32"/>
        </w:rPr>
        <w:t>第十</w:t>
      </w:r>
      <w:r>
        <w:rPr>
          <w:rFonts w:hint="eastAsia" w:ascii="黑体" w:hAnsi="黑体" w:eastAsia="黑体" w:cs="黑体"/>
          <w:sz w:val="32"/>
          <w:szCs w:val="32"/>
          <w:lang w:eastAsia="zh-CN"/>
        </w:rPr>
        <w:t>六</w:t>
      </w:r>
      <w:r>
        <w:rPr>
          <w:rFonts w:hint="eastAsia" w:ascii="黑体" w:hAnsi="黑体" w:eastAsia="黑体" w:cs="黑体"/>
          <w:sz w:val="32"/>
          <w:szCs w:val="32"/>
        </w:rPr>
        <w:t>条</w:t>
      </w:r>
      <w:r>
        <w:rPr>
          <w:rFonts w:hint="eastAsia" w:ascii="仿宋_GB2312" w:hAnsi="仿宋_GB2312" w:eastAsia="仿宋_GB2312" w:cs="仿宋_GB2312"/>
          <w:b/>
          <w:bCs/>
          <w:kern w:val="2"/>
          <w:sz w:val="32"/>
          <w:szCs w:val="32"/>
        </w:rPr>
        <w:t xml:space="preserve">  </w:t>
      </w:r>
      <w:r>
        <w:rPr>
          <w:rFonts w:hint="eastAsia" w:ascii="仿宋_GB2312" w:hAnsi="仿宋_GB2312" w:eastAsia="仿宋_GB2312" w:cs="仿宋_GB2312"/>
          <w:kern w:val="2"/>
          <w:sz w:val="32"/>
          <w:szCs w:val="32"/>
        </w:rPr>
        <w:t>参保人员生活自理能力发生变化、失能状态与评估结论不匹配的，自评估结论出具满6个月后，可向</w:t>
      </w:r>
      <w:r>
        <w:rPr>
          <w:rFonts w:hint="eastAsia" w:ascii="仿宋_GB2312" w:hAnsi="仿宋_GB2312" w:eastAsia="仿宋_GB2312" w:cs="仿宋_GB2312"/>
          <w:kern w:val="2"/>
          <w:sz w:val="32"/>
          <w:szCs w:val="32"/>
          <w:lang w:eastAsia="zh-CN"/>
        </w:rPr>
        <w:t>属地</w:t>
      </w:r>
      <w:r>
        <w:rPr>
          <w:rStyle w:val="15"/>
          <w:rFonts w:hint="eastAsia" w:ascii="仿宋_GB2312" w:hAnsi="仿宋_GB2312" w:eastAsia="仿宋_GB2312" w:cs="仿宋_GB2312"/>
          <w:b w:val="0"/>
          <w:sz w:val="32"/>
          <w:szCs w:val="32"/>
        </w:rPr>
        <w:t>医保经办机构</w:t>
      </w:r>
      <w:r>
        <w:rPr>
          <w:rFonts w:hint="eastAsia" w:ascii="仿宋_GB2312" w:hAnsi="仿宋_GB2312" w:eastAsia="仿宋_GB2312" w:cs="仿宋_GB2312"/>
          <w:kern w:val="2"/>
          <w:sz w:val="32"/>
          <w:szCs w:val="32"/>
        </w:rPr>
        <w:t>申请重新评估；医保行政部门、经办机构通过抽查监督等途径或定点服务机构在日常服务中，发现参保人当前失能状态发生变化、可能影响待遇享受的，医保经办机构应当组织重新评估。</w:t>
      </w:r>
    </w:p>
    <w:p w14:paraId="27AFC6E1">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sz w:val="32"/>
          <w:szCs w:val="32"/>
        </w:rPr>
      </w:pPr>
      <w:r>
        <w:rPr>
          <w:rFonts w:hint="eastAsia" w:ascii="黑体" w:hAnsi="黑体" w:eastAsia="黑体" w:cs="黑体"/>
          <w:sz w:val="32"/>
          <w:szCs w:val="32"/>
        </w:rPr>
        <w:t>第十</w:t>
      </w:r>
      <w:r>
        <w:rPr>
          <w:rFonts w:hint="eastAsia" w:ascii="黑体" w:hAnsi="黑体" w:eastAsia="黑体" w:cs="黑体"/>
          <w:sz w:val="32"/>
          <w:szCs w:val="32"/>
          <w:lang w:eastAsia="zh-CN"/>
        </w:rPr>
        <w:t>七</w:t>
      </w:r>
      <w:r>
        <w:rPr>
          <w:rFonts w:hint="eastAsia" w:ascii="黑体" w:hAnsi="黑体" w:eastAsia="黑体" w:cs="黑体"/>
          <w:sz w:val="32"/>
          <w:szCs w:val="32"/>
        </w:rPr>
        <w:t>条</w:t>
      </w:r>
      <w:r>
        <w:rPr>
          <w:rFonts w:hint="eastAsia" w:ascii="仿宋_GB2312" w:hAnsi="仿宋_GB2312" w:eastAsia="仿宋_GB2312" w:cs="仿宋_GB2312"/>
          <w:b/>
          <w:bCs/>
          <w:kern w:val="2"/>
          <w:sz w:val="32"/>
          <w:szCs w:val="32"/>
        </w:rPr>
        <w:t xml:space="preserve">  </w:t>
      </w:r>
      <w:r>
        <w:rPr>
          <w:rFonts w:hint="eastAsia" w:ascii="仿宋_GB2312" w:hAnsi="仿宋_GB2312" w:eastAsia="仿宋_GB2312" w:cs="仿宋_GB2312"/>
          <w:sz w:val="32"/>
          <w:szCs w:val="32"/>
        </w:rPr>
        <w:t>申请人有下列情形之一的，不予受理失能等级评估申请：</w:t>
      </w:r>
    </w:p>
    <w:p w14:paraId="219E454C">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（一）未参加本市长护险的；</w:t>
      </w:r>
    </w:p>
    <w:p w14:paraId="5AA759AE">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（二）不符合待遇享受条件的；</w:t>
      </w:r>
    </w:p>
    <w:p w14:paraId="62E28117">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（三）发生护理服务费不属于长护险基金支付范围的；</w:t>
      </w:r>
    </w:p>
    <w:p w14:paraId="43728CB1">
      <w:pPr>
        <w:pStyle w:val="11"/>
        <w:topLinePunct/>
        <w:autoSpaceDE w:val="0"/>
        <w:spacing w:beforeAutospacing="0" w:afterAutospacing="0" w:line="540"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（四）申报材料不全或提供虚假材料的；</w:t>
      </w:r>
    </w:p>
    <w:p w14:paraId="1C1CE18F">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（五）申</w:t>
      </w:r>
      <w:r>
        <w:rPr>
          <w:rFonts w:hint="eastAsia" w:ascii="仿宋_GB2312" w:hAnsi="仿宋_GB2312" w:eastAsia="仿宋_GB2312" w:cs="仿宋_GB2312"/>
          <w:sz w:val="32"/>
          <w:szCs w:val="32"/>
          <w:lang w:val="en-US" w:eastAsia="zh-CN"/>
        </w:rPr>
        <w:t>请评估</w:t>
      </w:r>
      <w:r>
        <w:rPr>
          <w:rFonts w:hint="eastAsia" w:ascii="仿宋_GB2312" w:hAnsi="仿宋_GB2312" w:eastAsia="仿宋_GB2312" w:cs="仿宋_GB2312"/>
          <w:sz w:val="32"/>
          <w:szCs w:val="32"/>
        </w:rPr>
        <w:t>时处于中断缴费或待遇等待期的；</w:t>
      </w:r>
    </w:p>
    <w:p w14:paraId="6A4FE5FE">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（六）其他长护险不予受理评估申请的情形。</w:t>
      </w:r>
    </w:p>
    <w:p w14:paraId="4E81E1E0">
      <w:pPr>
        <w:topLinePunct/>
        <w:autoSpaceDE w:val="0"/>
        <w:spacing w:line="540" w:lineRule="exact"/>
        <w:ind w:firstLine="600"/>
        <w:rPr>
          <w:rFonts w:hint="eastAsia" w:ascii="仿宋_GB2312" w:hAnsi="仿宋_GB2312" w:eastAsia="仿宋_GB2312" w:cs="仿宋_GB2312"/>
          <w:sz w:val="32"/>
          <w:szCs w:val="32"/>
        </w:rPr>
      </w:pPr>
      <w:r>
        <w:rPr>
          <w:rFonts w:hint="eastAsia" w:ascii="黑体" w:hAnsi="黑体" w:eastAsia="黑体" w:cs="黑体"/>
          <w:kern w:val="0"/>
          <w:sz w:val="32"/>
          <w:szCs w:val="32"/>
        </w:rPr>
        <w:t>第十</w:t>
      </w:r>
      <w:r>
        <w:rPr>
          <w:rFonts w:hint="eastAsia" w:ascii="黑体" w:hAnsi="黑体" w:eastAsia="黑体" w:cs="黑体"/>
          <w:kern w:val="0"/>
          <w:sz w:val="32"/>
          <w:szCs w:val="32"/>
          <w:lang w:eastAsia="zh-CN"/>
        </w:rPr>
        <w:t>八</w:t>
      </w:r>
      <w:r>
        <w:rPr>
          <w:rFonts w:hint="eastAsia" w:ascii="黑体" w:hAnsi="黑体" w:eastAsia="黑体" w:cs="黑体"/>
          <w:kern w:val="0"/>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建立健全评估服务费用由基金和个人合理分担机制。评估服务费用统一为每人</w:t>
      </w:r>
      <w:r>
        <w:rPr>
          <w:rFonts w:hint="eastAsia" w:ascii="仿宋_GB2312" w:hAnsi="仿宋_GB2312" w:eastAsia="仿宋_GB2312" w:cs="仿宋_GB2312"/>
          <w:b w:val="0"/>
          <w:bCs w:val="0"/>
          <w:color w:val="auto"/>
          <w:sz w:val="32"/>
          <w:szCs w:val="32"/>
          <w:u w:val="none"/>
        </w:rPr>
        <w:t>次</w:t>
      </w:r>
      <w:r>
        <w:rPr>
          <w:rFonts w:hint="eastAsia" w:ascii="仿宋_GB2312" w:hAnsi="仿宋_GB2312" w:eastAsia="仿宋_GB2312" w:cs="仿宋_GB2312"/>
          <w:b w:val="0"/>
          <w:bCs w:val="0"/>
          <w:color w:val="auto"/>
          <w:sz w:val="32"/>
          <w:szCs w:val="32"/>
          <w:u w:val="none"/>
          <w:lang w:val="en-US" w:eastAsia="zh-CN"/>
        </w:rPr>
        <w:t>150元</w:t>
      </w:r>
      <w:r>
        <w:rPr>
          <w:rFonts w:hint="eastAsia" w:ascii="仿宋_GB2312" w:hAnsi="仿宋_GB2312" w:eastAsia="仿宋_GB2312" w:cs="仿宋_GB2312"/>
          <w:b w:val="0"/>
          <w:bCs w:val="0"/>
          <w:color w:val="auto"/>
          <w:sz w:val="32"/>
          <w:szCs w:val="32"/>
          <w:u w:val="none"/>
        </w:rPr>
        <w:t>，由参</w:t>
      </w:r>
      <w:r>
        <w:rPr>
          <w:rFonts w:hint="eastAsia" w:ascii="仿宋_GB2312" w:hAnsi="仿宋_GB2312" w:eastAsia="仿宋_GB2312" w:cs="仿宋_GB2312"/>
          <w:sz w:val="32"/>
          <w:szCs w:val="32"/>
        </w:rPr>
        <w:t>保人员发起的，先由其预交，并按以下规定执行：</w:t>
      </w:r>
    </w:p>
    <w:p w14:paraId="4EEC3DE9">
      <w:pPr>
        <w:numPr>
          <w:ilvl w:val="0"/>
          <w:numId w:val="0"/>
        </w:numPr>
        <w:topLinePunct/>
        <w:autoSpaceDE w:val="0"/>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（一） </w:t>
      </w:r>
      <w:r>
        <w:rPr>
          <w:rFonts w:hint="eastAsia" w:ascii="仿宋_GB2312" w:hAnsi="仿宋_GB2312" w:eastAsia="仿宋_GB2312" w:cs="仿宋_GB2312"/>
          <w:sz w:val="32"/>
          <w:szCs w:val="32"/>
        </w:rPr>
        <w:t>初评符合条件通过的，评估费用由长护险基金全额承担；初评不符合条件的，评估费用由参保人员承担。</w:t>
      </w:r>
    </w:p>
    <w:p w14:paraId="6B6CC906">
      <w:pPr>
        <w:topLinePunct/>
        <w:autoSpaceDE w:val="0"/>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（二）初评不符合条件申请复评的，复评结论符合享受长护险待遇的，评估费用由初评评估机构全额承担；复评仍不符合条件的，评估费用由参保人员全额承担。</w:t>
      </w:r>
    </w:p>
    <w:p w14:paraId="26A7A3F4">
      <w:pPr>
        <w:topLinePunct/>
        <w:autoSpaceDE w:val="0"/>
        <w:spacing w:line="540" w:lineRule="exact"/>
        <w:ind w:firstLine="6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（三）初次评估结论出具满6个月后重新评估符合条件的，评估费用由长护险基金全额承担；重新评估不符合条件的，评估费用由参保人员全额承担。</w:t>
      </w:r>
    </w:p>
    <w:p w14:paraId="6A134C17">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w:t>
      </w:r>
      <w:r>
        <w:rPr>
          <w:rStyle w:val="15"/>
          <w:rFonts w:hint="eastAsia" w:ascii="仿宋_GB2312" w:hAnsi="仿宋_GB2312" w:eastAsia="仿宋_GB2312" w:cs="仿宋_GB2312"/>
          <w:b w:val="0"/>
          <w:sz w:val="32"/>
          <w:szCs w:val="32"/>
        </w:rPr>
        <w:t>医保经办机构</w:t>
      </w:r>
      <w:r>
        <w:rPr>
          <w:rFonts w:hint="eastAsia" w:ascii="仿宋_GB2312" w:hAnsi="仿宋_GB2312" w:eastAsia="仿宋_GB2312" w:cs="仿宋_GB2312"/>
          <w:kern w:val="2"/>
          <w:sz w:val="32"/>
          <w:szCs w:val="32"/>
        </w:rPr>
        <w:t>或定点服务机构在日常服务、巡查中发现参保人员失能等级不匹配需重新评估的，</w:t>
      </w:r>
      <w:r>
        <w:rPr>
          <w:rFonts w:hint="eastAsia" w:ascii="仿宋_GB2312" w:hAnsi="仿宋_GB2312" w:eastAsia="仿宋_GB2312" w:cs="仿宋_GB2312"/>
          <w:sz w:val="32"/>
          <w:szCs w:val="32"/>
        </w:rPr>
        <w:t>评估费用由长护险基金全额承担。</w:t>
      </w:r>
    </w:p>
    <w:p w14:paraId="575CF29B">
      <w:pPr>
        <w:topLinePunct/>
        <w:autoSpaceDE w:val="0"/>
        <w:spacing w:line="540" w:lineRule="exact"/>
        <w:ind w:firstLine="6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（五）评估有效期届满前重新评估的，评估费用由长护险基金全额承担。</w:t>
      </w:r>
    </w:p>
    <w:p w14:paraId="4ACD071F">
      <w:pPr>
        <w:topLinePunct/>
        <w:autoSpaceDE w:val="0"/>
        <w:spacing w:line="540" w:lineRule="exact"/>
        <w:ind w:firstLine="600"/>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rPr>
        <w:t>（六）评估过程中因评估机构原因造成中断，导致本次评估工作无法完成的，评估费用由评估机构全额承担；因申请人提交虚假资料及信息导致评估终止的，评估费用由参保人员全额承担。</w:t>
      </w:r>
    </w:p>
    <w:p w14:paraId="1C332FE5">
      <w:pPr>
        <w:pStyle w:val="7"/>
        <w:spacing w:line="540" w:lineRule="exact"/>
        <w:rPr>
          <w:rFonts w:hint="eastAsia" w:ascii="仿宋_GB2312" w:hAnsi="仿宋_GB2312" w:eastAsia="仿宋_GB2312" w:cs="仿宋_GB2312"/>
          <w:sz w:val="32"/>
          <w:szCs w:val="32"/>
          <w:lang w:val="zh-CN"/>
        </w:rPr>
      </w:pPr>
    </w:p>
    <w:p w14:paraId="1CBAC907">
      <w:pPr>
        <w:pStyle w:val="11"/>
        <w:numPr>
          <w:ilvl w:val="0"/>
          <w:numId w:val="4"/>
        </w:numPr>
        <w:topLinePunct/>
        <w:autoSpaceDE w:val="0"/>
        <w:spacing w:beforeAutospacing="0" w:afterAutospacing="0" w:line="540" w:lineRule="exact"/>
        <w:jc w:val="center"/>
        <w:rPr>
          <w:rFonts w:hint="eastAsia" w:ascii="黑体" w:hAnsi="黑体" w:eastAsia="黑体" w:cs="黑体"/>
          <w:sz w:val="32"/>
          <w:szCs w:val="32"/>
        </w:rPr>
      </w:pPr>
      <w:r>
        <w:rPr>
          <w:rFonts w:hint="eastAsia" w:ascii="黑体" w:hAnsi="黑体" w:eastAsia="黑体" w:cs="黑体"/>
          <w:sz w:val="32"/>
          <w:szCs w:val="32"/>
        </w:rPr>
        <w:t>待遇保障</w:t>
      </w:r>
    </w:p>
    <w:p w14:paraId="6D7BE39B">
      <w:pPr>
        <w:pStyle w:val="11"/>
        <w:topLinePunct/>
        <w:autoSpaceDE w:val="0"/>
        <w:spacing w:beforeAutospacing="0" w:afterAutospacing="0" w:line="540" w:lineRule="exact"/>
        <w:jc w:val="both"/>
        <w:rPr>
          <w:rFonts w:hint="eastAsia" w:ascii="仿宋_GB2312" w:hAnsi="仿宋_GB2312" w:eastAsia="仿宋_GB2312" w:cs="仿宋_GB2312"/>
          <w:sz w:val="32"/>
          <w:szCs w:val="32"/>
        </w:rPr>
      </w:pPr>
    </w:p>
    <w:p w14:paraId="491A1720">
      <w:pPr>
        <w:overflowPunct w:val="0"/>
        <w:spacing w:line="540" w:lineRule="exact"/>
        <w:ind w:firstLine="640" w:firstLineChars="200"/>
        <w:rPr>
          <w:rFonts w:hint="eastAsia" w:ascii="仿宋_GB2312" w:hAnsi="仿宋_GB2312" w:eastAsia="仿宋_GB2312" w:cs="仿宋_GB2312"/>
          <w:kern w:val="0"/>
          <w:sz w:val="32"/>
          <w:szCs w:val="32"/>
          <w:shd w:val="clear" w:color="FFFFFF" w:fill="D9D9D9"/>
        </w:rPr>
      </w:pPr>
      <w:r>
        <w:rPr>
          <w:rFonts w:hint="eastAsia" w:ascii="黑体" w:hAnsi="黑体" w:eastAsia="黑体" w:cs="黑体"/>
          <w:kern w:val="0"/>
          <w:sz w:val="32"/>
          <w:szCs w:val="32"/>
        </w:rPr>
        <w:t>第十</w:t>
      </w:r>
      <w:r>
        <w:rPr>
          <w:rFonts w:hint="eastAsia" w:ascii="黑体" w:hAnsi="黑体" w:eastAsia="黑体" w:cs="黑体"/>
          <w:kern w:val="0"/>
          <w:sz w:val="32"/>
          <w:szCs w:val="32"/>
          <w:lang w:eastAsia="zh-CN"/>
        </w:rPr>
        <w:t>九</w:t>
      </w:r>
      <w:r>
        <w:rPr>
          <w:rFonts w:hint="eastAsia" w:ascii="黑体" w:hAnsi="黑体" w:eastAsia="黑体" w:cs="黑体"/>
          <w:kern w:val="0"/>
          <w:sz w:val="32"/>
          <w:szCs w:val="32"/>
        </w:rPr>
        <w:t>条</w:t>
      </w:r>
      <w:r>
        <w:rPr>
          <w:rFonts w:hint="eastAsia" w:ascii="黑体" w:hAnsi="黑体" w:eastAsia="黑体" w:cs="黑体"/>
          <w:kern w:val="0"/>
          <w:sz w:val="32"/>
          <w:szCs w:val="32"/>
          <w:lang w:val="en-US" w:eastAsia="zh-CN"/>
        </w:rPr>
        <w:t xml:space="preserve">  </w:t>
      </w:r>
      <w:r>
        <w:rPr>
          <w:rFonts w:hint="eastAsia" w:ascii="仿宋_GB2312" w:hAnsi="仿宋_GB2312" w:eastAsia="仿宋_GB2312" w:cs="仿宋_GB2312"/>
          <w:b w:val="0"/>
          <w:bCs w:val="0"/>
          <w:color w:val="auto"/>
          <w:kern w:val="0"/>
          <w:sz w:val="32"/>
          <w:szCs w:val="32"/>
          <w:u w:val="none"/>
          <w:shd w:val="clear" w:color="auto" w:fill="auto"/>
          <w:lang w:val="en-US" w:eastAsia="zh-CN"/>
        </w:rPr>
        <w:t>按规定参保缴费且</w:t>
      </w:r>
      <w:r>
        <w:rPr>
          <w:rFonts w:hint="eastAsia" w:ascii="仿宋_GB2312" w:hAnsi="仿宋_GB2312" w:eastAsia="仿宋_GB2312" w:cs="仿宋_GB2312"/>
          <w:b w:val="0"/>
          <w:bCs w:val="0"/>
          <w:color w:val="auto"/>
          <w:kern w:val="0"/>
          <w:sz w:val="32"/>
          <w:szCs w:val="32"/>
          <w:u w:val="none"/>
        </w:rPr>
        <w:t>失</w:t>
      </w:r>
      <w:r>
        <w:rPr>
          <w:rFonts w:hint="eastAsia" w:ascii="仿宋_GB2312" w:hAnsi="仿宋_GB2312" w:eastAsia="仿宋_GB2312" w:cs="仿宋_GB2312"/>
          <w:kern w:val="0"/>
          <w:sz w:val="32"/>
          <w:szCs w:val="32"/>
        </w:rPr>
        <w:t>能状态持续6个月以上，经申请评定为重度失能的参保人员，自评估结论作出次月起按规定享受长护险待遇</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sz w:val="32"/>
          <w:szCs w:val="32"/>
        </w:rPr>
        <w:t>除新生儿、医疗救助对象等特殊群体外，对未在长护险制度启动时初次参保或中断缴费后再次参保的人员设置待遇等待期，其待遇等待期与基本医疗保险规定保持一致。</w:t>
      </w:r>
    </w:p>
    <w:p w14:paraId="1DFE81D0">
      <w:pPr>
        <w:topLinePunct/>
        <w:autoSpaceDE w:val="0"/>
        <w:spacing w:line="540" w:lineRule="exact"/>
        <w:ind w:firstLine="600"/>
        <w:rPr>
          <w:rFonts w:hint="eastAsia" w:ascii="仿宋_GB2312" w:hAnsi="仿宋_GB2312" w:eastAsia="仿宋_GB2312" w:cs="仿宋_GB2312"/>
          <w:kern w:val="0"/>
          <w:sz w:val="32"/>
          <w:szCs w:val="32"/>
        </w:rPr>
      </w:pPr>
      <w:r>
        <w:rPr>
          <w:rFonts w:hint="eastAsia" w:ascii="黑体" w:hAnsi="黑体" w:eastAsia="黑体" w:cs="黑体"/>
          <w:kern w:val="0"/>
          <w:sz w:val="32"/>
          <w:szCs w:val="32"/>
        </w:rPr>
        <w:t xml:space="preserve">第二十条  </w:t>
      </w:r>
      <w:r>
        <w:rPr>
          <w:rFonts w:hint="eastAsia" w:ascii="仿宋_GB2312" w:hAnsi="仿宋_GB2312" w:eastAsia="仿宋_GB2312" w:cs="仿宋_GB2312"/>
          <w:sz w:val="32"/>
          <w:szCs w:val="32"/>
        </w:rPr>
        <w:t>长期护理基本服务包括基本生活照料服务和与之</w:t>
      </w:r>
      <w:r>
        <w:rPr>
          <w:rFonts w:hint="eastAsia" w:ascii="仿宋_GB2312" w:hAnsi="仿宋_GB2312" w:eastAsia="仿宋_GB2312" w:cs="仿宋_GB2312"/>
          <w:sz w:val="32"/>
          <w:szCs w:val="32"/>
          <w:lang w:val="en-US" w:eastAsia="zh-CN"/>
        </w:rPr>
        <w:t>密切</w:t>
      </w:r>
      <w:r>
        <w:rPr>
          <w:rFonts w:hint="eastAsia" w:ascii="仿宋_GB2312" w:hAnsi="仿宋_GB2312" w:eastAsia="仿宋_GB2312" w:cs="仿宋_GB2312"/>
          <w:sz w:val="32"/>
          <w:szCs w:val="32"/>
        </w:rPr>
        <w:t>相关的医疗护理服务项目，具体项目及收费标准、支付标准、服务规范等执行国家、省和市相关规定。</w:t>
      </w:r>
    </w:p>
    <w:p w14:paraId="611670E7">
      <w:pPr>
        <w:topLinePunct/>
        <w:autoSpaceDE w:val="0"/>
        <w:spacing w:line="540" w:lineRule="exact"/>
        <w:ind w:firstLine="600"/>
        <w:rPr>
          <w:rFonts w:hint="eastAsia" w:ascii="仿宋_GB2312" w:hAnsi="仿宋_GB2312" w:eastAsia="仿宋_GB2312" w:cs="仿宋_GB2312"/>
          <w:sz w:val="32"/>
          <w:szCs w:val="32"/>
        </w:rPr>
      </w:pPr>
      <w:r>
        <w:rPr>
          <w:rFonts w:hint="eastAsia" w:ascii="黑体" w:hAnsi="黑体" w:eastAsia="黑体" w:cs="黑体"/>
          <w:kern w:val="0"/>
          <w:sz w:val="32"/>
          <w:szCs w:val="32"/>
        </w:rPr>
        <w:t>第二十</w:t>
      </w:r>
      <w:r>
        <w:rPr>
          <w:rFonts w:hint="eastAsia" w:ascii="黑体" w:hAnsi="黑体" w:eastAsia="黑体" w:cs="黑体"/>
          <w:kern w:val="0"/>
          <w:sz w:val="32"/>
          <w:szCs w:val="32"/>
          <w:lang w:eastAsia="zh-CN"/>
        </w:rPr>
        <w:t>一</w:t>
      </w:r>
      <w:r>
        <w:rPr>
          <w:rFonts w:hint="eastAsia" w:ascii="黑体" w:hAnsi="黑体" w:eastAsia="黑体" w:cs="黑体"/>
          <w:kern w:val="0"/>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符合享受长护险待遇的参保人员，其保障方式分为居家护理、社区护理和机构护理。参保人员可根据自身需求，自主选择其中一种服务方式：</w:t>
      </w:r>
    </w:p>
    <w:p w14:paraId="75011FC6">
      <w:pPr>
        <w:topLinePunct/>
        <w:autoSpaceDE w:val="0"/>
        <w:spacing w:line="540" w:lineRule="exact"/>
        <w:ind w:firstLine="6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（一）居家护理是指定点长护服务机构在参保人员所居住的家庭住所内为参保人员提供长期护理服务。</w:t>
      </w:r>
    </w:p>
    <w:p w14:paraId="02B8AEFE">
      <w:pPr>
        <w:topLinePunct/>
        <w:autoSpaceDE w:val="0"/>
        <w:spacing w:line="540" w:lineRule="exact"/>
        <w:ind w:firstLine="6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（二）社区护理是指定点长护服务机构以社区为依托为参保人员提供就近就便、非全日的长期护理服务。</w:t>
      </w:r>
    </w:p>
    <w:p w14:paraId="0F3B28FA">
      <w:pPr>
        <w:topLinePunct/>
        <w:autoSpaceDE w:val="0"/>
        <w:spacing w:line="540" w:lineRule="exact"/>
        <w:ind w:firstLine="6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（三）机构护理是指定点长护服务机构在所开设的机构内为参保人员提供全日的长期护理服务。</w:t>
      </w:r>
    </w:p>
    <w:p w14:paraId="4302F56B">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b/>
          <w:bCs/>
          <w:sz w:val="32"/>
          <w:szCs w:val="32"/>
        </w:rPr>
      </w:pPr>
      <w:r>
        <w:rPr>
          <w:rFonts w:hint="eastAsia" w:ascii="黑体" w:hAnsi="黑体" w:eastAsia="黑体" w:cs="黑体"/>
          <w:sz w:val="32"/>
          <w:szCs w:val="32"/>
        </w:rPr>
        <w:t>第二十</w:t>
      </w:r>
      <w:r>
        <w:rPr>
          <w:rFonts w:hint="eastAsia" w:ascii="黑体" w:hAnsi="黑体" w:eastAsia="黑体" w:cs="黑体"/>
          <w:sz w:val="32"/>
          <w:szCs w:val="32"/>
          <w:lang w:eastAsia="zh-CN"/>
        </w:rPr>
        <w:t>二</w:t>
      </w:r>
      <w:r>
        <w:rPr>
          <w:rFonts w:hint="eastAsia" w:ascii="黑体" w:hAnsi="黑体" w:eastAsia="黑体" w:cs="黑体"/>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b w:val="0"/>
          <w:bCs w:val="0"/>
          <w:sz w:val="32"/>
          <w:szCs w:val="32"/>
        </w:rPr>
        <w:t xml:space="preserve"> 属于长护险基金支付范围内的护理</w:t>
      </w:r>
      <w:r>
        <w:rPr>
          <w:rFonts w:hint="eastAsia" w:ascii="仿宋_GB2312" w:hAnsi="仿宋_GB2312" w:eastAsia="仿宋_GB2312" w:cs="仿宋_GB2312"/>
          <w:b w:val="0"/>
          <w:bCs w:val="0"/>
          <w:sz w:val="32"/>
          <w:szCs w:val="32"/>
          <w:lang w:val="en-US" w:eastAsia="zh-CN"/>
        </w:rPr>
        <w:t>服务</w:t>
      </w:r>
      <w:r>
        <w:rPr>
          <w:rFonts w:hint="eastAsia" w:ascii="仿宋_GB2312" w:hAnsi="仿宋_GB2312" w:eastAsia="仿宋_GB2312" w:cs="仿宋_GB2312"/>
          <w:b w:val="0"/>
          <w:bCs w:val="0"/>
          <w:sz w:val="32"/>
          <w:szCs w:val="32"/>
        </w:rPr>
        <w:t>费用不设起付标准，具体待遇支付标准按以下规定执行：</w:t>
      </w:r>
    </w:p>
    <w:p w14:paraId="6829F2B6">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b w:val="0"/>
          <w:bCs w:val="0"/>
          <w:color w:val="auto"/>
          <w:sz w:val="32"/>
          <w:szCs w:val="32"/>
          <w:u w:val="none"/>
        </w:rPr>
      </w:pPr>
      <w:r>
        <w:rPr>
          <w:rFonts w:hint="eastAsia" w:ascii="仿宋_GB2312" w:hAnsi="仿宋_GB2312" w:eastAsia="仿宋_GB2312" w:cs="仿宋_GB2312"/>
          <w:sz w:val="32"/>
          <w:szCs w:val="32"/>
        </w:rPr>
        <w:t>（一）居家护理。职工参保人支付比例为75%，最高支付限额为1200元/人/月；居民参保人支付比例为55%，最高支付限额为900元/人/月。服务按次纳入支付范围，服务标准为60元/次，每次服务时长不低于1小时，职工支付每月最高20次，居民</w:t>
      </w:r>
      <w:r>
        <w:rPr>
          <w:rFonts w:hint="eastAsia" w:ascii="仿宋_GB2312" w:hAnsi="仿宋_GB2312" w:eastAsia="仿宋_GB2312" w:cs="仿宋_GB2312"/>
          <w:b w:val="0"/>
          <w:bCs w:val="0"/>
          <w:color w:val="auto"/>
          <w:sz w:val="32"/>
          <w:szCs w:val="32"/>
          <w:u w:val="none"/>
        </w:rPr>
        <w:t>支付每月最高15次。</w:t>
      </w:r>
    </w:p>
    <w:p w14:paraId="45CFC643">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b w:val="0"/>
          <w:bCs w:val="0"/>
          <w:color w:val="auto"/>
          <w:sz w:val="32"/>
          <w:szCs w:val="32"/>
          <w:u w:val="none"/>
          <w:shd w:val="clear" w:color="auto" w:fill="auto"/>
        </w:rPr>
      </w:pPr>
      <w:r>
        <w:rPr>
          <w:rFonts w:hint="eastAsia" w:ascii="仿宋_GB2312" w:hAnsi="仿宋_GB2312" w:eastAsia="仿宋_GB2312" w:cs="仿宋_GB2312"/>
          <w:b w:val="0"/>
          <w:bCs w:val="0"/>
          <w:color w:val="auto"/>
          <w:sz w:val="32"/>
          <w:szCs w:val="32"/>
          <w:u w:val="none"/>
          <w:shd w:val="clear" w:color="auto" w:fill="auto"/>
        </w:rPr>
        <w:t>（二）社区护理。职工参保人支付比例为75%，最高支付限额为1200元/人/月；居民参保人支付比例为55%，最高支付限额为900元/人/月。</w:t>
      </w:r>
    </w:p>
    <w:p w14:paraId="0C7DE2DA">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b w:val="0"/>
          <w:bCs w:val="0"/>
          <w:color w:val="auto"/>
          <w:sz w:val="32"/>
          <w:szCs w:val="32"/>
          <w:u w:val="none"/>
          <w:shd w:val="clear" w:color="auto" w:fill="auto"/>
        </w:rPr>
      </w:pPr>
      <w:r>
        <w:rPr>
          <w:rFonts w:hint="eastAsia" w:ascii="仿宋_GB2312" w:hAnsi="仿宋_GB2312" w:eastAsia="仿宋_GB2312" w:cs="仿宋_GB2312"/>
          <w:b w:val="0"/>
          <w:bCs w:val="0"/>
          <w:color w:val="auto"/>
          <w:sz w:val="32"/>
          <w:szCs w:val="32"/>
          <w:u w:val="none"/>
          <w:shd w:val="clear" w:color="auto" w:fill="auto"/>
        </w:rPr>
        <w:t>（三）机构护理。职工参保人支付比例为70%，最高支付限额为1200元/人/月；居民参保人支付比例为50%，最高支付限额为900元/人/月。</w:t>
      </w:r>
    </w:p>
    <w:p w14:paraId="44A306E1">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（四）实际服务费用低于</w:t>
      </w:r>
      <w:r>
        <w:rPr>
          <w:rFonts w:hint="eastAsia" w:ascii="仿宋_GB2312" w:hAnsi="仿宋_GB2312" w:eastAsia="仿宋_GB2312" w:cs="仿宋_GB2312"/>
          <w:b w:val="0"/>
          <w:bCs w:val="0"/>
          <w:color w:val="auto"/>
          <w:sz w:val="32"/>
          <w:szCs w:val="32"/>
          <w:u w:val="none"/>
          <w:shd w:val="clear" w:color="auto" w:fill="auto"/>
          <w:lang w:val="en-US" w:eastAsia="zh-CN"/>
        </w:rPr>
        <w:t>月度</w:t>
      </w:r>
      <w:r>
        <w:rPr>
          <w:rFonts w:hint="eastAsia" w:ascii="仿宋_GB2312" w:hAnsi="仿宋_GB2312" w:eastAsia="仿宋_GB2312" w:cs="仿宋_GB2312"/>
          <w:sz w:val="32"/>
          <w:szCs w:val="32"/>
        </w:rPr>
        <w:t>支付限额的，按实际费用标准支付。超出长护险支付范围和支付限额的护理服务费用，由参保人员自行承担。</w:t>
      </w:r>
    </w:p>
    <w:p w14:paraId="7E883904">
      <w:pPr>
        <w:topLinePunct/>
        <w:autoSpaceDE w:val="0"/>
        <w:spacing w:line="540" w:lineRule="exact"/>
        <w:ind w:firstLine="600"/>
        <w:rPr>
          <w:rFonts w:hint="eastAsia" w:ascii="仿宋_GB2312" w:hAnsi="仿宋_GB2312" w:eastAsia="仿宋_GB2312" w:cs="仿宋_GB2312"/>
          <w:b w:val="0"/>
          <w:bCs w:val="0"/>
          <w:color w:val="auto"/>
          <w:sz w:val="32"/>
          <w:szCs w:val="32"/>
          <w:u w:val="none"/>
        </w:rPr>
      </w:pPr>
      <w:r>
        <w:rPr>
          <w:rFonts w:hint="eastAsia" w:ascii="黑体" w:hAnsi="黑体" w:eastAsia="黑体" w:cs="黑体"/>
          <w:kern w:val="0"/>
          <w:sz w:val="32"/>
          <w:szCs w:val="32"/>
        </w:rPr>
        <w:t>第二十</w:t>
      </w:r>
      <w:r>
        <w:rPr>
          <w:rFonts w:hint="eastAsia" w:ascii="黑体" w:hAnsi="黑体" w:eastAsia="黑体" w:cs="黑体"/>
          <w:kern w:val="0"/>
          <w:sz w:val="32"/>
          <w:szCs w:val="32"/>
          <w:lang w:eastAsia="zh-CN"/>
        </w:rPr>
        <w:t>三</w:t>
      </w:r>
      <w:r>
        <w:rPr>
          <w:rFonts w:hint="eastAsia" w:ascii="黑体" w:hAnsi="黑体" w:eastAsia="黑体" w:cs="黑体"/>
          <w:kern w:val="0"/>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b w:val="0"/>
          <w:bCs w:val="0"/>
          <w:color w:val="auto"/>
          <w:kern w:val="0"/>
          <w:sz w:val="32"/>
          <w:szCs w:val="32"/>
          <w:u w:val="none"/>
        </w:rPr>
        <w:t>按照国家和省的统一部署，做好长护险与经济困难的高龄、失能老年人补贴以及重度残疾人护理补贴等政策的衔接。领取工伤保险生活护理费的参保人</w:t>
      </w:r>
      <w:r>
        <w:rPr>
          <w:rFonts w:hint="eastAsia" w:ascii="仿宋_GB2312" w:hAnsi="仿宋_GB2312" w:eastAsia="仿宋_GB2312" w:cs="仿宋_GB2312"/>
          <w:b w:val="0"/>
          <w:bCs w:val="0"/>
          <w:color w:val="auto"/>
          <w:kern w:val="0"/>
          <w:sz w:val="32"/>
          <w:szCs w:val="32"/>
          <w:u w:val="none"/>
          <w:lang w:eastAsia="zh-CN"/>
        </w:rPr>
        <w:t>，</w:t>
      </w:r>
      <w:r>
        <w:rPr>
          <w:rFonts w:hint="eastAsia" w:ascii="仿宋_GB2312" w:hAnsi="仿宋_GB2312" w:eastAsia="仿宋_GB2312" w:cs="仿宋_GB2312"/>
          <w:b w:val="0"/>
          <w:bCs w:val="0"/>
          <w:color w:val="auto"/>
          <w:kern w:val="0"/>
          <w:sz w:val="32"/>
          <w:szCs w:val="32"/>
          <w:u w:val="none"/>
        </w:rPr>
        <w:t>不重复享受长护险相关服务待遇。</w:t>
      </w:r>
    </w:p>
    <w:p w14:paraId="6277B720">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b/>
          <w:bCs/>
          <w:kern w:val="2"/>
          <w:sz w:val="32"/>
          <w:szCs w:val="32"/>
        </w:rPr>
      </w:pPr>
      <w:r>
        <w:rPr>
          <w:rFonts w:hint="eastAsia" w:ascii="黑体" w:hAnsi="黑体" w:eastAsia="黑体" w:cs="黑体"/>
          <w:sz w:val="32"/>
          <w:szCs w:val="32"/>
        </w:rPr>
        <w:t>第二十</w:t>
      </w:r>
      <w:r>
        <w:rPr>
          <w:rFonts w:hint="eastAsia" w:ascii="黑体" w:hAnsi="黑体" w:eastAsia="黑体" w:cs="黑体"/>
          <w:sz w:val="32"/>
          <w:szCs w:val="32"/>
          <w:lang w:eastAsia="zh-CN"/>
        </w:rPr>
        <w:t>四</w:t>
      </w:r>
      <w:r>
        <w:rPr>
          <w:rFonts w:hint="eastAsia" w:ascii="黑体" w:hAnsi="黑体" w:eastAsia="黑体" w:cs="黑体"/>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失能人员在享受长护险待遇期间，可保留普通门诊和门特病种待遇。因伤病情需住院治疗的，住院期间暂停长护险待遇。参保人治疗出院后，如其长护险评定结论仍在有效期内，可继续享受长护险待遇；如有效期届满，需按规定重新申请评定。</w:t>
      </w:r>
    </w:p>
    <w:p w14:paraId="760376D4">
      <w:pPr>
        <w:topLinePunct/>
        <w:autoSpaceDE w:val="0"/>
        <w:spacing w:line="540" w:lineRule="exact"/>
        <w:ind w:firstLine="600"/>
        <w:rPr>
          <w:rFonts w:hint="eastAsia" w:ascii="仿宋_GB2312" w:hAnsi="仿宋_GB2312" w:eastAsia="仿宋_GB2312" w:cs="仿宋_GB2312"/>
          <w:b w:val="0"/>
          <w:bCs w:val="0"/>
          <w:color w:val="auto"/>
          <w:sz w:val="32"/>
          <w:szCs w:val="32"/>
        </w:rPr>
      </w:pPr>
      <w:r>
        <w:rPr>
          <w:rFonts w:hint="eastAsia" w:ascii="黑体" w:hAnsi="黑体" w:eastAsia="黑体" w:cs="黑体"/>
          <w:kern w:val="0"/>
          <w:sz w:val="32"/>
          <w:szCs w:val="32"/>
        </w:rPr>
        <w:t>第二十</w:t>
      </w:r>
      <w:r>
        <w:rPr>
          <w:rFonts w:hint="eastAsia" w:ascii="黑体" w:hAnsi="黑体" w:eastAsia="黑体" w:cs="黑体"/>
          <w:kern w:val="0"/>
          <w:sz w:val="32"/>
          <w:szCs w:val="32"/>
          <w:lang w:eastAsia="zh-CN"/>
        </w:rPr>
        <w:t>五</w:t>
      </w:r>
      <w:r>
        <w:rPr>
          <w:rFonts w:hint="eastAsia" w:ascii="黑体" w:hAnsi="黑体" w:eastAsia="黑体" w:cs="黑体"/>
          <w:kern w:val="0"/>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参保人员可按照病情和失能程度发生变化，其护理服务方式可在居家护理、社</w:t>
      </w:r>
      <w:r>
        <w:rPr>
          <w:rFonts w:hint="eastAsia" w:ascii="仿宋_GB2312" w:hAnsi="仿宋_GB2312" w:eastAsia="仿宋_GB2312" w:cs="仿宋_GB2312"/>
          <w:b w:val="0"/>
          <w:bCs w:val="0"/>
          <w:color w:val="auto"/>
          <w:sz w:val="32"/>
          <w:szCs w:val="32"/>
        </w:rPr>
        <w:t>区护理、机构护理等方式中相互转换，长护险待遇不重复享受。参保人员申请护理服务方式变更的，由参保人员（或监护人）向定点</w:t>
      </w:r>
      <w:r>
        <w:rPr>
          <w:rFonts w:hint="eastAsia" w:ascii="仿宋_GB2312" w:hAnsi="仿宋_GB2312" w:eastAsia="仿宋_GB2312" w:cs="仿宋_GB2312"/>
          <w:b w:val="0"/>
          <w:bCs w:val="0"/>
          <w:color w:val="auto"/>
          <w:sz w:val="32"/>
          <w:szCs w:val="32"/>
          <w:lang w:val="en-US" w:eastAsia="zh-CN"/>
        </w:rPr>
        <w:t>长护</w:t>
      </w:r>
      <w:r>
        <w:rPr>
          <w:rFonts w:hint="eastAsia" w:ascii="仿宋_GB2312" w:hAnsi="仿宋_GB2312" w:eastAsia="仿宋_GB2312" w:cs="仿宋_GB2312"/>
          <w:b w:val="0"/>
          <w:bCs w:val="0"/>
          <w:color w:val="auto"/>
          <w:sz w:val="32"/>
          <w:szCs w:val="32"/>
        </w:rPr>
        <w:t>服务机构提交申请，符合规定的，由定点</w:t>
      </w:r>
      <w:r>
        <w:rPr>
          <w:rFonts w:hint="eastAsia" w:ascii="仿宋_GB2312" w:hAnsi="仿宋_GB2312" w:eastAsia="仿宋_GB2312" w:cs="仿宋_GB2312"/>
          <w:b w:val="0"/>
          <w:bCs w:val="0"/>
          <w:color w:val="auto"/>
          <w:sz w:val="32"/>
          <w:szCs w:val="32"/>
          <w:lang w:val="en-US" w:eastAsia="zh-CN"/>
        </w:rPr>
        <w:t>长护</w:t>
      </w:r>
      <w:r>
        <w:rPr>
          <w:rFonts w:hint="eastAsia" w:ascii="仿宋_GB2312" w:hAnsi="仿宋_GB2312" w:eastAsia="仿宋_GB2312" w:cs="仿宋_GB2312"/>
          <w:b w:val="0"/>
          <w:bCs w:val="0"/>
          <w:color w:val="auto"/>
          <w:sz w:val="32"/>
          <w:szCs w:val="32"/>
        </w:rPr>
        <w:t>服务机构为其向属地</w:t>
      </w:r>
      <w:r>
        <w:rPr>
          <w:rStyle w:val="15"/>
          <w:rFonts w:hint="eastAsia" w:ascii="仿宋_GB2312" w:hAnsi="仿宋_GB2312" w:eastAsia="仿宋_GB2312" w:cs="仿宋_GB2312"/>
          <w:b w:val="0"/>
          <w:bCs w:val="0"/>
          <w:color w:val="auto"/>
          <w:sz w:val="32"/>
          <w:szCs w:val="32"/>
        </w:rPr>
        <w:t>医保经办机构</w:t>
      </w:r>
      <w:r>
        <w:rPr>
          <w:rFonts w:hint="eastAsia" w:ascii="仿宋_GB2312" w:hAnsi="仿宋_GB2312" w:eastAsia="仿宋_GB2312" w:cs="仿宋_GB2312"/>
          <w:b w:val="0"/>
          <w:bCs w:val="0"/>
          <w:color w:val="auto"/>
          <w:sz w:val="32"/>
          <w:szCs w:val="32"/>
        </w:rPr>
        <w:t>办理服务方式变更备案，并自办理变更备案手续次月起按变更后的护理方式享受长护险待遇。</w:t>
      </w:r>
    </w:p>
    <w:p w14:paraId="1466A412">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b w:val="0"/>
          <w:bCs w:val="0"/>
          <w:color w:val="auto"/>
          <w:kern w:val="2"/>
          <w:sz w:val="32"/>
          <w:szCs w:val="32"/>
        </w:rPr>
      </w:pPr>
      <w:r>
        <w:rPr>
          <w:rFonts w:hint="eastAsia" w:ascii="黑体" w:hAnsi="黑体" w:eastAsia="黑体" w:cs="黑体"/>
          <w:b w:val="0"/>
          <w:bCs w:val="0"/>
          <w:color w:val="auto"/>
          <w:sz w:val="32"/>
          <w:szCs w:val="32"/>
        </w:rPr>
        <w:t>第二十</w:t>
      </w:r>
      <w:r>
        <w:rPr>
          <w:rFonts w:hint="eastAsia" w:ascii="黑体" w:hAnsi="黑体" w:eastAsia="黑体" w:cs="黑体"/>
          <w:b w:val="0"/>
          <w:bCs w:val="0"/>
          <w:color w:val="auto"/>
          <w:sz w:val="32"/>
          <w:szCs w:val="32"/>
          <w:lang w:eastAsia="zh-CN"/>
        </w:rPr>
        <w:t>六</w:t>
      </w:r>
      <w:r>
        <w:rPr>
          <w:rFonts w:hint="eastAsia" w:ascii="黑体" w:hAnsi="黑体" w:eastAsia="黑体" w:cs="黑体"/>
          <w:b w:val="0"/>
          <w:bCs w:val="0"/>
          <w:color w:val="auto"/>
          <w:sz w:val="32"/>
          <w:szCs w:val="32"/>
        </w:rPr>
        <w:t>条</w:t>
      </w:r>
      <w:r>
        <w:rPr>
          <w:rFonts w:hint="eastAsia" w:ascii="仿宋_GB2312" w:hAnsi="仿宋_GB2312" w:eastAsia="仿宋_GB2312" w:cs="仿宋_GB2312"/>
          <w:b w:val="0"/>
          <w:bCs w:val="0"/>
          <w:color w:val="auto"/>
          <w:kern w:val="2"/>
          <w:sz w:val="32"/>
          <w:szCs w:val="32"/>
        </w:rPr>
        <w:t xml:space="preserve">  参保人员出现下列情形之一的，定点</w:t>
      </w:r>
      <w:r>
        <w:rPr>
          <w:rFonts w:hint="eastAsia" w:ascii="仿宋_GB2312" w:hAnsi="仿宋_GB2312" w:eastAsia="仿宋_GB2312" w:cs="仿宋_GB2312"/>
          <w:b w:val="0"/>
          <w:bCs w:val="0"/>
          <w:color w:val="auto"/>
          <w:sz w:val="32"/>
          <w:szCs w:val="32"/>
          <w:lang w:val="en-US" w:eastAsia="zh-CN"/>
        </w:rPr>
        <w:t>长护</w:t>
      </w:r>
      <w:r>
        <w:rPr>
          <w:rFonts w:hint="eastAsia" w:ascii="仿宋_GB2312" w:hAnsi="仿宋_GB2312" w:eastAsia="仿宋_GB2312" w:cs="仿宋_GB2312"/>
          <w:b w:val="0"/>
          <w:bCs w:val="0"/>
          <w:color w:val="auto"/>
          <w:kern w:val="2"/>
          <w:sz w:val="32"/>
          <w:szCs w:val="32"/>
        </w:rPr>
        <w:t>服务机构应及时办理待遇终止手续：</w:t>
      </w:r>
    </w:p>
    <w:p w14:paraId="5F9EA190">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b w:val="0"/>
          <w:bCs w:val="0"/>
          <w:color w:val="auto"/>
          <w:kern w:val="2"/>
          <w:sz w:val="32"/>
          <w:szCs w:val="32"/>
        </w:rPr>
      </w:pPr>
      <w:r>
        <w:rPr>
          <w:rFonts w:hint="eastAsia" w:ascii="仿宋_GB2312" w:hAnsi="仿宋_GB2312" w:eastAsia="仿宋_GB2312" w:cs="仿宋_GB2312"/>
          <w:b w:val="0"/>
          <w:bCs w:val="0"/>
          <w:color w:val="auto"/>
          <w:kern w:val="2"/>
          <w:sz w:val="32"/>
          <w:szCs w:val="32"/>
        </w:rPr>
        <w:t>（一）长护险待遇享受人员死亡的；</w:t>
      </w:r>
    </w:p>
    <w:p w14:paraId="1DA46581">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b w:val="0"/>
          <w:bCs w:val="0"/>
          <w:color w:val="auto"/>
          <w:kern w:val="2"/>
          <w:sz w:val="32"/>
          <w:szCs w:val="32"/>
        </w:rPr>
      </w:pPr>
      <w:r>
        <w:rPr>
          <w:rFonts w:hint="eastAsia" w:ascii="仿宋_GB2312" w:hAnsi="仿宋_GB2312" w:eastAsia="仿宋_GB2312" w:cs="仿宋_GB2312"/>
          <w:b w:val="0"/>
          <w:bCs w:val="0"/>
          <w:color w:val="auto"/>
          <w:kern w:val="2"/>
          <w:sz w:val="32"/>
          <w:szCs w:val="32"/>
        </w:rPr>
        <w:t>（二）生活自理能力好转，经重新评估不符合条件的；</w:t>
      </w:r>
    </w:p>
    <w:p w14:paraId="6906F4BA">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kern w:val="2"/>
          <w:sz w:val="32"/>
          <w:szCs w:val="32"/>
        </w:rPr>
        <w:t>（三）与</w:t>
      </w:r>
      <w:bookmarkStart w:id="0" w:name="_GoBack"/>
      <w:bookmarkEnd w:id="0"/>
      <w:r>
        <w:rPr>
          <w:rFonts w:hint="eastAsia" w:ascii="仿宋_GB2312" w:hAnsi="仿宋_GB2312" w:eastAsia="仿宋_GB2312" w:cs="仿宋_GB2312"/>
          <w:b w:val="0"/>
          <w:bCs w:val="0"/>
          <w:color w:val="auto"/>
          <w:kern w:val="2"/>
          <w:sz w:val="32"/>
          <w:szCs w:val="32"/>
        </w:rPr>
        <w:t>定点</w:t>
      </w:r>
      <w:r>
        <w:rPr>
          <w:rFonts w:hint="eastAsia" w:ascii="仿宋_GB2312" w:hAnsi="仿宋_GB2312" w:eastAsia="仿宋_GB2312" w:cs="仿宋_GB2312"/>
          <w:b w:val="0"/>
          <w:bCs w:val="0"/>
          <w:color w:val="auto"/>
          <w:sz w:val="32"/>
          <w:szCs w:val="32"/>
          <w:lang w:val="en-US" w:eastAsia="zh-CN"/>
        </w:rPr>
        <w:t>长护</w:t>
      </w:r>
      <w:r>
        <w:rPr>
          <w:rFonts w:hint="eastAsia" w:ascii="仿宋_GB2312" w:hAnsi="仿宋_GB2312" w:eastAsia="仿宋_GB2312" w:cs="仿宋_GB2312"/>
          <w:b w:val="0"/>
          <w:bCs w:val="0"/>
          <w:color w:val="auto"/>
          <w:sz w:val="32"/>
          <w:szCs w:val="32"/>
        </w:rPr>
        <w:t>服务</w:t>
      </w:r>
      <w:r>
        <w:rPr>
          <w:rFonts w:hint="eastAsia" w:ascii="仿宋_GB2312" w:hAnsi="仿宋_GB2312" w:eastAsia="仿宋_GB2312" w:cs="仿宋_GB2312"/>
          <w:b w:val="0"/>
          <w:bCs w:val="0"/>
          <w:color w:val="auto"/>
          <w:kern w:val="2"/>
          <w:sz w:val="32"/>
          <w:szCs w:val="32"/>
        </w:rPr>
        <w:t>机构终止服务协议的。</w:t>
      </w:r>
    </w:p>
    <w:p w14:paraId="5047B866">
      <w:pPr>
        <w:topLinePunct/>
        <w:autoSpaceDE w:val="0"/>
        <w:spacing w:line="540" w:lineRule="exact"/>
        <w:ind w:firstLine="600"/>
        <w:rPr>
          <w:rStyle w:val="15"/>
          <w:rFonts w:hint="eastAsia" w:ascii="仿宋_GB2312" w:hAnsi="仿宋_GB2312" w:eastAsia="仿宋_GB2312" w:cs="仿宋_GB2312"/>
          <w:b w:val="0"/>
          <w:kern w:val="0"/>
          <w:sz w:val="32"/>
          <w:szCs w:val="32"/>
        </w:rPr>
      </w:pPr>
      <w:r>
        <w:rPr>
          <w:rFonts w:hint="eastAsia" w:ascii="黑体" w:hAnsi="黑体" w:eastAsia="黑体" w:cs="黑体"/>
          <w:kern w:val="0"/>
          <w:sz w:val="32"/>
          <w:szCs w:val="32"/>
        </w:rPr>
        <w:t>第二十</w:t>
      </w:r>
      <w:r>
        <w:rPr>
          <w:rFonts w:hint="eastAsia" w:ascii="黑体" w:hAnsi="黑体" w:eastAsia="黑体" w:cs="黑体"/>
          <w:kern w:val="0"/>
          <w:sz w:val="32"/>
          <w:szCs w:val="32"/>
          <w:lang w:eastAsia="zh-CN"/>
        </w:rPr>
        <w:t>七</w:t>
      </w:r>
      <w:r>
        <w:rPr>
          <w:rFonts w:hint="eastAsia" w:ascii="黑体" w:hAnsi="黑体" w:eastAsia="黑体" w:cs="黑体"/>
          <w:kern w:val="0"/>
          <w:sz w:val="32"/>
          <w:szCs w:val="32"/>
        </w:rPr>
        <w:t>条</w:t>
      </w:r>
      <w:r>
        <w:rPr>
          <w:rFonts w:hint="eastAsia" w:ascii="仿宋_GB2312" w:hAnsi="仿宋_GB2312" w:eastAsia="仿宋_GB2312" w:cs="仿宋_GB2312"/>
          <w:b/>
          <w:bCs/>
          <w:sz w:val="32"/>
          <w:szCs w:val="32"/>
        </w:rPr>
        <w:t xml:space="preserve">  </w:t>
      </w:r>
      <w:r>
        <w:rPr>
          <w:rStyle w:val="15"/>
          <w:rFonts w:hint="eastAsia" w:ascii="仿宋_GB2312" w:hAnsi="仿宋_GB2312" w:eastAsia="仿宋_GB2312" w:cs="仿宋_GB2312"/>
          <w:b w:val="0"/>
          <w:kern w:val="0"/>
          <w:sz w:val="32"/>
          <w:szCs w:val="32"/>
        </w:rPr>
        <w:t>下列情形发生的长期护理服务费用，不纳入基金支付范围：</w:t>
      </w:r>
    </w:p>
    <w:p w14:paraId="0082B518">
      <w:pPr>
        <w:topLinePunct/>
        <w:autoSpaceDE w:val="0"/>
        <w:spacing w:line="540" w:lineRule="exact"/>
        <w:ind w:firstLine="600"/>
        <w:rPr>
          <w:rStyle w:val="15"/>
          <w:rFonts w:hint="eastAsia" w:ascii="仿宋_GB2312" w:hAnsi="仿宋_GB2312" w:eastAsia="仿宋_GB2312" w:cs="仿宋_GB2312"/>
          <w:b w:val="0"/>
          <w:kern w:val="0"/>
          <w:sz w:val="32"/>
          <w:szCs w:val="32"/>
        </w:rPr>
      </w:pPr>
      <w:r>
        <w:rPr>
          <w:rStyle w:val="15"/>
          <w:rFonts w:hint="eastAsia" w:ascii="仿宋_GB2312" w:hAnsi="仿宋_GB2312" w:eastAsia="仿宋_GB2312" w:cs="仿宋_GB2312"/>
          <w:b w:val="0"/>
          <w:kern w:val="0"/>
          <w:sz w:val="32"/>
          <w:szCs w:val="32"/>
        </w:rPr>
        <w:t>（一）应当由基本医疗保险基金、工伤保险基金支付的；</w:t>
      </w:r>
    </w:p>
    <w:p w14:paraId="7BB925A5">
      <w:pPr>
        <w:topLinePunct/>
        <w:autoSpaceDE w:val="0"/>
        <w:spacing w:line="540" w:lineRule="exact"/>
        <w:ind w:firstLine="600"/>
        <w:rPr>
          <w:rStyle w:val="15"/>
          <w:rFonts w:hint="eastAsia" w:ascii="仿宋_GB2312" w:hAnsi="仿宋_GB2312" w:eastAsia="仿宋_GB2312" w:cs="仿宋_GB2312"/>
          <w:b w:val="0"/>
          <w:kern w:val="0"/>
          <w:sz w:val="32"/>
          <w:szCs w:val="32"/>
        </w:rPr>
      </w:pPr>
      <w:r>
        <w:rPr>
          <w:rStyle w:val="15"/>
          <w:rFonts w:hint="eastAsia" w:ascii="仿宋_GB2312" w:hAnsi="仿宋_GB2312" w:eastAsia="仿宋_GB2312" w:cs="仿宋_GB2312"/>
          <w:b w:val="0"/>
          <w:kern w:val="0"/>
          <w:sz w:val="32"/>
          <w:szCs w:val="32"/>
        </w:rPr>
        <w:t>（二）应当由第三人负担的；</w:t>
      </w:r>
    </w:p>
    <w:p w14:paraId="05D6D11C">
      <w:pPr>
        <w:topLinePunct/>
        <w:autoSpaceDE w:val="0"/>
        <w:spacing w:line="540" w:lineRule="exact"/>
        <w:ind w:firstLine="600"/>
        <w:rPr>
          <w:rStyle w:val="15"/>
          <w:rFonts w:hint="eastAsia" w:ascii="仿宋_GB2312" w:hAnsi="仿宋_GB2312" w:eastAsia="仿宋_GB2312" w:cs="仿宋_GB2312"/>
          <w:b w:val="0"/>
          <w:kern w:val="0"/>
          <w:sz w:val="32"/>
          <w:szCs w:val="32"/>
        </w:rPr>
      </w:pPr>
      <w:r>
        <w:rPr>
          <w:rStyle w:val="15"/>
          <w:rFonts w:hint="eastAsia" w:ascii="仿宋_GB2312" w:hAnsi="仿宋_GB2312" w:eastAsia="仿宋_GB2312" w:cs="仿宋_GB2312"/>
          <w:b w:val="0"/>
          <w:kern w:val="0"/>
          <w:sz w:val="32"/>
          <w:szCs w:val="32"/>
        </w:rPr>
        <w:t>（三）非协议管理定点机构发生的；</w:t>
      </w:r>
    </w:p>
    <w:p w14:paraId="259AED09">
      <w:pPr>
        <w:topLinePunct/>
        <w:autoSpaceDE w:val="0"/>
        <w:spacing w:line="540" w:lineRule="exact"/>
        <w:ind w:firstLine="600"/>
        <w:rPr>
          <w:rStyle w:val="15"/>
          <w:rFonts w:hint="eastAsia" w:ascii="仿宋_GB2312" w:hAnsi="仿宋_GB2312" w:eastAsia="仿宋_GB2312" w:cs="仿宋_GB2312"/>
          <w:b w:val="0"/>
          <w:kern w:val="0"/>
          <w:sz w:val="32"/>
          <w:szCs w:val="32"/>
        </w:rPr>
      </w:pPr>
      <w:r>
        <w:rPr>
          <w:rStyle w:val="15"/>
          <w:rFonts w:hint="eastAsia" w:ascii="仿宋_GB2312" w:hAnsi="仿宋_GB2312" w:eastAsia="仿宋_GB2312" w:cs="仿宋_GB2312"/>
          <w:b w:val="0"/>
          <w:kern w:val="0"/>
          <w:sz w:val="32"/>
          <w:szCs w:val="32"/>
        </w:rPr>
        <w:t>（四）机构床位费、膳食费等非护理服务费用；</w:t>
      </w:r>
    </w:p>
    <w:p w14:paraId="3AEA71DC">
      <w:pPr>
        <w:pStyle w:val="11"/>
        <w:topLinePunct/>
        <w:autoSpaceDE w:val="0"/>
        <w:spacing w:beforeAutospacing="0" w:afterAutospacing="0" w:line="540" w:lineRule="exact"/>
        <w:ind w:firstLine="640" w:firstLineChars="200"/>
        <w:jc w:val="both"/>
        <w:rPr>
          <w:rStyle w:val="15"/>
          <w:rFonts w:hint="eastAsia" w:ascii="仿宋_GB2312" w:hAnsi="仿宋_GB2312" w:eastAsia="仿宋_GB2312" w:cs="仿宋_GB2312"/>
          <w:b w:val="0"/>
          <w:sz w:val="32"/>
          <w:szCs w:val="32"/>
          <w:lang w:eastAsia="zh-CN"/>
        </w:rPr>
      </w:pPr>
      <w:r>
        <w:rPr>
          <w:rStyle w:val="15"/>
          <w:rFonts w:hint="eastAsia" w:ascii="仿宋_GB2312" w:hAnsi="仿宋_GB2312" w:eastAsia="仿宋_GB2312" w:cs="仿宋_GB2312"/>
          <w:b w:val="0"/>
          <w:sz w:val="32"/>
          <w:szCs w:val="32"/>
        </w:rPr>
        <w:t>（五）在境外发生的护理费用</w:t>
      </w:r>
      <w:r>
        <w:rPr>
          <w:rStyle w:val="15"/>
          <w:rFonts w:hint="eastAsia" w:ascii="仿宋_GB2312" w:hAnsi="仿宋_GB2312" w:eastAsia="仿宋_GB2312" w:cs="仿宋_GB2312"/>
          <w:b w:val="0"/>
          <w:sz w:val="32"/>
          <w:szCs w:val="32"/>
          <w:lang w:eastAsia="zh-CN"/>
        </w:rPr>
        <w:t>；</w:t>
      </w:r>
    </w:p>
    <w:p w14:paraId="4856F6C8">
      <w:pPr>
        <w:pStyle w:val="11"/>
        <w:topLinePunct/>
        <w:autoSpaceDE w:val="0"/>
        <w:spacing w:beforeAutospacing="0" w:afterAutospacing="0" w:line="540" w:lineRule="exact"/>
        <w:ind w:firstLine="640" w:firstLineChars="200"/>
        <w:jc w:val="both"/>
        <w:rPr>
          <w:rStyle w:val="15"/>
          <w:rFonts w:hint="eastAsia" w:ascii="仿宋_GB2312" w:hAnsi="仿宋_GB2312" w:eastAsia="仿宋_GB2312" w:cs="仿宋_GB2312"/>
          <w:b w:val="0"/>
          <w:sz w:val="32"/>
          <w:szCs w:val="32"/>
        </w:rPr>
      </w:pPr>
      <w:r>
        <w:rPr>
          <w:rStyle w:val="15"/>
          <w:rFonts w:hint="eastAsia" w:ascii="仿宋_GB2312" w:hAnsi="仿宋_GB2312" w:eastAsia="仿宋_GB2312" w:cs="仿宋_GB2312"/>
          <w:b w:val="0"/>
          <w:sz w:val="32"/>
          <w:szCs w:val="32"/>
        </w:rPr>
        <w:t>（六）其他法律、法规规定不予支付的。</w:t>
      </w:r>
    </w:p>
    <w:p w14:paraId="46FB5680">
      <w:pPr>
        <w:pStyle w:val="11"/>
        <w:topLinePunct/>
        <w:autoSpaceDE w:val="0"/>
        <w:spacing w:beforeAutospacing="0" w:afterAutospacing="0" w:line="540" w:lineRule="exact"/>
        <w:ind w:firstLine="640" w:firstLineChars="200"/>
        <w:jc w:val="both"/>
        <w:rPr>
          <w:rStyle w:val="15"/>
          <w:rFonts w:hint="eastAsia" w:ascii="仿宋_GB2312" w:hAnsi="仿宋_GB2312" w:eastAsia="仿宋_GB2312" w:cs="仿宋_GB2312"/>
          <w:b w:val="0"/>
          <w:sz w:val="32"/>
          <w:szCs w:val="32"/>
        </w:rPr>
      </w:pPr>
      <w:r>
        <w:rPr>
          <w:rFonts w:hint="eastAsia" w:ascii="黑体" w:hAnsi="黑体" w:eastAsia="黑体" w:cs="黑体"/>
          <w:sz w:val="32"/>
          <w:szCs w:val="32"/>
        </w:rPr>
        <w:t>第二十</w:t>
      </w:r>
      <w:r>
        <w:rPr>
          <w:rFonts w:hint="eastAsia" w:ascii="黑体" w:hAnsi="黑体" w:eastAsia="黑体" w:cs="黑体"/>
          <w:sz w:val="32"/>
          <w:szCs w:val="32"/>
          <w:lang w:eastAsia="zh-CN"/>
        </w:rPr>
        <w:t>八</w:t>
      </w:r>
      <w:r>
        <w:rPr>
          <w:rFonts w:hint="eastAsia" w:ascii="黑体" w:hAnsi="黑体" w:eastAsia="黑体" w:cs="黑体"/>
          <w:sz w:val="32"/>
          <w:szCs w:val="32"/>
        </w:rPr>
        <w:t>条</w:t>
      </w:r>
      <w:r>
        <w:rPr>
          <w:rStyle w:val="15"/>
          <w:rFonts w:hint="eastAsia" w:ascii="仿宋_GB2312" w:hAnsi="仿宋_GB2312" w:eastAsia="仿宋_GB2312" w:cs="仿宋_GB2312"/>
          <w:bCs/>
          <w:sz w:val="32"/>
          <w:szCs w:val="32"/>
        </w:rPr>
        <w:t xml:space="preserve">  </w:t>
      </w:r>
      <w:r>
        <w:rPr>
          <w:rStyle w:val="15"/>
          <w:rFonts w:hint="eastAsia" w:ascii="仿宋_GB2312" w:hAnsi="仿宋_GB2312" w:eastAsia="仿宋_GB2312" w:cs="仿宋_GB2312"/>
          <w:b w:val="0"/>
          <w:sz w:val="32"/>
          <w:szCs w:val="32"/>
        </w:rPr>
        <w:t>参保人员跨市享受长期护理服务的，有关待遇政策按照国家、省有关规定执行。</w:t>
      </w:r>
    </w:p>
    <w:p w14:paraId="76066772">
      <w:pPr>
        <w:pStyle w:val="18"/>
        <w:widowControl w:val="0"/>
        <w:topLinePunct/>
        <w:autoSpaceDE w:val="0"/>
        <w:spacing w:before="0" w:after="0" w:line="540" w:lineRule="exact"/>
        <w:jc w:val="both"/>
        <w:rPr>
          <w:rFonts w:hint="eastAsia" w:ascii="仿宋_GB2312" w:hAnsi="仿宋_GB2312" w:eastAsia="仿宋_GB2312" w:cs="仿宋_GB2312"/>
          <w:sz w:val="32"/>
          <w:szCs w:val="32"/>
        </w:rPr>
      </w:pPr>
    </w:p>
    <w:p w14:paraId="594B27A1">
      <w:pPr>
        <w:pStyle w:val="11"/>
        <w:numPr>
          <w:ilvl w:val="0"/>
          <w:numId w:val="5"/>
        </w:numPr>
        <w:topLinePunct/>
        <w:autoSpaceDE w:val="0"/>
        <w:spacing w:beforeAutospacing="0" w:afterAutospacing="0" w:line="540" w:lineRule="exact"/>
        <w:jc w:val="center"/>
        <w:rPr>
          <w:rFonts w:hint="eastAsia" w:ascii="黑体" w:hAnsi="黑体" w:eastAsia="黑体" w:cs="黑体"/>
          <w:sz w:val="32"/>
          <w:szCs w:val="32"/>
        </w:rPr>
      </w:pPr>
      <w:r>
        <w:rPr>
          <w:rFonts w:hint="eastAsia" w:ascii="黑体" w:hAnsi="黑体" w:eastAsia="黑体" w:cs="黑体"/>
          <w:sz w:val="32"/>
          <w:szCs w:val="32"/>
        </w:rPr>
        <w:t>基金管理</w:t>
      </w:r>
    </w:p>
    <w:p w14:paraId="0AE9E174">
      <w:pPr>
        <w:pStyle w:val="11"/>
        <w:topLinePunct/>
        <w:autoSpaceDE w:val="0"/>
        <w:spacing w:beforeAutospacing="0" w:afterAutospacing="0" w:line="540" w:lineRule="exact"/>
        <w:jc w:val="both"/>
        <w:rPr>
          <w:rFonts w:hint="eastAsia" w:ascii="仿宋_GB2312" w:hAnsi="仿宋_GB2312" w:eastAsia="仿宋_GB2312" w:cs="仿宋_GB2312"/>
          <w:sz w:val="32"/>
          <w:szCs w:val="32"/>
        </w:rPr>
      </w:pPr>
    </w:p>
    <w:p w14:paraId="73C59948">
      <w:pPr>
        <w:pStyle w:val="11"/>
        <w:topLinePunct/>
        <w:autoSpaceDE w:val="0"/>
        <w:spacing w:beforeAutospacing="0" w:afterAutospacing="0" w:line="540" w:lineRule="exact"/>
        <w:ind w:firstLine="640" w:firstLineChars="200"/>
        <w:jc w:val="both"/>
        <w:rPr>
          <w:rStyle w:val="15"/>
          <w:rFonts w:hint="eastAsia" w:ascii="仿宋_GB2312" w:hAnsi="仿宋_GB2312" w:eastAsia="仿宋_GB2312" w:cs="仿宋_GB2312"/>
          <w:b w:val="0"/>
          <w:sz w:val="32"/>
          <w:szCs w:val="32"/>
        </w:rPr>
      </w:pPr>
      <w:r>
        <w:rPr>
          <w:rFonts w:hint="eastAsia" w:ascii="黑体" w:hAnsi="黑体" w:eastAsia="黑体" w:cs="黑体"/>
          <w:sz w:val="32"/>
          <w:szCs w:val="32"/>
        </w:rPr>
        <w:t>第二十</w:t>
      </w:r>
      <w:r>
        <w:rPr>
          <w:rFonts w:hint="eastAsia" w:ascii="黑体" w:hAnsi="黑体" w:eastAsia="黑体" w:cs="黑体"/>
          <w:sz w:val="32"/>
          <w:szCs w:val="32"/>
          <w:lang w:eastAsia="zh-CN"/>
        </w:rPr>
        <w:t>九</w:t>
      </w:r>
      <w:r>
        <w:rPr>
          <w:rFonts w:hint="eastAsia" w:ascii="黑体" w:hAnsi="黑体" w:eastAsia="黑体" w:cs="黑体"/>
          <w:sz w:val="32"/>
          <w:szCs w:val="32"/>
        </w:rPr>
        <w:t>条</w:t>
      </w:r>
      <w:r>
        <w:rPr>
          <w:rFonts w:hint="eastAsia" w:ascii="仿宋_GB2312" w:hAnsi="仿宋_GB2312" w:eastAsia="仿宋_GB2312" w:cs="仿宋_GB2312"/>
          <w:b/>
          <w:bCs/>
          <w:sz w:val="32"/>
          <w:szCs w:val="32"/>
        </w:rPr>
        <w:t xml:space="preserve">  </w:t>
      </w:r>
      <w:r>
        <w:rPr>
          <w:rStyle w:val="15"/>
          <w:rFonts w:hint="eastAsia" w:ascii="仿宋_GB2312" w:hAnsi="仿宋_GB2312" w:eastAsia="仿宋_GB2312" w:cs="仿宋_GB2312"/>
          <w:b w:val="0"/>
          <w:sz w:val="32"/>
          <w:szCs w:val="32"/>
        </w:rPr>
        <w:t>长护险基金实行市级统筹，按照“以收定支、收支平衡、略有结余、动态调整”的总体原则，长护险基金纳入市社会保障基金财政专户管理，单独建账，单独管理，专款专用。</w:t>
      </w:r>
      <w:r>
        <w:rPr>
          <w:rStyle w:val="15"/>
          <w:rFonts w:hint="eastAsia" w:ascii="仿宋_GB2312" w:hAnsi="仿宋_GB2312" w:eastAsia="仿宋_GB2312" w:cs="仿宋_GB2312"/>
          <w:b w:val="0"/>
          <w:sz w:val="32"/>
          <w:szCs w:val="32"/>
          <w:lang w:val="en-US" w:eastAsia="zh-CN"/>
        </w:rPr>
        <w:t>将长护险纳入社会保险基金预算编制范围，科学编制收支预算，加强预算绩效管理，健全基金预算管理制度。</w:t>
      </w:r>
      <w:r>
        <w:rPr>
          <w:rStyle w:val="15"/>
          <w:rFonts w:hint="eastAsia" w:ascii="仿宋_GB2312" w:hAnsi="仿宋_GB2312" w:eastAsia="仿宋_GB2312" w:cs="仿宋_GB2312"/>
          <w:b w:val="0"/>
          <w:sz w:val="32"/>
          <w:szCs w:val="32"/>
        </w:rPr>
        <w:t>严格执行相关财务制度和会计制度，加强基金管理，建立健全基金的风险防范机制，确保基金安全。</w:t>
      </w:r>
    </w:p>
    <w:p w14:paraId="3424AF08">
      <w:pPr>
        <w:topLinePunct/>
        <w:autoSpaceDE w:val="0"/>
        <w:spacing w:line="540" w:lineRule="exact"/>
        <w:ind w:firstLine="640"/>
        <w:rPr>
          <w:rFonts w:hint="eastAsia" w:ascii="仿宋_GB2312" w:hAnsi="仿宋_GB2312" w:eastAsia="仿宋_GB2312" w:cs="仿宋_GB2312"/>
          <w:sz w:val="32"/>
          <w:szCs w:val="32"/>
        </w:rPr>
      </w:pPr>
      <w:r>
        <w:rPr>
          <w:rFonts w:hint="eastAsia" w:ascii="黑体" w:hAnsi="黑体" w:eastAsia="黑体" w:cs="黑体"/>
          <w:kern w:val="0"/>
          <w:sz w:val="32"/>
          <w:szCs w:val="32"/>
        </w:rPr>
        <w:t>第</w:t>
      </w:r>
      <w:r>
        <w:rPr>
          <w:rFonts w:hint="eastAsia" w:ascii="黑体" w:hAnsi="黑体" w:eastAsia="黑体" w:cs="黑体"/>
          <w:kern w:val="0"/>
          <w:sz w:val="32"/>
          <w:szCs w:val="32"/>
          <w:lang w:eastAsia="zh-CN"/>
        </w:rPr>
        <w:t>三十</w:t>
      </w:r>
      <w:r>
        <w:rPr>
          <w:rFonts w:hint="eastAsia" w:ascii="黑体" w:hAnsi="黑体" w:eastAsia="黑体" w:cs="黑体"/>
          <w:kern w:val="0"/>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建立健全长护险基金监督体系，长护险基金使用情况纳入医疗保障基金监督体系，明确监管内容，强化协议管理，压实基金使用主体责任，规范安全有效使用基金。对承保机构、</w:t>
      </w:r>
      <w:r>
        <w:rPr>
          <w:rFonts w:hint="eastAsia" w:ascii="仿宋_GB2312" w:hAnsi="仿宋_GB2312" w:eastAsia="仿宋_GB2312" w:cs="仿宋_GB2312"/>
          <w:color w:val="auto"/>
          <w:sz w:val="32"/>
          <w:szCs w:val="32"/>
          <w:lang w:val="en-US" w:eastAsia="zh-CN"/>
        </w:rPr>
        <w:t>定点长护</w:t>
      </w:r>
      <w:r>
        <w:rPr>
          <w:rFonts w:hint="eastAsia" w:ascii="仿宋_GB2312" w:hAnsi="仿宋_GB2312" w:eastAsia="仿宋_GB2312" w:cs="仿宋_GB2312"/>
          <w:color w:val="auto"/>
          <w:sz w:val="32"/>
          <w:szCs w:val="32"/>
        </w:rPr>
        <w:t>服务机构、评估机构及其从业人员、参保人员开展监督</w:t>
      </w:r>
      <w:r>
        <w:rPr>
          <w:rFonts w:hint="eastAsia" w:ascii="仿宋_GB2312" w:hAnsi="仿宋_GB2312" w:eastAsia="仿宋_GB2312" w:cs="仿宋_GB2312"/>
          <w:sz w:val="32"/>
          <w:szCs w:val="32"/>
        </w:rPr>
        <w:t>检查，强化事前防控、事中审核和事后监管，提升监管实效。</w:t>
      </w:r>
    </w:p>
    <w:p w14:paraId="5E1511F1">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kern w:val="2"/>
          <w:sz w:val="32"/>
          <w:szCs w:val="32"/>
          <w:lang/>
        </w:rPr>
      </w:pPr>
      <w:r>
        <w:rPr>
          <w:rFonts w:hint="eastAsia" w:ascii="黑体" w:hAnsi="黑体" w:eastAsia="黑体" w:cs="黑体"/>
          <w:sz w:val="32"/>
          <w:szCs w:val="32"/>
        </w:rPr>
        <w:t>第三十</w:t>
      </w:r>
      <w:r>
        <w:rPr>
          <w:rFonts w:hint="eastAsia" w:ascii="黑体" w:hAnsi="黑体" w:eastAsia="黑体" w:cs="黑体"/>
          <w:sz w:val="32"/>
          <w:szCs w:val="32"/>
          <w:lang w:eastAsia="zh-CN"/>
        </w:rPr>
        <w:t>一</w:t>
      </w:r>
      <w:r>
        <w:rPr>
          <w:rFonts w:hint="eastAsia" w:ascii="黑体" w:hAnsi="黑体" w:eastAsia="黑体" w:cs="黑体"/>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kern w:val="2"/>
          <w:sz w:val="32"/>
          <w:szCs w:val="32"/>
          <w:lang w:val="en-US" w:eastAsia="zh-CN"/>
        </w:rPr>
        <w:t>长护险基金收入包括保费收入、财政补助收入、利息收入、转移收入、上级补助收入、下级上解收入、其他收入等。</w:t>
      </w:r>
    </w:p>
    <w:p w14:paraId="7890EA5B">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kern w:val="2"/>
          <w:sz w:val="32"/>
          <w:szCs w:val="32"/>
          <w:lang w:val="en-US" w:eastAsia="zh-CN"/>
        </w:rPr>
      </w:pPr>
      <w:r>
        <w:rPr>
          <w:rFonts w:hint="eastAsia" w:ascii="黑体" w:hAnsi="黑体" w:eastAsia="黑体" w:cs="黑体"/>
          <w:sz w:val="32"/>
          <w:szCs w:val="32"/>
        </w:rPr>
        <w:t>第三十</w:t>
      </w:r>
      <w:r>
        <w:rPr>
          <w:rFonts w:hint="eastAsia" w:ascii="黑体" w:hAnsi="黑体" w:eastAsia="黑体" w:cs="黑体"/>
          <w:sz w:val="32"/>
          <w:szCs w:val="32"/>
          <w:lang w:eastAsia="zh-CN"/>
        </w:rPr>
        <w:t>二</w:t>
      </w:r>
      <w:r>
        <w:rPr>
          <w:rFonts w:hint="eastAsia" w:ascii="黑体" w:hAnsi="黑体" w:eastAsia="黑体" w:cs="黑体"/>
          <w:sz w:val="32"/>
          <w:szCs w:val="32"/>
        </w:rPr>
        <w:t>条</w:t>
      </w:r>
      <w:r>
        <w:rPr>
          <w:rFonts w:hint="eastAsia" w:ascii="仿宋_GB2312" w:hAnsi="仿宋_GB2312" w:eastAsia="仿宋_GB2312" w:cs="仿宋_GB2312"/>
          <w:b/>
          <w:bCs/>
          <w:color w:val="FF0000"/>
          <w:sz w:val="32"/>
          <w:szCs w:val="32"/>
        </w:rPr>
        <w:t xml:space="preserve"> </w:t>
      </w:r>
      <w:r>
        <w:rPr>
          <w:rFonts w:hint="eastAsia" w:ascii="仿宋_GB2312" w:hAnsi="仿宋_GB2312" w:eastAsia="仿宋_GB2312" w:cs="仿宋_GB2312"/>
          <w:kern w:val="2"/>
          <w:sz w:val="32"/>
          <w:szCs w:val="32"/>
          <w:lang w:val="en-US" w:eastAsia="zh-CN"/>
        </w:rPr>
        <w:t xml:space="preserve"> </w:t>
      </w:r>
      <w:r>
        <w:rPr>
          <w:rFonts w:hint="eastAsia" w:ascii="仿宋_GB2312" w:hAnsi="仿宋_GB2312" w:eastAsia="仿宋_GB2312" w:cs="仿宋_GB2312"/>
          <w:kern w:val="2"/>
          <w:sz w:val="32"/>
          <w:szCs w:val="32"/>
          <w:lang w:val="en-US" w:eastAsia="zh-CN"/>
        </w:rPr>
        <w:t>在长护险基金出现支付困难时，应当按照规定及时调整筹资或待遇政策。</w:t>
      </w:r>
    </w:p>
    <w:p w14:paraId="7AB6B134">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kern w:val="2"/>
          <w:sz w:val="32"/>
          <w:szCs w:val="32"/>
          <w:lang w:val="zh-CN" w:eastAsia="zh-CN"/>
        </w:rPr>
      </w:pPr>
      <w:r>
        <w:rPr>
          <w:rFonts w:hint="eastAsia" w:ascii="黑体" w:hAnsi="黑体" w:eastAsia="黑体" w:cs="黑体"/>
          <w:sz w:val="32"/>
          <w:szCs w:val="32"/>
        </w:rPr>
        <w:t>第三十</w:t>
      </w:r>
      <w:r>
        <w:rPr>
          <w:rFonts w:hint="eastAsia" w:ascii="黑体" w:hAnsi="黑体" w:eastAsia="黑体" w:cs="黑体"/>
          <w:sz w:val="32"/>
          <w:szCs w:val="32"/>
          <w:lang w:eastAsia="zh-CN"/>
        </w:rPr>
        <w:t>三</w:t>
      </w:r>
      <w:r>
        <w:rPr>
          <w:rFonts w:hint="eastAsia" w:ascii="黑体" w:hAnsi="黑体" w:eastAsia="黑体" w:cs="黑体"/>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kern w:val="2"/>
          <w:sz w:val="32"/>
          <w:szCs w:val="32"/>
          <w:lang w:val="en-US" w:eastAsia="zh-CN"/>
        </w:rPr>
        <w:t>长护险基金支出包括待遇支出、失能等级评估费支出、委托经办服务费支出、转移支出、补助下级支出、上解上级支出、其他支出等。</w:t>
      </w:r>
    </w:p>
    <w:p w14:paraId="6239880B">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kern w:val="2"/>
          <w:sz w:val="32"/>
          <w:szCs w:val="32"/>
          <w:lang w:val="en-US" w:eastAsia="zh-CN"/>
        </w:rPr>
      </w:pPr>
    </w:p>
    <w:p w14:paraId="15CF493D">
      <w:pPr>
        <w:numPr>
          <w:ilvl w:val="0"/>
          <w:numId w:val="6"/>
        </w:numPr>
        <w:topLinePunct/>
        <w:autoSpaceDE w:val="0"/>
        <w:spacing w:line="540" w:lineRule="exact"/>
        <w:jc w:val="center"/>
        <w:rPr>
          <w:rFonts w:hint="eastAsia" w:ascii="黑体" w:hAnsi="黑体" w:eastAsia="黑体" w:cs="黑体"/>
          <w:sz w:val="32"/>
          <w:szCs w:val="32"/>
        </w:rPr>
      </w:pPr>
      <w:r>
        <w:rPr>
          <w:rFonts w:hint="eastAsia" w:ascii="黑体" w:hAnsi="黑体" w:eastAsia="黑体" w:cs="黑体"/>
          <w:sz w:val="32"/>
          <w:szCs w:val="32"/>
        </w:rPr>
        <w:t>服务管理</w:t>
      </w:r>
    </w:p>
    <w:p w14:paraId="6E2E381C">
      <w:pPr>
        <w:topLinePunct/>
        <w:autoSpaceDE w:val="0"/>
        <w:spacing w:line="540" w:lineRule="exact"/>
        <w:rPr>
          <w:rFonts w:hint="eastAsia" w:ascii="仿宋_GB2312" w:hAnsi="仿宋_GB2312" w:eastAsia="仿宋_GB2312" w:cs="仿宋_GB2312"/>
          <w:kern w:val="0"/>
          <w:sz w:val="32"/>
          <w:szCs w:val="32"/>
        </w:rPr>
      </w:pPr>
    </w:p>
    <w:p w14:paraId="35ACDB64">
      <w:pPr>
        <w:topLinePunct/>
        <w:autoSpaceDE w:val="0"/>
        <w:spacing w:line="540" w:lineRule="exact"/>
        <w:ind w:firstLine="640" w:firstLineChars="200"/>
        <w:rPr>
          <w:rFonts w:hint="eastAsia" w:ascii="仿宋_GB2312" w:hAnsi="仿宋_GB2312" w:eastAsia="仿宋_GB2312" w:cs="仿宋_GB2312"/>
          <w:kern w:val="0"/>
          <w:sz w:val="32"/>
          <w:szCs w:val="32"/>
        </w:rPr>
      </w:pPr>
      <w:r>
        <w:rPr>
          <w:rFonts w:hint="eastAsia" w:ascii="黑体" w:hAnsi="黑体" w:eastAsia="黑体" w:cs="黑体"/>
          <w:kern w:val="0"/>
          <w:sz w:val="32"/>
          <w:szCs w:val="32"/>
        </w:rPr>
        <w:t>第三十四条</w:t>
      </w:r>
      <w:r>
        <w:rPr>
          <w:rFonts w:hint="eastAsia" w:ascii="仿宋_GB2312" w:hAnsi="仿宋_GB2312" w:eastAsia="仿宋_GB2312" w:cs="仿宋_GB2312"/>
          <w:kern w:val="0"/>
          <w:sz w:val="32"/>
          <w:szCs w:val="32"/>
        </w:rPr>
        <w:t xml:space="preserve">  医保经办机构负责定点评估机构和定点长护服务机构协议管理、核查考核、费用审核结算、信息系统以及对商保公司等第三方机构的考核管理等。</w:t>
      </w:r>
    </w:p>
    <w:p w14:paraId="3E724B84">
      <w:pPr>
        <w:topLinePunct/>
        <w:autoSpaceDE w:val="0"/>
        <w:spacing w:line="540" w:lineRule="exact"/>
        <w:ind w:firstLine="640"/>
        <w:rPr>
          <w:rFonts w:hint="eastAsia" w:ascii="仿宋_GB2312" w:hAnsi="仿宋_GB2312" w:eastAsia="仿宋_GB2312" w:cs="仿宋_GB2312"/>
          <w:kern w:val="0"/>
          <w:sz w:val="32"/>
          <w:szCs w:val="32"/>
        </w:rPr>
      </w:pPr>
      <w:r>
        <w:rPr>
          <w:rFonts w:hint="eastAsia" w:ascii="黑体" w:hAnsi="黑体" w:eastAsia="黑体" w:cs="黑体"/>
          <w:kern w:val="0"/>
          <w:sz w:val="32"/>
          <w:szCs w:val="32"/>
        </w:rPr>
        <w:t>第三十</w:t>
      </w:r>
      <w:r>
        <w:rPr>
          <w:rFonts w:hint="eastAsia" w:ascii="黑体" w:hAnsi="黑体" w:eastAsia="黑体" w:cs="黑体"/>
          <w:kern w:val="0"/>
          <w:sz w:val="32"/>
          <w:szCs w:val="32"/>
          <w:lang w:val="en-US" w:eastAsia="zh-CN"/>
        </w:rPr>
        <w:t>五</w:t>
      </w:r>
      <w:r>
        <w:rPr>
          <w:rFonts w:hint="eastAsia" w:ascii="黑体" w:hAnsi="黑体" w:eastAsia="黑体" w:cs="黑体"/>
          <w:kern w:val="0"/>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kern w:val="0"/>
          <w:sz w:val="32"/>
          <w:szCs w:val="32"/>
          <w:lang w:val="en-US" w:eastAsia="zh-CN"/>
        </w:rPr>
        <w:t>市医保经办机构可按照规定通过公开招标等方式选择第三方机构等社会力量参与长护险经办和评估服务。在具体确定第三方机构时，应充分考虑服务费报价、经营状况、风险评级、项目经验、团队建设、系统支撑能力以及经办服务方案等情况。市医保经办机构应综合考虑服务人口、机构运行成本、工作绩效等因素合理确定第三方机构的服务费用，依协议约定按定额或按比例从基金中支付。</w:t>
      </w:r>
    </w:p>
    <w:p w14:paraId="21B4BE7F">
      <w:pPr>
        <w:topLinePunct/>
        <w:autoSpaceDE w:val="0"/>
        <w:spacing w:line="540" w:lineRule="exact"/>
        <w:ind w:firstLine="600"/>
        <w:rPr>
          <w:rFonts w:hint="eastAsia" w:ascii="仿宋_GB2312" w:hAnsi="仿宋_GB2312" w:eastAsia="仿宋_GB2312" w:cs="仿宋_GB2312"/>
          <w:color w:val="auto"/>
          <w:kern w:val="0"/>
          <w:sz w:val="32"/>
          <w:szCs w:val="32"/>
        </w:rPr>
      </w:pPr>
      <w:r>
        <w:rPr>
          <w:rFonts w:hint="eastAsia" w:ascii="黑体" w:hAnsi="黑体" w:eastAsia="黑体" w:cs="黑体"/>
          <w:kern w:val="0"/>
          <w:sz w:val="32"/>
          <w:szCs w:val="32"/>
        </w:rPr>
        <w:t>第三十</w:t>
      </w:r>
      <w:r>
        <w:rPr>
          <w:rFonts w:hint="eastAsia" w:ascii="黑体" w:hAnsi="黑体" w:eastAsia="黑体" w:cs="黑体"/>
          <w:kern w:val="0"/>
          <w:sz w:val="32"/>
          <w:szCs w:val="32"/>
          <w:lang w:val="en-US" w:eastAsia="zh-CN"/>
        </w:rPr>
        <w:t>六</w:t>
      </w:r>
      <w:r>
        <w:rPr>
          <w:rFonts w:hint="eastAsia" w:ascii="黑体" w:hAnsi="黑体" w:eastAsia="黑体" w:cs="黑体"/>
          <w:kern w:val="0"/>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长护险失能等级评估机构实行定点管理，申请成为定点评估机构的，应当符合国家医疗保障局《长期护理保险失能等级评估机构</w:t>
      </w:r>
      <w:r>
        <w:rPr>
          <w:rFonts w:hint="eastAsia" w:ascii="仿宋_GB2312" w:hAnsi="仿宋_GB2312" w:eastAsia="仿宋_GB2312" w:cs="仿宋_GB2312"/>
          <w:color w:val="auto"/>
          <w:sz w:val="32"/>
          <w:szCs w:val="32"/>
        </w:rPr>
        <w:t>定点管理办法（试行）》规定的准入条件，经审核合格后与属地医保经办机构签订评估服务协议，实行协议管理。长护险评估机构</w:t>
      </w:r>
      <w:r>
        <w:rPr>
          <w:rFonts w:hint="eastAsia" w:ascii="仿宋_GB2312" w:hAnsi="仿宋_GB2312" w:eastAsia="仿宋_GB2312" w:cs="仿宋_GB2312"/>
          <w:color w:val="auto"/>
          <w:sz w:val="32"/>
          <w:szCs w:val="32"/>
          <w:lang w:val="en-US" w:eastAsia="zh-CN"/>
        </w:rPr>
        <w:t>定点</w:t>
      </w:r>
      <w:r>
        <w:rPr>
          <w:rFonts w:hint="eastAsia" w:ascii="仿宋_GB2312" w:hAnsi="仿宋_GB2312" w:eastAsia="仿宋_GB2312" w:cs="仿宋_GB2312"/>
          <w:color w:val="auto"/>
          <w:sz w:val="32"/>
          <w:szCs w:val="32"/>
        </w:rPr>
        <w:t>管理</w:t>
      </w:r>
      <w:r>
        <w:rPr>
          <w:rFonts w:hint="eastAsia" w:ascii="仿宋_GB2312" w:hAnsi="仿宋_GB2312" w:eastAsia="仿宋_GB2312" w:cs="仿宋_GB2312"/>
          <w:color w:val="auto"/>
          <w:sz w:val="32"/>
          <w:szCs w:val="32"/>
          <w:lang w:eastAsia="zh-CN"/>
        </w:rPr>
        <w:t>办法按照国家、省和市相关规定</w:t>
      </w:r>
      <w:r>
        <w:rPr>
          <w:rFonts w:hint="eastAsia" w:ascii="仿宋_GB2312" w:hAnsi="仿宋_GB2312" w:eastAsia="仿宋_GB2312" w:cs="仿宋_GB2312"/>
          <w:color w:val="auto"/>
          <w:sz w:val="32"/>
          <w:szCs w:val="32"/>
          <w:lang w:val="en-US" w:eastAsia="zh-CN"/>
        </w:rPr>
        <w:t>执行</w:t>
      </w:r>
      <w:r>
        <w:rPr>
          <w:rFonts w:hint="eastAsia" w:ascii="仿宋_GB2312" w:hAnsi="仿宋_GB2312" w:eastAsia="仿宋_GB2312" w:cs="仿宋_GB2312"/>
          <w:color w:val="auto"/>
          <w:sz w:val="32"/>
          <w:szCs w:val="32"/>
          <w:lang w:eastAsia="zh-CN"/>
        </w:rPr>
        <w:t>。</w:t>
      </w:r>
    </w:p>
    <w:p w14:paraId="2B1F6A17">
      <w:pPr>
        <w:topLinePunct/>
        <w:autoSpaceDE w:val="0"/>
        <w:spacing w:line="540" w:lineRule="exact"/>
        <w:ind w:firstLine="600"/>
        <w:rPr>
          <w:rFonts w:hint="eastAsia" w:ascii="仿宋_GB2312" w:hAnsi="仿宋_GB2312" w:eastAsia="仿宋_GB2312" w:cs="仿宋_GB2312"/>
          <w:kern w:val="0"/>
          <w:sz w:val="32"/>
          <w:szCs w:val="32"/>
        </w:rPr>
      </w:pPr>
      <w:r>
        <w:rPr>
          <w:rFonts w:hint="eastAsia" w:ascii="黑体" w:hAnsi="黑体" w:eastAsia="黑体" w:cs="黑体"/>
          <w:kern w:val="0"/>
          <w:sz w:val="32"/>
          <w:szCs w:val="32"/>
        </w:rPr>
        <w:t>第三十</w:t>
      </w:r>
      <w:r>
        <w:rPr>
          <w:rFonts w:hint="eastAsia" w:ascii="黑体" w:hAnsi="黑体" w:eastAsia="黑体" w:cs="黑体"/>
          <w:kern w:val="0"/>
          <w:sz w:val="32"/>
          <w:szCs w:val="32"/>
          <w:lang w:val="en-US" w:eastAsia="zh-CN"/>
        </w:rPr>
        <w:t>七</w:t>
      </w:r>
      <w:r>
        <w:rPr>
          <w:rFonts w:hint="eastAsia" w:ascii="黑体" w:hAnsi="黑体" w:eastAsia="黑体" w:cs="黑体"/>
          <w:kern w:val="0"/>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长护险失能等级评估机构应</w:t>
      </w:r>
      <w:r>
        <w:rPr>
          <w:rFonts w:hint="eastAsia" w:ascii="仿宋_GB2312" w:hAnsi="仿宋_GB2312" w:eastAsia="仿宋_GB2312" w:cs="仿宋_GB2312"/>
          <w:kern w:val="0"/>
          <w:sz w:val="32"/>
          <w:szCs w:val="32"/>
        </w:rPr>
        <w:t>遵守医疗保障法律法规、规章及有关政策，按照本办法规定和协议约定向参保人提供客观公正的评估服务，并主动接受监督检查。</w:t>
      </w:r>
    </w:p>
    <w:p w14:paraId="188E2764">
      <w:pPr>
        <w:topLinePunct/>
        <w:autoSpaceDE w:val="0"/>
        <w:spacing w:line="540" w:lineRule="exact"/>
        <w:ind w:firstLine="600"/>
        <w:rPr>
          <w:rFonts w:hint="eastAsia" w:ascii="仿宋_GB2312" w:hAnsi="仿宋_GB2312" w:eastAsia="仿宋_GB2312" w:cs="仿宋_GB2312"/>
          <w:color w:val="auto"/>
          <w:kern w:val="0"/>
          <w:sz w:val="32"/>
          <w:szCs w:val="32"/>
        </w:rPr>
      </w:pPr>
      <w:r>
        <w:rPr>
          <w:rFonts w:hint="eastAsia" w:ascii="黑体" w:hAnsi="黑体" w:eastAsia="黑体" w:cs="黑体"/>
          <w:kern w:val="0"/>
          <w:sz w:val="32"/>
          <w:szCs w:val="32"/>
        </w:rPr>
        <w:t>第三十</w:t>
      </w:r>
      <w:r>
        <w:rPr>
          <w:rFonts w:hint="eastAsia" w:ascii="黑体" w:hAnsi="黑体" w:eastAsia="黑体" w:cs="黑体"/>
          <w:kern w:val="0"/>
          <w:sz w:val="32"/>
          <w:szCs w:val="32"/>
          <w:lang w:val="en-US" w:eastAsia="zh-CN"/>
        </w:rPr>
        <w:t>八</w:t>
      </w:r>
      <w:r>
        <w:rPr>
          <w:rFonts w:hint="eastAsia" w:ascii="黑体" w:hAnsi="黑体" w:eastAsia="黑体" w:cs="黑体"/>
          <w:kern w:val="0"/>
          <w:sz w:val="32"/>
          <w:szCs w:val="32"/>
        </w:rPr>
        <w:t>条</w:t>
      </w:r>
      <w:r>
        <w:rPr>
          <w:rStyle w:val="15"/>
          <w:rFonts w:hint="eastAsia" w:ascii="仿宋_GB2312" w:hAnsi="仿宋_GB2312" w:eastAsia="仿宋_GB2312" w:cs="仿宋_GB2312"/>
          <w:kern w:val="0"/>
          <w:sz w:val="32"/>
          <w:szCs w:val="32"/>
          <w:lang w:bidi="ar"/>
        </w:rPr>
        <w:t xml:space="preserve">  </w:t>
      </w:r>
      <w:r>
        <w:rPr>
          <w:rFonts w:hint="eastAsia" w:ascii="仿宋_GB2312" w:hAnsi="仿宋_GB2312" w:eastAsia="仿宋_GB2312" w:cs="仿宋_GB2312"/>
          <w:kern w:val="0"/>
          <w:sz w:val="32"/>
          <w:szCs w:val="32"/>
        </w:rPr>
        <w:t>长护服务机构实行定点管理，符合条件的养老机构、医疗机构或者其</w:t>
      </w:r>
      <w:r>
        <w:rPr>
          <w:rFonts w:hint="eastAsia" w:ascii="仿宋_GB2312" w:hAnsi="仿宋_GB2312" w:eastAsia="仿宋_GB2312" w:cs="仿宋_GB2312"/>
          <w:color w:val="auto"/>
          <w:kern w:val="0"/>
          <w:sz w:val="32"/>
          <w:szCs w:val="32"/>
        </w:rPr>
        <w:t>他服务机构，可以自愿向属地</w:t>
      </w:r>
      <w:r>
        <w:rPr>
          <w:rFonts w:hint="eastAsia" w:ascii="仿宋_GB2312" w:hAnsi="仿宋_GB2312" w:eastAsia="仿宋_GB2312" w:cs="仿宋_GB2312"/>
          <w:color w:val="auto"/>
          <w:sz w:val="32"/>
          <w:szCs w:val="32"/>
        </w:rPr>
        <w:t>医保经办机构</w:t>
      </w:r>
      <w:r>
        <w:rPr>
          <w:rFonts w:hint="eastAsia" w:ascii="仿宋_GB2312" w:hAnsi="仿宋_GB2312" w:eastAsia="仿宋_GB2312" w:cs="仿宋_GB2312"/>
          <w:color w:val="auto"/>
          <w:kern w:val="0"/>
          <w:sz w:val="32"/>
          <w:szCs w:val="32"/>
        </w:rPr>
        <w:t>申请成为长护服务机构。长护服务机</w:t>
      </w:r>
      <w:r>
        <w:rPr>
          <w:rFonts w:hint="eastAsia" w:ascii="仿宋_GB2312" w:hAnsi="仿宋_GB2312" w:eastAsia="仿宋_GB2312" w:cs="仿宋_GB2312"/>
          <w:color w:val="auto"/>
          <w:spacing w:val="6"/>
          <w:kern w:val="0"/>
          <w:sz w:val="32"/>
          <w:szCs w:val="32"/>
        </w:rPr>
        <w:t>构</w:t>
      </w:r>
      <w:r>
        <w:rPr>
          <w:rFonts w:hint="eastAsia" w:ascii="仿宋_GB2312" w:hAnsi="仿宋_GB2312" w:eastAsia="仿宋_GB2312" w:cs="仿宋_GB2312"/>
          <w:color w:val="auto"/>
          <w:sz w:val="32"/>
          <w:szCs w:val="32"/>
          <w:lang w:val="en-US" w:eastAsia="zh-CN"/>
        </w:rPr>
        <w:t>定点</w:t>
      </w:r>
      <w:r>
        <w:rPr>
          <w:rFonts w:hint="eastAsia" w:ascii="仿宋_GB2312" w:hAnsi="仿宋_GB2312" w:eastAsia="仿宋_GB2312" w:cs="仿宋_GB2312"/>
          <w:color w:val="auto"/>
          <w:spacing w:val="6"/>
          <w:kern w:val="0"/>
          <w:sz w:val="32"/>
          <w:szCs w:val="32"/>
        </w:rPr>
        <w:t>管理办法按照国家、省</w:t>
      </w:r>
      <w:r>
        <w:rPr>
          <w:rFonts w:hint="eastAsia" w:ascii="仿宋_GB2312" w:hAnsi="仿宋_GB2312" w:eastAsia="仿宋_GB2312" w:cs="仿宋_GB2312"/>
          <w:color w:val="auto"/>
          <w:spacing w:val="6"/>
          <w:kern w:val="0"/>
          <w:sz w:val="32"/>
          <w:szCs w:val="32"/>
          <w:lang w:eastAsia="zh-CN"/>
        </w:rPr>
        <w:t>和市相</w:t>
      </w:r>
      <w:r>
        <w:rPr>
          <w:rFonts w:hint="eastAsia" w:ascii="仿宋_GB2312" w:hAnsi="仿宋_GB2312" w:eastAsia="仿宋_GB2312" w:cs="仿宋_GB2312"/>
          <w:color w:val="auto"/>
          <w:spacing w:val="6"/>
          <w:kern w:val="0"/>
          <w:sz w:val="32"/>
          <w:szCs w:val="32"/>
        </w:rPr>
        <w:t>关规定</w:t>
      </w:r>
      <w:r>
        <w:rPr>
          <w:rFonts w:hint="eastAsia" w:ascii="仿宋_GB2312" w:hAnsi="仿宋_GB2312" w:eastAsia="仿宋_GB2312" w:cs="仿宋_GB2312"/>
          <w:color w:val="auto"/>
          <w:spacing w:val="6"/>
          <w:kern w:val="0"/>
          <w:sz w:val="32"/>
          <w:szCs w:val="32"/>
          <w:lang w:val="en-US" w:eastAsia="zh-CN"/>
        </w:rPr>
        <w:t>执行</w:t>
      </w:r>
      <w:r>
        <w:rPr>
          <w:rFonts w:hint="eastAsia" w:ascii="仿宋_GB2312" w:hAnsi="仿宋_GB2312" w:eastAsia="仿宋_GB2312" w:cs="仿宋_GB2312"/>
          <w:color w:val="auto"/>
          <w:spacing w:val="6"/>
          <w:kern w:val="0"/>
          <w:sz w:val="32"/>
          <w:szCs w:val="32"/>
        </w:rPr>
        <w:t>。</w:t>
      </w:r>
    </w:p>
    <w:p w14:paraId="3434AD12">
      <w:pPr>
        <w:topLinePunct/>
        <w:autoSpaceDE w:val="0"/>
        <w:spacing w:line="540" w:lineRule="exact"/>
        <w:ind w:firstLine="600"/>
        <w:rPr>
          <w:rFonts w:hint="eastAsia" w:ascii="仿宋_GB2312" w:hAnsi="仿宋_GB2312" w:eastAsia="仿宋_GB2312" w:cs="仿宋_GB2312"/>
          <w:color w:val="auto"/>
          <w:kern w:val="0"/>
          <w:sz w:val="32"/>
          <w:szCs w:val="32"/>
        </w:rPr>
      </w:pPr>
      <w:r>
        <w:rPr>
          <w:rFonts w:hint="eastAsia" w:ascii="黑体" w:hAnsi="黑体" w:eastAsia="黑体" w:cs="黑体"/>
          <w:color w:val="auto"/>
          <w:kern w:val="0"/>
          <w:sz w:val="32"/>
          <w:szCs w:val="32"/>
        </w:rPr>
        <w:t>第三十</w:t>
      </w:r>
      <w:r>
        <w:rPr>
          <w:rFonts w:hint="eastAsia" w:ascii="黑体" w:hAnsi="黑体" w:eastAsia="黑体" w:cs="黑体"/>
          <w:color w:val="auto"/>
          <w:kern w:val="0"/>
          <w:sz w:val="32"/>
          <w:szCs w:val="32"/>
          <w:lang w:val="en-US" w:eastAsia="zh-CN"/>
        </w:rPr>
        <w:t>九</w:t>
      </w:r>
      <w:r>
        <w:rPr>
          <w:rFonts w:hint="eastAsia" w:ascii="黑体" w:hAnsi="黑体" w:eastAsia="黑体" w:cs="黑体"/>
          <w:color w:val="auto"/>
          <w:kern w:val="0"/>
          <w:sz w:val="32"/>
          <w:szCs w:val="32"/>
        </w:rPr>
        <w:t>条</w:t>
      </w:r>
      <w:r>
        <w:rPr>
          <w:rStyle w:val="15"/>
          <w:rFonts w:hint="eastAsia" w:ascii="仿宋_GB2312" w:hAnsi="仿宋_GB2312" w:eastAsia="仿宋_GB2312" w:cs="仿宋_GB2312"/>
          <w:color w:val="auto"/>
          <w:kern w:val="0"/>
          <w:sz w:val="32"/>
          <w:szCs w:val="32"/>
          <w:lang w:bidi="ar"/>
        </w:rPr>
        <w:t xml:space="preserve">  </w:t>
      </w:r>
      <w:r>
        <w:rPr>
          <w:rFonts w:hint="eastAsia" w:ascii="仿宋_GB2312" w:hAnsi="仿宋_GB2312" w:eastAsia="仿宋_GB2312" w:cs="仿宋_GB2312"/>
          <w:color w:val="auto"/>
          <w:sz w:val="32"/>
          <w:szCs w:val="32"/>
          <w:lang w:val="en-US" w:eastAsia="zh-CN"/>
        </w:rPr>
        <w:t>定点</w:t>
      </w:r>
      <w:r>
        <w:rPr>
          <w:rFonts w:hint="eastAsia" w:ascii="仿宋_GB2312" w:hAnsi="仿宋_GB2312" w:eastAsia="仿宋_GB2312" w:cs="仿宋_GB2312"/>
          <w:color w:val="auto"/>
          <w:kern w:val="0"/>
          <w:sz w:val="32"/>
          <w:szCs w:val="32"/>
        </w:rPr>
        <w:t>长护服务机构应遵守医疗保障法律法规、规章及有关政策，按照本办法规定和协议约定向参保人提供适宜、专业的长护险护理服务，并主动接受监督检查。</w:t>
      </w:r>
      <w:r>
        <w:rPr>
          <w:rFonts w:hint="eastAsia" w:ascii="仿宋_GB2312" w:hAnsi="仿宋_GB2312" w:eastAsia="仿宋_GB2312" w:cs="仿宋_GB2312"/>
          <w:color w:val="auto"/>
          <w:sz w:val="32"/>
          <w:szCs w:val="32"/>
          <w:lang w:val="en-US" w:eastAsia="zh-CN"/>
        </w:rPr>
        <w:t>定点</w:t>
      </w:r>
      <w:r>
        <w:rPr>
          <w:rFonts w:hint="eastAsia" w:ascii="仿宋_GB2312" w:hAnsi="仿宋_GB2312" w:eastAsia="仿宋_GB2312" w:cs="仿宋_GB2312"/>
          <w:color w:val="auto"/>
          <w:kern w:val="0"/>
          <w:sz w:val="32"/>
          <w:szCs w:val="32"/>
        </w:rPr>
        <w:t>长护服务机构应当对长护险照护服务人员定期开展业务知识、操作技能、服务规范以及安全上岗等培训和指导。</w:t>
      </w:r>
    </w:p>
    <w:p w14:paraId="5A5DCC94">
      <w:pPr>
        <w:topLinePunct/>
        <w:autoSpaceDE w:val="0"/>
        <w:spacing w:line="540" w:lineRule="exact"/>
        <w:ind w:firstLine="640"/>
        <w:rPr>
          <w:rFonts w:ascii="仿宋_GB2312" w:hAnsi="仿宋_GB2312" w:eastAsia="仿宋_GB2312" w:cs="仿宋_GB2312"/>
          <w:sz w:val="32"/>
          <w:szCs w:val="32"/>
        </w:rPr>
      </w:pPr>
      <w:r>
        <w:rPr>
          <w:rFonts w:hint="eastAsia" w:ascii="黑体" w:hAnsi="黑体" w:eastAsia="黑体" w:cs="黑体"/>
          <w:color w:val="auto"/>
          <w:kern w:val="0"/>
          <w:sz w:val="32"/>
          <w:szCs w:val="32"/>
        </w:rPr>
        <w:t>第</w:t>
      </w:r>
      <w:r>
        <w:rPr>
          <w:rFonts w:hint="eastAsia" w:ascii="黑体" w:hAnsi="黑体" w:eastAsia="黑体" w:cs="黑体"/>
          <w:color w:val="auto"/>
          <w:kern w:val="0"/>
          <w:sz w:val="32"/>
          <w:szCs w:val="32"/>
          <w:lang w:val="en-US" w:eastAsia="zh-CN"/>
        </w:rPr>
        <w:t>四十</w:t>
      </w:r>
      <w:r>
        <w:rPr>
          <w:rFonts w:hint="eastAsia" w:ascii="黑体" w:hAnsi="黑体" w:eastAsia="黑体" w:cs="黑体"/>
          <w:color w:val="auto"/>
          <w:kern w:val="0"/>
          <w:sz w:val="32"/>
          <w:szCs w:val="32"/>
        </w:rPr>
        <w:t>条</w:t>
      </w:r>
      <w:r>
        <w:rPr>
          <w:rStyle w:val="15"/>
          <w:rFonts w:hint="eastAsia" w:ascii="仿宋_GB2312" w:hAnsi="仿宋_GB2312" w:eastAsia="仿宋_GB2312" w:cs="仿宋_GB2312"/>
          <w:color w:val="auto"/>
          <w:kern w:val="0"/>
          <w:sz w:val="32"/>
          <w:szCs w:val="32"/>
          <w:lang w:bidi="ar"/>
        </w:rPr>
        <w:t xml:space="preserve">  </w:t>
      </w:r>
      <w:r>
        <w:rPr>
          <w:rFonts w:hint="eastAsia" w:ascii="仿宋_GB2312" w:hAnsi="仿宋_GB2312" w:eastAsia="仿宋_GB2312" w:cs="仿宋_GB2312"/>
          <w:color w:val="auto"/>
          <w:sz w:val="32"/>
          <w:szCs w:val="32"/>
        </w:rPr>
        <w:t>长护险信息化建设要依托全国统一的医保信息平台，按照信息化、标准化相关工作要求，统一进行规划设计和建设，定点评估机构、</w:t>
      </w:r>
      <w:r>
        <w:rPr>
          <w:rFonts w:hint="eastAsia" w:ascii="仿宋_GB2312" w:hAnsi="仿宋_GB2312" w:eastAsia="仿宋_GB2312" w:cs="仿宋_GB2312"/>
          <w:color w:val="auto"/>
          <w:sz w:val="32"/>
          <w:szCs w:val="32"/>
          <w:lang w:val="en-US" w:eastAsia="zh-CN"/>
        </w:rPr>
        <w:t>定点</w:t>
      </w:r>
      <w:r>
        <w:rPr>
          <w:rFonts w:hint="eastAsia" w:ascii="仿宋_GB2312" w:hAnsi="仿宋_GB2312" w:eastAsia="仿宋_GB2312" w:cs="仿宋_GB2312"/>
          <w:color w:val="auto"/>
          <w:kern w:val="0"/>
          <w:sz w:val="32"/>
          <w:szCs w:val="32"/>
        </w:rPr>
        <w:t>长护服务机构</w:t>
      </w:r>
      <w:r>
        <w:rPr>
          <w:rFonts w:hint="eastAsia" w:ascii="仿宋_GB2312" w:hAnsi="仿宋_GB2312" w:eastAsia="仿宋_GB2312" w:cs="仿宋_GB2312"/>
          <w:color w:val="auto"/>
          <w:sz w:val="32"/>
          <w:szCs w:val="32"/>
        </w:rPr>
        <w:t>应加强信息化建设，编码信息动态维护工作，按照全国统一的接口规范实现与医保信</w:t>
      </w:r>
      <w:r>
        <w:rPr>
          <w:rFonts w:hint="eastAsia" w:ascii="仿宋_GB2312" w:hAnsi="仿宋_GB2312" w:eastAsia="仿宋_GB2312" w:cs="仿宋_GB2312"/>
          <w:sz w:val="32"/>
          <w:szCs w:val="32"/>
        </w:rPr>
        <w:t>息平台长护险功能互联互通，并按规定做好相关长护险信息传送。</w:t>
      </w:r>
    </w:p>
    <w:p w14:paraId="2835E1F9">
      <w:pPr>
        <w:pStyle w:val="2"/>
        <w:topLinePunct/>
        <w:autoSpaceDE w:val="0"/>
        <w:spacing w:line="540" w:lineRule="exact"/>
        <w:ind w:firstLine="640" w:firstLineChars="200"/>
        <w:rPr>
          <w:rFonts w:hint="eastAsia" w:ascii="仿宋_GB2312" w:hAnsi="仿宋_GB2312" w:eastAsia="仿宋_GB2312" w:cs="仿宋_GB2312"/>
          <w:color w:val="auto"/>
          <w:kern w:val="2"/>
          <w:sz w:val="32"/>
          <w:szCs w:val="32"/>
          <w:lang w:eastAsia="zh-CN"/>
        </w:rPr>
      </w:pPr>
      <w:r>
        <w:rPr>
          <w:rFonts w:ascii="黑体" w:hAnsi="黑体" w:eastAsia="黑体" w:cs="黑体"/>
          <w:color w:val="auto"/>
          <w:kern w:val="0"/>
          <w:sz w:val="32"/>
          <w:szCs w:val="32"/>
        </w:rPr>
        <w:t>第四十</w:t>
      </w:r>
      <w:r>
        <w:rPr>
          <w:rFonts w:hint="eastAsia" w:ascii="黑体" w:hAnsi="黑体" w:eastAsia="黑体" w:cs="黑体"/>
          <w:color w:val="auto"/>
          <w:kern w:val="0"/>
          <w:sz w:val="32"/>
          <w:szCs w:val="32"/>
          <w:lang w:val="en-US" w:eastAsia="zh-CN"/>
        </w:rPr>
        <w:t>一</w:t>
      </w:r>
      <w:r>
        <w:rPr>
          <w:rFonts w:ascii="黑体" w:hAnsi="黑体" w:eastAsia="黑体" w:cs="黑体"/>
          <w:color w:val="auto"/>
          <w:kern w:val="0"/>
          <w:sz w:val="32"/>
          <w:szCs w:val="32"/>
        </w:rPr>
        <w:t xml:space="preserve">条  </w:t>
      </w:r>
      <w:r>
        <w:rPr>
          <w:rFonts w:ascii="仿宋_GB2312" w:hAnsi="仿宋_GB2312" w:eastAsia="仿宋_GB2312" w:cs="仿宋_GB2312"/>
          <w:color w:val="auto"/>
          <w:kern w:val="2"/>
          <w:sz w:val="32"/>
          <w:szCs w:val="32"/>
        </w:rPr>
        <w:t>定点评估机构不得同时承担依评估结论开展的长期护理服务工作，不得同时承担长护险经办工作。定点长护</w:t>
      </w:r>
      <w:r>
        <w:rPr>
          <w:rFonts w:hint="eastAsia" w:ascii="仿宋_GB2312" w:hAnsi="仿宋_GB2312" w:eastAsia="仿宋_GB2312" w:cs="仿宋_GB2312"/>
          <w:color w:val="auto"/>
          <w:kern w:val="2"/>
          <w:sz w:val="32"/>
          <w:szCs w:val="32"/>
          <w:lang w:eastAsia="zh-CN"/>
        </w:rPr>
        <w:t>服务</w:t>
      </w:r>
      <w:r>
        <w:rPr>
          <w:rFonts w:ascii="仿宋_GB2312" w:hAnsi="仿宋_GB2312" w:eastAsia="仿宋_GB2312" w:cs="仿宋_GB2312"/>
          <w:color w:val="auto"/>
          <w:kern w:val="2"/>
          <w:sz w:val="32"/>
          <w:szCs w:val="32"/>
        </w:rPr>
        <w:t>机构不得同时开展长护险失能等级评估工作，不得同时承担长护险经办工作。</w:t>
      </w:r>
      <w:r>
        <w:rPr>
          <w:rFonts w:hint="eastAsia" w:ascii="仿宋_GB2312" w:hAnsi="仿宋_GB2312" w:eastAsia="仿宋_GB2312" w:cs="仿宋_GB2312"/>
          <w:color w:val="auto"/>
          <w:kern w:val="2"/>
          <w:sz w:val="32"/>
          <w:szCs w:val="32"/>
          <w:lang w:eastAsia="zh-CN"/>
        </w:rPr>
        <w:t>经办机构不得同时开展长护险失能等级评估工作，不得同时承担依评估结论开展的长期护理服务工作。</w:t>
      </w:r>
    </w:p>
    <w:p w14:paraId="40C239EF">
      <w:pPr>
        <w:pStyle w:val="2"/>
        <w:topLinePunct/>
        <w:autoSpaceDE w:val="0"/>
        <w:spacing w:line="540" w:lineRule="exact"/>
        <w:ind w:firstLine="640" w:firstLineChars="200"/>
        <w:rPr>
          <w:rFonts w:hint="eastAsia" w:ascii="仿宋_GB2312" w:hAnsi="仿宋_GB2312" w:eastAsia="仿宋_GB2312" w:cs="仿宋_GB2312"/>
          <w:color w:val="auto"/>
          <w:kern w:val="2"/>
          <w:sz w:val="32"/>
          <w:szCs w:val="32"/>
        </w:rPr>
      </w:pPr>
    </w:p>
    <w:p w14:paraId="793E3AEE">
      <w:pPr>
        <w:pStyle w:val="18"/>
        <w:widowControl w:val="0"/>
        <w:topLinePunct/>
        <w:autoSpaceDE w:val="0"/>
        <w:spacing w:before="0" w:after="0" w:line="540" w:lineRule="exact"/>
        <w:ind w:firstLine="640" w:firstLineChars="200"/>
        <w:jc w:val="both"/>
        <w:rPr>
          <w:rFonts w:hint="eastAsia" w:ascii="仿宋_GB2312" w:hAnsi="仿宋_GB2312" w:eastAsia="仿宋_GB2312" w:cs="仿宋_GB2312"/>
          <w:sz w:val="32"/>
          <w:szCs w:val="32"/>
        </w:rPr>
      </w:pPr>
    </w:p>
    <w:p w14:paraId="2DA3F7D7">
      <w:pPr>
        <w:pStyle w:val="18"/>
        <w:widowControl w:val="0"/>
        <w:topLinePunct/>
        <w:autoSpaceDE w:val="0"/>
        <w:spacing w:before="0" w:after="0" w:line="540" w:lineRule="exact"/>
        <w:ind w:firstLine="640" w:firstLineChars="200"/>
        <w:jc w:val="both"/>
        <w:rPr>
          <w:rFonts w:hint="eastAsia" w:ascii="仿宋_GB2312" w:hAnsi="仿宋_GB2312" w:eastAsia="仿宋_GB2312" w:cs="仿宋_GB2312"/>
          <w:sz w:val="32"/>
          <w:szCs w:val="32"/>
        </w:rPr>
      </w:pPr>
    </w:p>
    <w:p w14:paraId="0D26D35B">
      <w:pPr>
        <w:numPr>
          <w:ilvl w:val="0"/>
          <w:numId w:val="7"/>
        </w:numPr>
        <w:shd w:val="clear" w:color="auto" w:fill="FFFFFF"/>
        <w:topLinePunct/>
        <w:autoSpaceDE w:val="0"/>
        <w:spacing w:line="540" w:lineRule="exact"/>
        <w:jc w:val="center"/>
        <w:rPr>
          <w:rFonts w:hint="eastAsia" w:ascii="黑体" w:hAnsi="黑体" w:eastAsia="黑体" w:cs="黑体"/>
          <w:sz w:val="32"/>
          <w:szCs w:val="32"/>
        </w:rPr>
      </w:pPr>
      <w:r>
        <w:rPr>
          <w:rFonts w:hint="eastAsia" w:ascii="黑体" w:hAnsi="黑体" w:eastAsia="黑体" w:cs="黑体"/>
          <w:sz w:val="32"/>
          <w:szCs w:val="32"/>
        </w:rPr>
        <w:t>结算管理</w:t>
      </w:r>
    </w:p>
    <w:p w14:paraId="7C8BD0FE">
      <w:pPr>
        <w:pStyle w:val="7"/>
        <w:spacing w:line="540" w:lineRule="exact"/>
        <w:rPr>
          <w:rFonts w:hint="eastAsia" w:ascii="仿宋_GB2312" w:hAnsi="仿宋_GB2312" w:eastAsia="仿宋_GB2312" w:cs="仿宋_GB2312"/>
          <w:sz w:val="32"/>
          <w:szCs w:val="32"/>
        </w:rPr>
      </w:pPr>
    </w:p>
    <w:p w14:paraId="13C0D6E2">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color w:val="auto"/>
          <w:sz w:val="32"/>
          <w:szCs w:val="32"/>
        </w:rPr>
      </w:pPr>
      <w:r>
        <w:rPr>
          <w:rFonts w:hint="eastAsia" w:ascii="黑体" w:hAnsi="黑体" w:eastAsia="黑体" w:cs="黑体"/>
          <w:sz w:val="32"/>
          <w:szCs w:val="32"/>
        </w:rPr>
        <w:t>第</w:t>
      </w:r>
      <w:r>
        <w:rPr>
          <w:rFonts w:hint="eastAsia" w:ascii="黑体" w:hAnsi="黑体" w:eastAsia="黑体" w:cs="黑体"/>
          <w:kern w:val="0"/>
          <w:sz w:val="32"/>
          <w:szCs w:val="32"/>
        </w:rPr>
        <w:t>四十</w:t>
      </w:r>
      <w:r>
        <w:rPr>
          <w:rFonts w:hint="eastAsia" w:ascii="黑体" w:hAnsi="黑体" w:eastAsia="黑体" w:cs="黑体"/>
          <w:kern w:val="0"/>
          <w:sz w:val="32"/>
          <w:szCs w:val="32"/>
          <w:lang w:val="en-US" w:eastAsia="zh-CN"/>
        </w:rPr>
        <w:t>二</w:t>
      </w:r>
      <w:r>
        <w:rPr>
          <w:rFonts w:hint="eastAsia" w:ascii="黑体" w:hAnsi="黑体" w:eastAsia="黑体" w:cs="黑体"/>
          <w:kern w:val="0"/>
          <w:sz w:val="32"/>
          <w:szCs w:val="32"/>
        </w:rPr>
        <w:t>条</w:t>
      </w:r>
      <w:r>
        <w:rPr>
          <w:rFonts w:hint="eastAsia" w:ascii="仿宋_GB2312" w:hAnsi="仿宋_GB2312" w:eastAsia="仿宋_GB2312" w:cs="仿宋_GB2312"/>
          <w:b/>
          <w:bCs/>
          <w:sz w:val="32"/>
          <w:szCs w:val="32"/>
        </w:rPr>
        <w:t xml:space="preserve">  </w:t>
      </w:r>
      <w:r>
        <w:rPr>
          <w:rFonts w:hint="eastAsia" w:ascii="仿宋_GB2312" w:hAnsi="仿宋_GB2312" w:eastAsia="仿宋_GB2312" w:cs="仿宋_GB2312"/>
          <w:sz w:val="32"/>
          <w:szCs w:val="32"/>
        </w:rPr>
        <w:t>长护险待遇享受人员发生的长护险费用由定点服务机构通过信息系统记账结算，其中属于长护险基金支付部分</w:t>
      </w:r>
      <w:r>
        <w:rPr>
          <w:rFonts w:hint="eastAsia" w:ascii="仿宋_GB2312" w:hAnsi="仿宋_GB2312" w:eastAsia="仿宋_GB2312" w:cs="仿宋_GB2312"/>
          <w:color w:val="auto"/>
          <w:sz w:val="32"/>
          <w:szCs w:val="32"/>
        </w:rPr>
        <w:t>，由定点</w:t>
      </w:r>
      <w:r>
        <w:rPr>
          <w:rFonts w:hint="eastAsia" w:ascii="仿宋_GB2312" w:hAnsi="仿宋_GB2312" w:eastAsia="仿宋_GB2312" w:cs="仿宋_GB2312"/>
          <w:color w:val="auto"/>
          <w:sz w:val="32"/>
          <w:szCs w:val="32"/>
          <w:lang w:val="en-US" w:eastAsia="zh-CN"/>
        </w:rPr>
        <w:t>长护</w:t>
      </w:r>
      <w:r>
        <w:rPr>
          <w:rFonts w:hint="eastAsia" w:ascii="仿宋_GB2312" w:hAnsi="仿宋_GB2312" w:eastAsia="仿宋_GB2312" w:cs="仿宋_GB2312"/>
          <w:color w:val="auto"/>
          <w:sz w:val="32"/>
          <w:szCs w:val="32"/>
        </w:rPr>
        <w:t>服务机构按月向医保经办机构申报结算；属个人负担部分，由参保人员与定点</w:t>
      </w:r>
      <w:r>
        <w:rPr>
          <w:rFonts w:hint="eastAsia" w:ascii="仿宋_GB2312" w:hAnsi="仿宋_GB2312" w:eastAsia="仿宋_GB2312" w:cs="仿宋_GB2312"/>
          <w:color w:val="auto"/>
          <w:sz w:val="32"/>
          <w:szCs w:val="32"/>
          <w:lang w:val="en-US" w:eastAsia="zh-CN"/>
        </w:rPr>
        <w:t>长护</w:t>
      </w:r>
      <w:r>
        <w:rPr>
          <w:rFonts w:hint="eastAsia" w:ascii="仿宋_GB2312" w:hAnsi="仿宋_GB2312" w:eastAsia="仿宋_GB2312" w:cs="仿宋_GB2312"/>
          <w:color w:val="auto"/>
          <w:sz w:val="32"/>
          <w:szCs w:val="32"/>
        </w:rPr>
        <w:t>服务机构结算。</w:t>
      </w:r>
    </w:p>
    <w:p w14:paraId="19FB73D6">
      <w:pPr>
        <w:pStyle w:val="7"/>
        <w:spacing w:line="540" w:lineRule="exact"/>
        <w:ind w:firstLine="640" w:firstLineChars="200"/>
        <w:rPr>
          <w:rFonts w:hint="eastAsia" w:ascii="仿宋_GB2312" w:hAnsi="仿宋_GB2312" w:eastAsia="仿宋_GB2312" w:cs="仿宋_GB2312"/>
          <w:sz w:val="32"/>
          <w:szCs w:val="32"/>
        </w:rPr>
      </w:pPr>
      <w:r>
        <w:rPr>
          <w:rFonts w:hint="eastAsia" w:ascii="黑体" w:hAnsi="黑体" w:eastAsia="黑体" w:cs="黑体"/>
          <w:color w:val="auto"/>
          <w:kern w:val="0"/>
          <w:sz w:val="32"/>
          <w:szCs w:val="32"/>
        </w:rPr>
        <w:t>第四十</w:t>
      </w:r>
      <w:r>
        <w:rPr>
          <w:rFonts w:hint="eastAsia" w:ascii="黑体" w:hAnsi="黑体" w:eastAsia="黑体" w:cs="黑体"/>
          <w:color w:val="auto"/>
          <w:kern w:val="0"/>
          <w:sz w:val="32"/>
          <w:szCs w:val="32"/>
          <w:lang w:val="en-US" w:eastAsia="zh-CN"/>
        </w:rPr>
        <w:t>三</w:t>
      </w:r>
      <w:r>
        <w:rPr>
          <w:rFonts w:hint="eastAsia" w:ascii="黑体" w:hAnsi="黑体" w:eastAsia="黑体" w:cs="黑体"/>
          <w:color w:val="auto"/>
          <w:kern w:val="0"/>
          <w:sz w:val="32"/>
          <w:szCs w:val="32"/>
        </w:rPr>
        <w:t>条</w:t>
      </w:r>
      <w:r>
        <w:rPr>
          <w:rFonts w:hint="eastAsia" w:ascii="仿宋_GB2312" w:hAnsi="仿宋_GB2312" w:eastAsia="仿宋_GB2312" w:cs="仿宋_GB2312"/>
          <w:b/>
          <w:bCs/>
          <w:color w:val="auto"/>
          <w:sz w:val="32"/>
          <w:szCs w:val="32"/>
        </w:rPr>
        <w:t xml:space="preserve">  </w:t>
      </w:r>
      <w:r>
        <w:rPr>
          <w:rFonts w:hint="eastAsia" w:ascii="仿宋_GB2312" w:hAnsi="仿宋_GB2312" w:eastAsia="仿宋_GB2312" w:cs="仿宋_GB2312"/>
          <w:color w:val="auto"/>
          <w:sz w:val="32"/>
          <w:szCs w:val="32"/>
        </w:rPr>
        <w:t>定点评估机构、定点长护服务机构应按要求报送结算所需清单、票据等材料，并对其真实性负责。各级</w:t>
      </w:r>
      <w:r>
        <w:rPr>
          <w:rFonts w:hint="eastAsia" w:ascii="仿宋_GB2312" w:hAnsi="仿宋_GB2312" w:eastAsia="仿宋_GB2312" w:cs="仿宋_GB2312"/>
          <w:sz w:val="32"/>
          <w:szCs w:val="32"/>
        </w:rPr>
        <w:t>医保经办机构按月与定点评估机构、定点长护服务机构结算合规的评估费用、长护服务费用。定点评估机构、定点长护服务机构每月预留服务费用的5%作为质量保证金，并于次年根据属地医保经办机构年度考核评定结果进行年度清算。</w:t>
      </w:r>
    </w:p>
    <w:p w14:paraId="5B9DB339">
      <w:pPr>
        <w:pStyle w:val="18"/>
        <w:widowControl w:val="0"/>
        <w:topLinePunct/>
        <w:autoSpaceDE w:val="0"/>
        <w:spacing w:before="0" w:after="0" w:line="540" w:lineRule="exact"/>
        <w:ind w:firstLine="640" w:firstLineChars="200"/>
        <w:jc w:val="both"/>
        <w:rPr>
          <w:rFonts w:hint="eastAsia" w:ascii="仿宋_GB2312" w:hAnsi="仿宋_GB2312" w:eastAsia="仿宋_GB2312" w:cs="仿宋_GB2312"/>
          <w:sz w:val="32"/>
          <w:szCs w:val="32"/>
        </w:rPr>
      </w:pPr>
    </w:p>
    <w:p w14:paraId="6A6FD88A">
      <w:pPr>
        <w:numPr>
          <w:ilvl w:val="0"/>
          <w:numId w:val="8"/>
        </w:numPr>
        <w:shd w:val="clear" w:color="auto" w:fill="FFFFFF"/>
        <w:topLinePunct/>
        <w:autoSpaceDE w:val="0"/>
        <w:spacing w:line="540" w:lineRule="exact"/>
        <w:jc w:val="center"/>
        <w:rPr>
          <w:rFonts w:hint="eastAsia" w:ascii="黑体" w:hAnsi="黑体" w:eastAsia="黑体" w:cs="黑体"/>
          <w:kern w:val="0"/>
          <w:sz w:val="32"/>
          <w:szCs w:val="32"/>
        </w:rPr>
      </w:pPr>
      <w:r>
        <w:rPr>
          <w:rFonts w:hint="eastAsia" w:ascii="黑体" w:hAnsi="黑体" w:eastAsia="黑体" w:cs="黑体"/>
          <w:kern w:val="0"/>
          <w:sz w:val="32"/>
          <w:szCs w:val="32"/>
        </w:rPr>
        <w:t>监督管理</w:t>
      </w:r>
    </w:p>
    <w:p w14:paraId="11E0F80E">
      <w:pPr>
        <w:pStyle w:val="7"/>
        <w:spacing w:line="540" w:lineRule="exact"/>
        <w:rPr>
          <w:rFonts w:hint="eastAsia" w:ascii="仿宋_GB2312" w:hAnsi="仿宋_GB2312" w:eastAsia="仿宋_GB2312" w:cs="仿宋_GB2312"/>
          <w:sz w:val="32"/>
          <w:szCs w:val="32"/>
        </w:rPr>
      </w:pPr>
    </w:p>
    <w:p w14:paraId="6C0AAC30">
      <w:pPr>
        <w:shd w:val="clear" w:color="auto" w:fill="FFFFFF"/>
        <w:topLinePunct/>
        <w:autoSpaceDE w:val="0"/>
        <w:spacing w:line="540" w:lineRule="exact"/>
        <w:ind w:firstLine="640"/>
        <w:rPr>
          <w:rFonts w:hint="eastAsia" w:ascii="仿宋_GB2312" w:hAnsi="仿宋_GB2312" w:eastAsia="仿宋_GB2312" w:cs="仿宋_GB2312"/>
          <w:kern w:val="0"/>
          <w:sz w:val="32"/>
          <w:szCs w:val="32"/>
        </w:rPr>
      </w:pPr>
      <w:r>
        <w:rPr>
          <w:rFonts w:hint="eastAsia" w:ascii="黑体" w:hAnsi="黑体" w:eastAsia="黑体" w:cs="黑体"/>
          <w:kern w:val="0"/>
          <w:sz w:val="32"/>
          <w:szCs w:val="32"/>
        </w:rPr>
        <w:t>第四十</w:t>
      </w:r>
      <w:r>
        <w:rPr>
          <w:rFonts w:hint="eastAsia" w:ascii="黑体" w:hAnsi="黑体" w:eastAsia="黑体" w:cs="黑体"/>
          <w:kern w:val="0"/>
          <w:sz w:val="32"/>
          <w:szCs w:val="32"/>
          <w:lang w:val="en-US" w:eastAsia="zh-CN"/>
        </w:rPr>
        <w:t>四</w:t>
      </w:r>
      <w:r>
        <w:rPr>
          <w:rFonts w:hint="eastAsia" w:ascii="黑体" w:hAnsi="黑体" w:eastAsia="黑体" w:cs="黑体"/>
          <w:kern w:val="0"/>
          <w:sz w:val="32"/>
          <w:szCs w:val="32"/>
        </w:rPr>
        <w:t>条</w:t>
      </w:r>
      <w:r>
        <w:rPr>
          <w:rStyle w:val="15"/>
          <w:rFonts w:hint="eastAsia" w:ascii="仿宋_GB2312" w:hAnsi="仿宋_GB2312" w:eastAsia="仿宋_GB2312" w:cs="仿宋_GB2312"/>
          <w:kern w:val="0"/>
          <w:sz w:val="32"/>
          <w:szCs w:val="32"/>
          <w:lang w:bidi="ar"/>
        </w:rPr>
        <w:t xml:space="preserve">  </w:t>
      </w:r>
      <w:r>
        <w:rPr>
          <w:rStyle w:val="15"/>
          <w:rFonts w:hint="eastAsia" w:ascii="仿宋_GB2312" w:hAnsi="仿宋_GB2312" w:eastAsia="仿宋_GB2312" w:cs="仿宋_GB2312"/>
          <w:b w:val="0"/>
          <w:bCs/>
          <w:kern w:val="0"/>
          <w:sz w:val="32"/>
          <w:szCs w:val="32"/>
          <w:lang w:bidi="ar"/>
        </w:rPr>
        <w:t>医保、财政、税务、审计等行政部门按照各自职责，对长护险基金的收支、管理情况实施监督。</w:t>
      </w:r>
      <w:r>
        <w:rPr>
          <w:rFonts w:hint="eastAsia" w:ascii="仿宋_GB2312" w:hAnsi="仿宋_GB2312" w:eastAsia="仿宋_GB2312" w:cs="仿宋_GB2312"/>
          <w:kern w:val="21"/>
          <w:sz w:val="32"/>
          <w:szCs w:val="32"/>
        </w:rPr>
        <w:t>长护险基金专款专用，任何组织和个人不得侵占或者挪用，截留、挪用、挤占、私分长护险基金的，依照有关规定予以处理。</w:t>
      </w:r>
    </w:p>
    <w:p w14:paraId="616627D6">
      <w:pPr>
        <w:shd w:val="clear" w:color="auto" w:fill="FFFFFF"/>
        <w:topLinePunct/>
        <w:autoSpaceDE w:val="0"/>
        <w:spacing w:line="540" w:lineRule="exact"/>
        <w:ind w:firstLine="640"/>
        <w:rPr>
          <w:rFonts w:hint="eastAsia" w:ascii="仿宋_GB2312" w:hAnsi="仿宋_GB2312" w:eastAsia="仿宋_GB2312" w:cs="仿宋_GB2312"/>
          <w:sz w:val="32"/>
          <w:szCs w:val="32"/>
        </w:rPr>
      </w:pPr>
      <w:r>
        <w:rPr>
          <w:rFonts w:hint="eastAsia" w:ascii="黑体" w:hAnsi="黑体" w:eastAsia="黑体" w:cs="黑体"/>
          <w:kern w:val="0"/>
          <w:sz w:val="32"/>
          <w:szCs w:val="32"/>
        </w:rPr>
        <w:t>第四十</w:t>
      </w:r>
      <w:r>
        <w:rPr>
          <w:rFonts w:hint="eastAsia" w:ascii="黑体" w:hAnsi="黑体" w:eastAsia="黑体" w:cs="黑体"/>
          <w:kern w:val="0"/>
          <w:sz w:val="32"/>
          <w:szCs w:val="32"/>
          <w:lang w:val="en-US" w:eastAsia="zh-CN"/>
        </w:rPr>
        <w:t>五</w:t>
      </w:r>
      <w:r>
        <w:rPr>
          <w:rFonts w:hint="eastAsia" w:ascii="黑体" w:hAnsi="黑体" w:eastAsia="黑体" w:cs="黑体"/>
          <w:kern w:val="0"/>
          <w:sz w:val="32"/>
          <w:szCs w:val="32"/>
        </w:rPr>
        <w:t>条</w:t>
      </w:r>
      <w:r>
        <w:rPr>
          <w:rStyle w:val="15"/>
          <w:rFonts w:hint="eastAsia" w:ascii="仿宋_GB2312" w:hAnsi="仿宋_GB2312" w:eastAsia="仿宋_GB2312" w:cs="仿宋_GB2312"/>
          <w:kern w:val="0"/>
          <w:sz w:val="32"/>
          <w:szCs w:val="32"/>
          <w:lang w:bidi="ar"/>
        </w:rPr>
        <w:t xml:space="preserve">  </w:t>
      </w:r>
      <w:r>
        <w:rPr>
          <w:rFonts w:hint="eastAsia" w:ascii="仿宋_GB2312" w:hAnsi="仿宋_GB2312" w:eastAsia="仿宋_GB2312" w:cs="仿宋_GB2312"/>
          <w:sz w:val="32"/>
          <w:szCs w:val="32"/>
        </w:rPr>
        <w:t>各级医保</w:t>
      </w:r>
      <w:r>
        <w:rPr>
          <w:rFonts w:hint="eastAsia" w:ascii="仿宋_GB2312" w:hAnsi="仿宋_GB2312" w:eastAsia="仿宋_GB2312" w:cs="仿宋_GB2312"/>
          <w:sz w:val="32"/>
          <w:szCs w:val="32"/>
          <w:lang w:eastAsia="zh-CN"/>
        </w:rPr>
        <w:t>行政</w:t>
      </w:r>
      <w:r>
        <w:rPr>
          <w:rFonts w:hint="eastAsia" w:ascii="仿宋_GB2312" w:hAnsi="仿宋_GB2312" w:eastAsia="仿宋_GB2312" w:cs="仿宋_GB2312"/>
          <w:sz w:val="32"/>
          <w:szCs w:val="32"/>
        </w:rPr>
        <w:t>部门应建立举报投诉、信息披露、内部控制、欺诈防范等监督管理机制，加强对医保经办机构、委托经办机构、</w:t>
      </w:r>
      <w:r>
        <w:rPr>
          <w:rFonts w:hint="eastAsia" w:ascii="仿宋_GB2312" w:hAnsi="仿宋_GB2312" w:eastAsia="仿宋_GB2312" w:cs="仿宋_GB2312"/>
          <w:color w:val="auto"/>
          <w:sz w:val="32"/>
          <w:szCs w:val="32"/>
          <w:lang w:val="en-US" w:eastAsia="zh-CN"/>
        </w:rPr>
        <w:t>定点</w:t>
      </w:r>
      <w:r>
        <w:rPr>
          <w:rFonts w:hint="eastAsia" w:ascii="仿宋_GB2312" w:hAnsi="仿宋_GB2312" w:eastAsia="仿宋_GB2312" w:cs="仿宋_GB2312"/>
          <w:sz w:val="32"/>
          <w:szCs w:val="32"/>
        </w:rPr>
        <w:t>长护服务机构，以及护理人员、参保人员、评估人员的监督检查，确保长护险基金平稳运行和安全有效。</w:t>
      </w:r>
    </w:p>
    <w:p w14:paraId="77AFA8C9">
      <w:pPr>
        <w:ind w:firstLine="640" w:firstLineChars="200"/>
        <w:rPr>
          <w:rFonts w:hint="eastAsia" w:ascii="仿宋_GB2312" w:hAnsi="仿宋_GB2312" w:eastAsia="仿宋_GB2312" w:cs="仿宋_GB2312"/>
          <w:kern w:val="21"/>
          <w:sz w:val="32"/>
          <w:szCs w:val="32"/>
        </w:rPr>
      </w:pPr>
      <w:r>
        <w:rPr>
          <w:rFonts w:hint="eastAsia" w:ascii="黑体" w:hAnsi="黑体" w:eastAsia="黑体" w:cs="黑体"/>
          <w:kern w:val="21"/>
          <w:sz w:val="32"/>
          <w:szCs w:val="32"/>
        </w:rPr>
        <w:t>第四十</w:t>
      </w:r>
      <w:r>
        <w:rPr>
          <w:rFonts w:hint="eastAsia" w:ascii="黑体" w:hAnsi="黑体" w:eastAsia="黑体" w:cs="黑体"/>
          <w:kern w:val="21"/>
          <w:sz w:val="32"/>
          <w:szCs w:val="32"/>
          <w:lang w:val="en-US" w:eastAsia="zh-CN"/>
        </w:rPr>
        <w:t>六</w:t>
      </w:r>
      <w:r>
        <w:rPr>
          <w:rFonts w:hint="eastAsia" w:ascii="黑体" w:hAnsi="黑体" w:eastAsia="黑体" w:cs="黑体"/>
          <w:kern w:val="21"/>
          <w:sz w:val="32"/>
          <w:szCs w:val="32"/>
        </w:rPr>
        <w:t>条</w:t>
      </w:r>
      <w:r>
        <w:rPr>
          <w:rStyle w:val="15"/>
          <w:rFonts w:hint="eastAsia" w:ascii="仿宋_GB2312" w:hAnsi="仿宋_GB2312" w:eastAsia="仿宋_GB2312" w:cs="仿宋_GB2312"/>
          <w:kern w:val="0"/>
          <w:sz w:val="32"/>
          <w:szCs w:val="32"/>
          <w:lang w:bidi="ar"/>
        </w:rPr>
        <w:t xml:space="preserve">  </w:t>
      </w:r>
      <w:r>
        <w:rPr>
          <w:rFonts w:hint="eastAsia" w:ascii="仿宋_GB2312" w:hAnsi="仿宋_GB2312" w:eastAsia="仿宋_GB2312" w:cs="仿宋_GB2312"/>
          <w:kern w:val="21"/>
          <w:sz w:val="32"/>
          <w:szCs w:val="32"/>
        </w:rPr>
        <w:t>对造成长护险基金损失或以欺诈、伪造证明材料等手段骗取长护险基金的个人，以及在长期护理工作中有违法违规行为的有关行政部门、</w:t>
      </w:r>
      <w:r>
        <w:rPr>
          <w:rFonts w:hint="eastAsia" w:ascii="仿宋_GB2312" w:hAnsi="仿宋_GB2312" w:eastAsia="仿宋_GB2312" w:cs="仿宋_GB2312"/>
          <w:sz w:val="32"/>
          <w:szCs w:val="32"/>
        </w:rPr>
        <w:t>医保经办机构</w:t>
      </w:r>
      <w:r>
        <w:rPr>
          <w:rFonts w:hint="eastAsia" w:ascii="仿宋_GB2312" w:hAnsi="仿宋_GB2312" w:eastAsia="仿宋_GB2312" w:cs="仿宋_GB2312"/>
          <w:kern w:val="21"/>
          <w:sz w:val="32"/>
          <w:szCs w:val="32"/>
        </w:rPr>
        <w:t>及长护机构，按照《医疗保障基金使用监督管理条例实施细则》等法律、法规、规章的规定处理。</w:t>
      </w:r>
    </w:p>
    <w:p w14:paraId="7D92C396">
      <w:pPr>
        <w:pStyle w:val="8"/>
        <w:spacing w:line="540" w:lineRule="exact"/>
        <w:ind w:firstLine="320"/>
        <w:rPr>
          <w:rFonts w:hint="eastAsia" w:ascii="仿宋_GB2312" w:hAnsi="仿宋_GB2312" w:eastAsia="仿宋_GB2312" w:cs="仿宋_GB2312"/>
          <w:sz w:val="32"/>
          <w:szCs w:val="32"/>
        </w:rPr>
      </w:pPr>
    </w:p>
    <w:p w14:paraId="441A557F">
      <w:pPr>
        <w:pStyle w:val="11"/>
        <w:numPr>
          <w:ilvl w:val="0"/>
          <w:numId w:val="8"/>
        </w:numPr>
        <w:topLinePunct/>
        <w:autoSpaceDE w:val="0"/>
        <w:spacing w:beforeAutospacing="0" w:afterAutospacing="0" w:line="540" w:lineRule="exact"/>
        <w:jc w:val="center"/>
        <w:rPr>
          <w:rFonts w:hint="eastAsia" w:ascii="黑体" w:hAnsi="黑体" w:eastAsia="黑体" w:cs="黑体"/>
          <w:sz w:val="32"/>
          <w:szCs w:val="32"/>
        </w:rPr>
      </w:pPr>
      <w:r>
        <w:rPr>
          <w:rFonts w:hint="eastAsia" w:ascii="黑体" w:hAnsi="黑体" w:eastAsia="黑体" w:cs="黑体"/>
          <w:sz w:val="32"/>
          <w:szCs w:val="32"/>
        </w:rPr>
        <w:t>附  则</w:t>
      </w:r>
    </w:p>
    <w:p w14:paraId="57716B5B">
      <w:pPr>
        <w:pStyle w:val="11"/>
        <w:topLinePunct/>
        <w:autoSpaceDE w:val="0"/>
        <w:spacing w:beforeAutospacing="0" w:afterAutospacing="0" w:line="540" w:lineRule="exact"/>
        <w:jc w:val="both"/>
        <w:rPr>
          <w:rFonts w:hint="eastAsia" w:ascii="仿宋_GB2312" w:hAnsi="仿宋_GB2312" w:eastAsia="仿宋_GB2312" w:cs="仿宋_GB2312"/>
          <w:sz w:val="32"/>
          <w:szCs w:val="32"/>
        </w:rPr>
      </w:pPr>
    </w:p>
    <w:p w14:paraId="6D612937">
      <w:pPr>
        <w:pStyle w:val="11"/>
        <w:topLinePunct/>
        <w:autoSpaceDE w:val="0"/>
        <w:spacing w:beforeAutospacing="0" w:afterAutospacing="0" w:line="540" w:lineRule="exact"/>
        <w:ind w:firstLine="640" w:firstLineChars="200"/>
        <w:jc w:val="both"/>
        <w:rPr>
          <w:rFonts w:hint="eastAsia" w:ascii="仿宋_GB2312" w:hAnsi="仿宋_GB2312" w:eastAsia="仿宋_GB2312" w:cs="仿宋_GB2312"/>
          <w:sz w:val="32"/>
          <w:szCs w:val="32"/>
        </w:rPr>
      </w:pPr>
      <w:r>
        <w:rPr>
          <w:rFonts w:hint="eastAsia" w:ascii="黑体" w:hAnsi="黑体" w:eastAsia="黑体" w:cs="黑体"/>
          <w:sz w:val="32"/>
          <w:szCs w:val="32"/>
        </w:rPr>
        <w:t>第四十</w:t>
      </w:r>
      <w:r>
        <w:rPr>
          <w:rFonts w:hint="eastAsia" w:ascii="黑体" w:hAnsi="黑体" w:eastAsia="黑体" w:cs="黑体"/>
          <w:sz w:val="32"/>
          <w:szCs w:val="32"/>
          <w:lang w:val="en-US" w:eastAsia="zh-CN"/>
        </w:rPr>
        <w:t>七</w:t>
      </w:r>
      <w:r>
        <w:rPr>
          <w:rFonts w:hint="eastAsia" w:ascii="黑体" w:hAnsi="黑体" w:eastAsia="黑体" w:cs="黑体"/>
          <w:sz w:val="32"/>
          <w:szCs w:val="32"/>
        </w:rPr>
        <w:t>条</w:t>
      </w:r>
      <w:r>
        <w:rPr>
          <w:rStyle w:val="15"/>
          <w:rFonts w:hint="eastAsia" w:ascii="仿宋_GB2312" w:hAnsi="仿宋_GB2312" w:eastAsia="仿宋_GB2312" w:cs="仿宋_GB2312"/>
          <w:sz w:val="32"/>
          <w:szCs w:val="32"/>
          <w:lang w:bidi="ar"/>
        </w:rPr>
        <w:t xml:space="preserve">  </w:t>
      </w:r>
      <w:r>
        <w:rPr>
          <w:rFonts w:hint="eastAsia" w:ascii="仿宋_GB2312" w:hAnsi="仿宋_GB2312" w:eastAsia="仿宋_GB2312" w:cs="仿宋_GB2312"/>
          <w:sz w:val="32"/>
          <w:szCs w:val="32"/>
        </w:rPr>
        <w:t>市</w:t>
      </w:r>
      <w:r>
        <w:rPr>
          <w:rFonts w:hint="eastAsia" w:ascii="仿宋_GB2312" w:hAnsi="仿宋_GB2312" w:eastAsia="仿宋_GB2312" w:cs="仿宋_GB2312"/>
          <w:sz w:val="32"/>
          <w:szCs w:val="32"/>
          <w:lang w:eastAsia="zh-CN"/>
        </w:rPr>
        <w:t>医保行政</w:t>
      </w:r>
      <w:r>
        <w:rPr>
          <w:rFonts w:hint="eastAsia" w:ascii="仿宋_GB2312" w:hAnsi="仿宋_GB2312" w:eastAsia="仿宋_GB2312" w:cs="仿宋_GB2312"/>
          <w:sz w:val="32"/>
          <w:szCs w:val="32"/>
        </w:rPr>
        <w:t>部门可根据经济社会发展水平和长护险基金运行等情况，会同市财政部门提出筹资和支付政策的调整意见，报市政府批准后执行。</w:t>
      </w:r>
    </w:p>
    <w:p w14:paraId="33D184BF">
      <w:pPr>
        <w:shd w:val="clear" w:color="auto" w:fill="FFFFFF"/>
        <w:topLinePunct/>
        <w:autoSpaceDE w:val="0"/>
        <w:spacing w:line="540" w:lineRule="exact"/>
        <w:ind w:firstLine="640"/>
        <w:rPr>
          <w:rFonts w:hint="eastAsia" w:ascii="仿宋_GB2312" w:hAnsi="仿宋_GB2312" w:eastAsia="仿宋_GB2312" w:cs="仿宋_GB2312"/>
          <w:kern w:val="0"/>
          <w:sz w:val="32"/>
          <w:szCs w:val="32"/>
        </w:rPr>
      </w:pPr>
      <w:r>
        <w:rPr>
          <w:rFonts w:hint="eastAsia" w:ascii="黑体" w:hAnsi="黑体" w:eastAsia="黑体" w:cs="黑体"/>
          <w:kern w:val="0"/>
          <w:sz w:val="32"/>
          <w:szCs w:val="32"/>
        </w:rPr>
        <w:t>第四十</w:t>
      </w:r>
      <w:r>
        <w:rPr>
          <w:rFonts w:hint="eastAsia" w:ascii="黑体" w:hAnsi="黑体" w:eastAsia="黑体" w:cs="黑体"/>
          <w:kern w:val="0"/>
          <w:sz w:val="32"/>
          <w:szCs w:val="32"/>
          <w:lang w:val="en-US" w:eastAsia="zh-CN"/>
        </w:rPr>
        <w:t>八</w:t>
      </w:r>
      <w:r>
        <w:rPr>
          <w:rFonts w:hint="eastAsia" w:ascii="黑体" w:hAnsi="黑体" w:eastAsia="黑体" w:cs="黑体"/>
          <w:kern w:val="0"/>
          <w:sz w:val="32"/>
          <w:szCs w:val="32"/>
        </w:rPr>
        <w:t>条</w:t>
      </w:r>
      <w:r>
        <w:rPr>
          <w:rStyle w:val="15"/>
          <w:rFonts w:hint="eastAsia" w:ascii="仿宋_GB2312" w:hAnsi="仿宋_GB2312" w:eastAsia="仿宋_GB2312" w:cs="仿宋_GB2312"/>
          <w:kern w:val="0"/>
          <w:sz w:val="32"/>
          <w:szCs w:val="32"/>
          <w:lang w:bidi="ar"/>
        </w:rPr>
        <w:t xml:space="preserve">  </w:t>
      </w:r>
      <w:r>
        <w:rPr>
          <w:rFonts w:hint="eastAsia" w:ascii="仿宋_GB2312" w:hAnsi="仿宋_GB2312" w:eastAsia="仿宋_GB2312" w:cs="仿宋_GB2312"/>
          <w:kern w:val="0"/>
          <w:sz w:val="32"/>
          <w:szCs w:val="32"/>
        </w:rPr>
        <w:t>本办法自2026年  月  日起施行，有效期</w:t>
      </w:r>
      <w:r>
        <w:rPr>
          <w:rFonts w:hint="eastAsia" w:ascii="仿宋_GB2312" w:hAnsi="仿宋_GB2312" w:eastAsia="仿宋_GB2312" w:cs="仿宋_GB2312"/>
          <w:kern w:val="0"/>
          <w:sz w:val="32"/>
          <w:szCs w:val="32"/>
          <w:lang w:eastAsia="zh-CN"/>
        </w:rPr>
        <w:t>至</w:t>
      </w:r>
      <w:r>
        <w:rPr>
          <w:rFonts w:hint="eastAsia" w:ascii="仿宋_GB2312" w:hAnsi="仿宋_GB2312" w:eastAsia="仿宋_GB2312" w:cs="仿宋_GB2312"/>
          <w:kern w:val="0"/>
          <w:sz w:val="32"/>
          <w:szCs w:val="32"/>
          <w:lang w:val="en-US" w:eastAsia="zh-CN"/>
        </w:rPr>
        <w:t>2031年  月  日</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我市长护险分步实施，2026年 月 日起覆盖职工基本医疗保险参保人，2027年  月  日起覆盖全体基本医疗保险参保人。</w:t>
      </w:r>
    </w:p>
    <w:p w14:paraId="17C70FB1">
      <w:pPr>
        <w:pStyle w:val="2"/>
        <w:ind w:firstLine="640" w:firstLineChars="200"/>
        <w:rPr>
          <w:rFonts w:hint="eastAsia"/>
        </w:rPr>
      </w:pPr>
      <w:r>
        <w:rPr>
          <w:rFonts w:hint="eastAsia" w:ascii="仿宋_GB2312" w:hAnsi="仿宋_GB2312" w:eastAsia="仿宋_GB2312" w:cs="仿宋_GB2312"/>
          <w:kern w:val="0"/>
          <w:sz w:val="32"/>
          <w:szCs w:val="32"/>
          <w:lang w:eastAsia="zh-CN"/>
        </w:rPr>
        <w:t>本办法未尽事宜，按照国家、省有关规定执行。施行期间，国家、省有新规定的，从其规定。</w:t>
      </w:r>
    </w:p>
    <w:p w14:paraId="24D92AFD">
      <w:pPr>
        <w:widowControl w:val="0"/>
        <w:spacing w:line="600" w:lineRule="exact"/>
        <w:ind w:firstLine="0" w:firstLineChars="0"/>
        <w:rPr>
          <w:rFonts w:hint="eastAsia" w:ascii="仿宋" w:hAnsi="仿宋" w:eastAsia="仿宋" w:cs="仿宋"/>
          <w:sz w:val="32"/>
          <w:szCs w:val="32"/>
          <w:lang w:val="en-US" w:eastAsia="zh-CN"/>
        </w:rPr>
      </w:pPr>
    </w:p>
    <w:sectPr>
      <w:footerReference r:id="rId3" w:type="default"/>
      <w:pgSz w:w="11906" w:h="16838"/>
      <w:pgMar w:top="1871" w:right="1474" w:bottom="1701"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auto"/>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方正小标宋简体">
    <w:altName w:val="黑体"/>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025BBAAE">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B125D">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2E4687">
                          <w:pPr>
                            <w:pStyle w:val="9"/>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D2E4687">
                    <w:pPr>
                      <w:pStyle w:val="9"/>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49A225"/>
    <w:multiLevelType w:val="singleLevel"/>
    <w:tmpl w:val="9149A225"/>
    <w:lvl w:ilvl="0" w:tentative="0">
      <w:start w:val="8"/>
      <w:numFmt w:val="chineseCounting"/>
      <w:suff w:val="space"/>
      <w:lvlText w:val="第%1章"/>
      <w:lvlJc w:val="left"/>
      <w:rPr>
        <w:rFonts w:hint="eastAsia"/>
      </w:rPr>
    </w:lvl>
  </w:abstractNum>
  <w:abstractNum w:abstractNumId="1">
    <w:nsid w:val="0B01DEBF"/>
    <w:multiLevelType w:val="singleLevel"/>
    <w:tmpl w:val="0B01DEBF"/>
    <w:lvl w:ilvl="0" w:tentative="0">
      <w:start w:val="5"/>
      <w:numFmt w:val="chineseCounting"/>
      <w:suff w:val="space"/>
      <w:lvlText w:val="第%1章"/>
      <w:lvlJc w:val="left"/>
      <w:rPr>
        <w:rFonts w:hint="eastAsia"/>
      </w:rPr>
    </w:lvl>
  </w:abstractNum>
  <w:abstractNum w:abstractNumId="2">
    <w:nsid w:val="38E87976"/>
    <w:multiLevelType w:val="singleLevel"/>
    <w:tmpl w:val="38E87976"/>
    <w:lvl w:ilvl="0" w:tentative="0">
      <w:start w:val="2"/>
      <w:numFmt w:val="chineseCounting"/>
      <w:suff w:val="space"/>
      <w:lvlText w:val="第%1章"/>
      <w:lvlJc w:val="left"/>
      <w:rPr>
        <w:rFonts w:hint="eastAsia"/>
      </w:rPr>
    </w:lvl>
  </w:abstractNum>
  <w:abstractNum w:abstractNumId="3">
    <w:nsid w:val="3F9B0DCC"/>
    <w:multiLevelType w:val="singleLevel"/>
    <w:tmpl w:val="3F9B0DCC"/>
    <w:lvl w:ilvl="0" w:tentative="0">
      <w:start w:val="6"/>
      <w:numFmt w:val="chineseCounting"/>
      <w:suff w:val="space"/>
      <w:lvlText w:val="第%1章"/>
      <w:lvlJc w:val="left"/>
      <w:rPr>
        <w:rFonts w:hint="eastAsia"/>
      </w:rPr>
    </w:lvl>
  </w:abstractNum>
  <w:abstractNum w:abstractNumId="4">
    <w:nsid w:val="4CD7D396"/>
    <w:multiLevelType w:val="singleLevel"/>
    <w:tmpl w:val="4CD7D396"/>
    <w:lvl w:ilvl="0" w:tentative="0">
      <w:start w:val="4"/>
      <w:numFmt w:val="chineseCounting"/>
      <w:suff w:val="space"/>
      <w:lvlText w:val="第%1章"/>
      <w:lvlJc w:val="left"/>
      <w:rPr>
        <w:rFonts w:hint="eastAsia"/>
      </w:rPr>
    </w:lvl>
  </w:abstractNum>
  <w:abstractNum w:abstractNumId="5">
    <w:nsid w:val="65DBBE1F"/>
    <w:multiLevelType w:val="singleLevel"/>
    <w:tmpl w:val="65DBBE1F"/>
    <w:lvl w:ilvl="0" w:tentative="0">
      <w:start w:val="1"/>
      <w:numFmt w:val="chineseCounting"/>
      <w:suff w:val="space"/>
      <w:lvlText w:val="第%1章"/>
      <w:lvlJc w:val="left"/>
      <w:rPr>
        <w:rFonts w:hint="eastAsia"/>
      </w:rPr>
    </w:lvl>
  </w:abstractNum>
  <w:abstractNum w:abstractNumId="6">
    <w:nsid w:val="6C87129A"/>
    <w:multiLevelType w:val="singleLevel"/>
    <w:tmpl w:val="6C87129A"/>
    <w:lvl w:ilvl="0" w:tentative="0">
      <w:start w:val="7"/>
      <w:numFmt w:val="chineseCounting"/>
      <w:suff w:val="space"/>
      <w:lvlText w:val="第%1章"/>
      <w:lvlJc w:val="left"/>
      <w:rPr>
        <w:rFonts w:hint="eastAsia"/>
      </w:rPr>
    </w:lvl>
  </w:abstractNum>
  <w:abstractNum w:abstractNumId="7">
    <w:nsid w:val="7216AE17"/>
    <w:multiLevelType w:val="singleLevel"/>
    <w:tmpl w:val="7216AE17"/>
    <w:lvl w:ilvl="0" w:tentative="0">
      <w:start w:val="3"/>
      <w:numFmt w:val="chineseCounting"/>
      <w:suff w:val="space"/>
      <w:lvlText w:val="第%1章"/>
      <w:lvlJc w:val="left"/>
      <w:rPr>
        <w:rFonts w:hint="eastAsia"/>
      </w:rPr>
    </w:lvl>
  </w:abstractNum>
  <w:num w:numId="1">
    <w:abstractNumId w:val="5"/>
  </w:num>
  <w:num w:numId="2">
    <w:abstractNumId w:val="2"/>
  </w:num>
  <w:num w:numId="3">
    <w:abstractNumId w:val="7"/>
  </w:num>
  <w:num w:numId="4">
    <w:abstractNumId w:val="4"/>
  </w:num>
  <w:num w:numId="5">
    <w:abstractNumId w:val="1"/>
  </w:num>
  <w:num w:numId="6">
    <w:abstractNumId w:val="3"/>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iMmJkNmUzYjU3ZjA0MDFkMGJjYTY2MTNhOTAwODUifQ=="/>
  </w:docVars>
  <w:rsids>
    <w:rsidRoot w:val="76A049D8"/>
    <w:rsid w:val="001F6120"/>
    <w:rsid w:val="002662C5"/>
    <w:rsid w:val="003408C2"/>
    <w:rsid w:val="00570628"/>
    <w:rsid w:val="00857725"/>
    <w:rsid w:val="00C80838"/>
    <w:rsid w:val="0185366C"/>
    <w:rsid w:val="025C1713"/>
    <w:rsid w:val="02755778"/>
    <w:rsid w:val="02A30C56"/>
    <w:rsid w:val="02B66E08"/>
    <w:rsid w:val="02C347C3"/>
    <w:rsid w:val="02F60496"/>
    <w:rsid w:val="0327302A"/>
    <w:rsid w:val="0342592F"/>
    <w:rsid w:val="0357702D"/>
    <w:rsid w:val="03DA3A15"/>
    <w:rsid w:val="04263D53"/>
    <w:rsid w:val="04332111"/>
    <w:rsid w:val="049C0204"/>
    <w:rsid w:val="05AF1454"/>
    <w:rsid w:val="05BC2226"/>
    <w:rsid w:val="05DA736C"/>
    <w:rsid w:val="0636680F"/>
    <w:rsid w:val="063C3603"/>
    <w:rsid w:val="06894A27"/>
    <w:rsid w:val="06B40BCE"/>
    <w:rsid w:val="06C145A1"/>
    <w:rsid w:val="06C9486F"/>
    <w:rsid w:val="07565717"/>
    <w:rsid w:val="08406D79"/>
    <w:rsid w:val="085B2F0C"/>
    <w:rsid w:val="08AB65AB"/>
    <w:rsid w:val="09043900"/>
    <w:rsid w:val="09067DD6"/>
    <w:rsid w:val="097126F4"/>
    <w:rsid w:val="098B2772"/>
    <w:rsid w:val="09BE1938"/>
    <w:rsid w:val="0A1C11D8"/>
    <w:rsid w:val="0A791307"/>
    <w:rsid w:val="0B1260F1"/>
    <w:rsid w:val="0B4E1031"/>
    <w:rsid w:val="0C066A8C"/>
    <w:rsid w:val="0C3129BD"/>
    <w:rsid w:val="0CAC1534"/>
    <w:rsid w:val="0CBC4F7F"/>
    <w:rsid w:val="0CE5310B"/>
    <w:rsid w:val="0CEE3EEB"/>
    <w:rsid w:val="0D5B78D6"/>
    <w:rsid w:val="0D651275"/>
    <w:rsid w:val="0D6B6A97"/>
    <w:rsid w:val="0DB74EDC"/>
    <w:rsid w:val="0DD30050"/>
    <w:rsid w:val="0DD565A7"/>
    <w:rsid w:val="0DEA5696"/>
    <w:rsid w:val="0E5A5D29"/>
    <w:rsid w:val="0EFC24DE"/>
    <w:rsid w:val="0F14635F"/>
    <w:rsid w:val="0F320544"/>
    <w:rsid w:val="0FC802E2"/>
    <w:rsid w:val="0FD05FD0"/>
    <w:rsid w:val="0FE36FF4"/>
    <w:rsid w:val="0FEC0089"/>
    <w:rsid w:val="100F4D89"/>
    <w:rsid w:val="10280653"/>
    <w:rsid w:val="106B1F4F"/>
    <w:rsid w:val="11254238"/>
    <w:rsid w:val="116A083A"/>
    <w:rsid w:val="11CC213F"/>
    <w:rsid w:val="121360D4"/>
    <w:rsid w:val="122212E7"/>
    <w:rsid w:val="12BF1A7E"/>
    <w:rsid w:val="12C845DD"/>
    <w:rsid w:val="12FD6142"/>
    <w:rsid w:val="13241D3F"/>
    <w:rsid w:val="1378430D"/>
    <w:rsid w:val="13B60C25"/>
    <w:rsid w:val="13F23B8F"/>
    <w:rsid w:val="141745CF"/>
    <w:rsid w:val="14246791"/>
    <w:rsid w:val="147061EC"/>
    <w:rsid w:val="14AE08A4"/>
    <w:rsid w:val="14B21328"/>
    <w:rsid w:val="14CB424A"/>
    <w:rsid w:val="14FB25A1"/>
    <w:rsid w:val="150E3403"/>
    <w:rsid w:val="151C29D8"/>
    <w:rsid w:val="15B60811"/>
    <w:rsid w:val="16032B0D"/>
    <w:rsid w:val="16357CC0"/>
    <w:rsid w:val="1656314F"/>
    <w:rsid w:val="165C3C55"/>
    <w:rsid w:val="16C21AE3"/>
    <w:rsid w:val="16C739EB"/>
    <w:rsid w:val="16D14653"/>
    <w:rsid w:val="178A2555"/>
    <w:rsid w:val="18BF25F5"/>
    <w:rsid w:val="18E73E2C"/>
    <w:rsid w:val="18FA7BCE"/>
    <w:rsid w:val="196D2192"/>
    <w:rsid w:val="19DE3B66"/>
    <w:rsid w:val="1A3A4A04"/>
    <w:rsid w:val="1A6E6E14"/>
    <w:rsid w:val="1A903C23"/>
    <w:rsid w:val="1B061248"/>
    <w:rsid w:val="1B50662D"/>
    <w:rsid w:val="1C470F99"/>
    <w:rsid w:val="1C792129"/>
    <w:rsid w:val="1CA300C1"/>
    <w:rsid w:val="1CD920E4"/>
    <w:rsid w:val="1D523945"/>
    <w:rsid w:val="1DA60F59"/>
    <w:rsid w:val="1DD17FC3"/>
    <w:rsid w:val="1DD63903"/>
    <w:rsid w:val="1DF1446C"/>
    <w:rsid w:val="1DF968AF"/>
    <w:rsid w:val="1E52346E"/>
    <w:rsid w:val="1E8C36F9"/>
    <w:rsid w:val="1F205C28"/>
    <w:rsid w:val="1F8950A4"/>
    <w:rsid w:val="1F9E2355"/>
    <w:rsid w:val="1FD025A1"/>
    <w:rsid w:val="200B24AE"/>
    <w:rsid w:val="20D40C59"/>
    <w:rsid w:val="21101C38"/>
    <w:rsid w:val="214F4C64"/>
    <w:rsid w:val="21A57D4A"/>
    <w:rsid w:val="21D37623"/>
    <w:rsid w:val="21FA0651"/>
    <w:rsid w:val="225835D4"/>
    <w:rsid w:val="229918CC"/>
    <w:rsid w:val="23010098"/>
    <w:rsid w:val="231F302D"/>
    <w:rsid w:val="23350C5A"/>
    <w:rsid w:val="23682DB1"/>
    <w:rsid w:val="23771978"/>
    <w:rsid w:val="24226E62"/>
    <w:rsid w:val="243F0730"/>
    <w:rsid w:val="24964B06"/>
    <w:rsid w:val="249A79B8"/>
    <w:rsid w:val="251C7177"/>
    <w:rsid w:val="259355BD"/>
    <w:rsid w:val="25AE2643"/>
    <w:rsid w:val="264A6BBC"/>
    <w:rsid w:val="26C74269"/>
    <w:rsid w:val="26E1784D"/>
    <w:rsid w:val="279326EF"/>
    <w:rsid w:val="27F532E7"/>
    <w:rsid w:val="27F9315E"/>
    <w:rsid w:val="280B06A0"/>
    <w:rsid w:val="28C17F50"/>
    <w:rsid w:val="29341905"/>
    <w:rsid w:val="295D1F35"/>
    <w:rsid w:val="29A23D31"/>
    <w:rsid w:val="29C1014D"/>
    <w:rsid w:val="2A3D4359"/>
    <w:rsid w:val="2A6F601E"/>
    <w:rsid w:val="2A7177DF"/>
    <w:rsid w:val="2A76091E"/>
    <w:rsid w:val="2B9E35F1"/>
    <w:rsid w:val="2C256E6B"/>
    <w:rsid w:val="2C402050"/>
    <w:rsid w:val="2C6C188D"/>
    <w:rsid w:val="2C91796A"/>
    <w:rsid w:val="2CA35EB4"/>
    <w:rsid w:val="2CB2598B"/>
    <w:rsid w:val="2CB31F81"/>
    <w:rsid w:val="2CCC4778"/>
    <w:rsid w:val="2CE97752"/>
    <w:rsid w:val="2D3B5ADD"/>
    <w:rsid w:val="2D475C22"/>
    <w:rsid w:val="2E242F52"/>
    <w:rsid w:val="2E315DB1"/>
    <w:rsid w:val="2E8E2E39"/>
    <w:rsid w:val="2EC178B8"/>
    <w:rsid w:val="2EC41675"/>
    <w:rsid w:val="2F182EDD"/>
    <w:rsid w:val="2F396882"/>
    <w:rsid w:val="2F806AC8"/>
    <w:rsid w:val="2FC73EF9"/>
    <w:rsid w:val="3026691C"/>
    <w:rsid w:val="307231A8"/>
    <w:rsid w:val="307D1535"/>
    <w:rsid w:val="31230AD8"/>
    <w:rsid w:val="31E70FB2"/>
    <w:rsid w:val="31F27A9E"/>
    <w:rsid w:val="32717907"/>
    <w:rsid w:val="32E06932"/>
    <w:rsid w:val="3330692E"/>
    <w:rsid w:val="33373D30"/>
    <w:rsid w:val="333F2317"/>
    <w:rsid w:val="33754352"/>
    <w:rsid w:val="347E1EEB"/>
    <w:rsid w:val="348B713D"/>
    <w:rsid w:val="348C4D32"/>
    <w:rsid w:val="34E96910"/>
    <w:rsid w:val="35C43C98"/>
    <w:rsid w:val="35C73DFD"/>
    <w:rsid w:val="363063D2"/>
    <w:rsid w:val="36475007"/>
    <w:rsid w:val="36C54622"/>
    <w:rsid w:val="370D04D9"/>
    <w:rsid w:val="372B5295"/>
    <w:rsid w:val="373B204B"/>
    <w:rsid w:val="379C0372"/>
    <w:rsid w:val="37A338EC"/>
    <w:rsid w:val="38612471"/>
    <w:rsid w:val="38A82BB6"/>
    <w:rsid w:val="38B7274F"/>
    <w:rsid w:val="39033890"/>
    <w:rsid w:val="39085177"/>
    <w:rsid w:val="39D05448"/>
    <w:rsid w:val="3A03622E"/>
    <w:rsid w:val="3A6744B2"/>
    <w:rsid w:val="3AE500B5"/>
    <w:rsid w:val="3AF60D5A"/>
    <w:rsid w:val="3AFD0065"/>
    <w:rsid w:val="3B094E71"/>
    <w:rsid w:val="3B1D3041"/>
    <w:rsid w:val="3B4A53B1"/>
    <w:rsid w:val="3B4E5A39"/>
    <w:rsid w:val="3BA56321"/>
    <w:rsid w:val="3BE42001"/>
    <w:rsid w:val="3C29103D"/>
    <w:rsid w:val="3C566A3E"/>
    <w:rsid w:val="3C862B13"/>
    <w:rsid w:val="3C943D85"/>
    <w:rsid w:val="3C9A04CD"/>
    <w:rsid w:val="3C9D4A5F"/>
    <w:rsid w:val="3CBD2FEC"/>
    <w:rsid w:val="3CD647B5"/>
    <w:rsid w:val="3D1C0040"/>
    <w:rsid w:val="3D523433"/>
    <w:rsid w:val="3D656047"/>
    <w:rsid w:val="3E3A5236"/>
    <w:rsid w:val="3E3C4E61"/>
    <w:rsid w:val="3E8B0212"/>
    <w:rsid w:val="3ED852A2"/>
    <w:rsid w:val="3EE078A0"/>
    <w:rsid w:val="3EFB738C"/>
    <w:rsid w:val="3F7A007F"/>
    <w:rsid w:val="40884021"/>
    <w:rsid w:val="40AC6B04"/>
    <w:rsid w:val="40F51E89"/>
    <w:rsid w:val="40F95A16"/>
    <w:rsid w:val="40FE5944"/>
    <w:rsid w:val="41D939DB"/>
    <w:rsid w:val="429C02FC"/>
    <w:rsid w:val="43A3002D"/>
    <w:rsid w:val="43D419C5"/>
    <w:rsid w:val="43E34E89"/>
    <w:rsid w:val="43FD2DDA"/>
    <w:rsid w:val="44167247"/>
    <w:rsid w:val="443B3A3B"/>
    <w:rsid w:val="4445036C"/>
    <w:rsid w:val="446A03CB"/>
    <w:rsid w:val="44EE4339"/>
    <w:rsid w:val="451A13AF"/>
    <w:rsid w:val="45817E29"/>
    <w:rsid w:val="45E55E86"/>
    <w:rsid w:val="45F533CD"/>
    <w:rsid w:val="46597D79"/>
    <w:rsid w:val="465F4D86"/>
    <w:rsid w:val="46AE05A1"/>
    <w:rsid w:val="470B1425"/>
    <w:rsid w:val="4720050E"/>
    <w:rsid w:val="47615847"/>
    <w:rsid w:val="47E15899"/>
    <w:rsid w:val="48897C4B"/>
    <w:rsid w:val="48DD0CAA"/>
    <w:rsid w:val="49966156"/>
    <w:rsid w:val="49E670CE"/>
    <w:rsid w:val="4A4C45DF"/>
    <w:rsid w:val="4A6C2028"/>
    <w:rsid w:val="4AB344AE"/>
    <w:rsid w:val="4B3747C0"/>
    <w:rsid w:val="4B950D6A"/>
    <w:rsid w:val="4C1404D8"/>
    <w:rsid w:val="4C4F6D8C"/>
    <w:rsid w:val="4C5E7D04"/>
    <w:rsid w:val="4C9016EF"/>
    <w:rsid w:val="4CF14D69"/>
    <w:rsid w:val="4CF43B6E"/>
    <w:rsid w:val="4D2E7EF7"/>
    <w:rsid w:val="4D782759"/>
    <w:rsid w:val="4D9B0D1E"/>
    <w:rsid w:val="4DC52FF9"/>
    <w:rsid w:val="4DED5526"/>
    <w:rsid w:val="4E0235AF"/>
    <w:rsid w:val="4E706FAA"/>
    <w:rsid w:val="4E7B3AFA"/>
    <w:rsid w:val="4EB97A8C"/>
    <w:rsid w:val="4EC80F7A"/>
    <w:rsid w:val="4EC97B9F"/>
    <w:rsid w:val="4F1D4D2D"/>
    <w:rsid w:val="4F7F3364"/>
    <w:rsid w:val="4F8F28D0"/>
    <w:rsid w:val="50017999"/>
    <w:rsid w:val="502D0BCB"/>
    <w:rsid w:val="50D4299F"/>
    <w:rsid w:val="51270AC4"/>
    <w:rsid w:val="515D41D5"/>
    <w:rsid w:val="51995A28"/>
    <w:rsid w:val="519A206F"/>
    <w:rsid w:val="51A32B1A"/>
    <w:rsid w:val="51C54C55"/>
    <w:rsid w:val="51F4359F"/>
    <w:rsid w:val="51F52C3A"/>
    <w:rsid w:val="523F5026"/>
    <w:rsid w:val="5242086C"/>
    <w:rsid w:val="52745F4F"/>
    <w:rsid w:val="533F14C0"/>
    <w:rsid w:val="53467791"/>
    <w:rsid w:val="5385350F"/>
    <w:rsid w:val="546D0C49"/>
    <w:rsid w:val="548B584B"/>
    <w:rsid w:val="54B1707D"/>
    <w:rsid w:val="54E200EF"/>
    <w:rsid w:val="54E22A79"/>
    <w:rsid w:val="55145DFA"/>
    <w:rsid w:val="55270FE4"/>
    <w:rsid w:val="55634960"/>
    <w:rsid w:val="55D261E0"/>
    <w:rsid w:val="55F05200"/>
    <w:rsid w:val="56104201"/>
    <w:rsid w:val="56197820"/>
    <w:rsid w:val="56932472"/>
    <w:rsid w:val="569D636B"/>
    <w:rsid w:val="57454859"/>
    <w:rsid w:val="57455F72"/>
    <w:rsid w:val="577013CA"/>
    <w:rsid w:val="57AC4C64"/>
    <w:rsid w:val="5858154D"/>
    <w:rsid w:val="58874C85"/>
    <w:rsid w:val="589016E6"/>
    <w:rsid w:val="594346CE"/>
    <w:rsid w:val="59516C0F"/>
    <w:rsid w:val="595565E5"/>
    <w:rsid w:val="59D005F3"/>
    <w:rsid w:val="59FE734B"/>
    <w:rsid w:val="5A1209A2"/>
    <w:rsid w:val="5A467B5B"/>
    <w:rsid w:val="5A4D721C"/>
    <w:rsid w:val="5B997C0D"/>
    <w:rsid w:val="5BA070AF"/>
    <w:rsid w:val="5C06796D"/>
    <w:rsid w:val="5C4E6776"/>
    <w:rsid w:val="5C6A37EF"/>
    <w:rsid w:val="5C8A54F9"/>
    <w:rsid w:val="5CC349F3"/>
    <w:rsid w:val="5D3606B3"/>
    <w:rsid w:val="5D3A42A8"/>
    <w:rsid w:val="5D8051B1"/>
    <w:rsid w:val="5D942434"/>
    <w:rsid w:val="5DB26190"/>
    <w:rsid w:val="5DBC5634"/>
    <w:rsid w:val="5DD754BA"/>
    <w:rsid w:val="5DDC4813"/>
    <w:rsid w:val="5DED567E"/>
    <w:rsid w:val="5E445C03"/>
    <w:rsid w:val="5E49734F"/>
    <w:rsid w:val="5E570E18"/>
    <w:rsid w:val="5E672F37"/>
    <w:rsid w:val="5ECE2A5D"/>
    <w:rsid w:val="5EDE5A51"/>
    <w:rsid w:val="5EEC2AC7"/>
    <w:rsid w:val="5F117BAC"/>
    <w:rsid w:val="5F5F0736"/>
    <w:rsid w:val="5FC1315C"/>
    <w:rsid w:val="5FC20048"/>
    <w:rsid w:val="603E474C"/>
    <w:rsid w:val="605303D9"/>
    <w:rsid w:val="606F0D9F"/>
    <w:rsid w:val="60C74898"/>
    <w:rsid w:val="616707E0"/>
    <w:rsid w:val="6172501B"/>
    <w:rsid w:val="61D83FCC"/>
    <w:rsid w:val="61F35FC3"/>
    <w:rsid w:val="62BF0517"/>
    <w:rsid w:val="62E24280"/>
    <w:rsid w:val="6313094A"/>
    <w:rsid w:val="633F0BBF"/>
    <w:rsid w:val="634879A5"/>
    <w:rsid w:val="63563B6A"/>
    <w:rsid w:val="639E05BF"/>
    <w:rsid w:val="63FB5052"/>
    <w:rsid w:val="641A4A3E"/>
    <w:rsid w:val="642A665E"/>
    <w:rsid w:val="642D19FF"/>
    <w:rsid w:val="649761B5"/>
    <w:rsid w:val="64994DA5"/>
    <w:rsid w:val="653438BA"/>
    <w:rsid w:val="653C0561"/>
    <w:rsid w:val="65451462"/>
    <w:rsid w:val="65841029"/>
    <w:rsid w:val="66571FE4"/>
    <w:rsid w:val="67316BCB"/>
    <w:rsid w:val="674152FA"/>
    <w:rsid w:val="689E340C"/>
    <w:rsid w:val="68C95682"/>
    <w:rsid w:val="68E35B7E"/>
    <w:rsid w:val="695A670E"/>
    <w:rsid w:val="69AC66C4"/>
    <w:rsid w:val="69BB5974"/>
    <w:rsid w:val="69D54FA5"/>
    <w:rsid w:val="6AC12850"/>
    <w:rsid w:val="6AD2504B"/>
    <w:rsid w:val="6ADC43F8"/>
    <w:rsid w:val="6B43244A"/>
    <w:rsid w:val="6B487844"/>
    <w:rsid w:val="6B9C5CF8"/>
    <w:rsid w:val="6BDC7CDB"/>
    <w:rsid w:val="6C112F92"/>
    <w:rsid w:val="6C2210CA"/>
    <w:rsid w:val="6C443EF6"/>
    <w:rsid w:val="6C803A81"/>
    <w:rsid w:val="6C9247BD"/>
    <w:rsid w:val="6CFB1EDD"/>
    <w:rsid w:val="6D5F3107"/>
    <w:rsid w:val="6E4E423D"/>
    <w:rsid w:val="6E6E3355"/>
    <w:rsid w:val="6EF65CDE"/>
    <w:rsid w:val="6FCA1B4E"/>
    <w:rsid w:val="702520FF"/>
    <w:rsid w:val="7028027D"/>
    <w:rsid w:val="707B54E7"/>
    <w:rsid w:val="708E0C41"/>
    <w:rsid w:val="71603933"/>
    <w:rsid w:val="717C11B4"/>
    <w:rsid w:val="71CA0999"/>
    <w:rsid w:val="73645E9A"/>
    <w:rsid w:val="736D5B1B"/>
    <w:rsid w:val="73B67E5B"/>
    <w:rsid w:val="749E08F1"/>
    <w:rsid w:val="75D37451"/>
    <w:rsid w:val="75F04680"/>
    <w:rsid w:val="76514541"/>
    <w:rsid w:val="76A049D8"/>
    <w:rsid w:val="771B2B82"/>
    <w:rsid w:val="776121CC"/>
    <w:rsid w:val="77655FB1"/>
    <w:rsid w:val="77700E71"/>
    <w:rsid w:val="777A466E"/>
    <w:rsid w:val="77E806B6"/>
    <w:rsid w:val="77ED0F35"/>
    <w:rsid w:val="78C60E26"/>
    <w:rsid w:val="78CC6E72"/>
    <w:rsid w:val="7916166F"/>
    <w:rsid w:val="798A66D5"/>
    <w:rsid w:val="79D65121"/>
    <w:rsid w:val="7A4A461B"/>
    <w:rsid w:val="7AA2383A"/>
    <w:rsid w:val="7ACD1E79"/>
    <w:rsid w:val="7AD25CB5"/>
    <w:rsid w:val="7B196B04"/>
    <w:rsid w:val="7B1C2CCB"/>
    <w:rsid w:val="7B3D351B"/>
    <w:rsid w:val="7BEB7641"/>
    <w:rsid w:val="7C037113"/>
    <w:rsid w:val="7C6E37D1"/>
    <w:rsid w:val="7C871B9A"/>
    <w:rsid w:val="7CF80501"/>
    <w:rsid w:val="7D984ED5"/>
    <w:rsid w:val="7D9F480B"/>
    <w:rsid w:val="7DE66D72"/>
    <w:rsid w:val="7EC736DA"/>
    <w:rsid w:val="7F1944A2"/>
    <w:rsid w:val="7F9D6871"/>
    <w:rsid w:val="7FE06B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pPr>
    <w:rPr>
      <w:rFonts w:eastAsia="宋体" w:asciiTheme="minorHAnsi" w:hAnsiTheme="minorHAnsi" w:cstheme="minorBidi"/>
      <w:kern w:val="2"/>
      <w:sz w:val="21"/>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customStyle="1" w:styleId="2">
    <w:name w:val="Default"/>
    <w:basedOn w:val="3"/>
    <w:next w:val="1"/>
    <w:unhideWhenUsed/>
    <w:qFormat/>
    <w:uiPriority w:val="99"/>
    <w:pPr>
      <w:widowControl w:val="0"/>
      <w:autoSpaceDE w:val="0"/>
      <w:autoSpaceDN w:val="0"/>
      <w:adjustRightInd w:val="0"/>
    </w:pPr>
    <w:rPr>
      <w:rFonts w:hint="eastAsia" w:ascii="方正仿宋简体" w:hAnsi="方正仿宋简体" w:eastAsia="方正仿宋简体" w:cs="Times New Roman"/>
      <w:color w:val="000000"/>
      <w:sz w:val="24"/>
      <w:szCs w:val="22"/>
      <w:lang w:val="en-US" w:eastAsia="zh-CN" w:bidi="ar-SA"/>
    </w:rPr>
  </w:style>
  <w:style w:type="paragraph" w:customStyle="1" w:styleId="3">
    <w:name w:val="正文 New"/>
    <w:next w:val="4"/>
    <w:qFormat/>
    <w:uiPriority w:val="0"/>
    <w:pPr>
      <w:widowControl w:val="0"/>
      <w:jc w:val="both"/>
    </w:pPr>
    <w:rPr>
      <w:rFonts w:ascii="Calibri" w:hAnsi="Calibri" w:eastAsia="宋体" w:cs="黑体"/>
      <w:kern w:val="2"/>
      <w:sz w:val="21"/>
      <w:szCs w:val="22"/>
      <w:lang w:val="en-US" w:eastAsia="zh-CN"/>
    </w:rPr>
  </w:style>
  <w:style w:type="paragraph" w:customStyle="1" w:styleId="4">
    <w:name w:val="标题 2 New"/>
    <w:basedOn w:val="3"/>
    <w:next w:val="3"/>
    <w:qFormat/>
    <w:uiPriority w:val="0"/>
    <w:pPr>
      <w:keepNext/>
      <w:keepLines/>
      <w:spacing w:before="260" w:after="260" w:line="416" w:lineRule="auto"/>
      <w:outlineLvl w:val="1"/>
    </w:pPr>
    <w:rPr>
      <w:rFonts w:ascii="Calibri Light" w:hAnsi="Calibri Light" w:eastAsia="宋体" w:cs="Times New Roman"/>
      <w:b/>
      <w:bCs/>
      <w:szCs w:val="32"/>
    </w:rPr>
  </w:style>
  <w:style w:type="paragraph" w:styleId="6">
    <w:name w:val="annotation text"/>
    <w:basedOn w:val="1"/>
    <w:qFormat/>
    <w:uiPriority w:val="0"/>
    <w:pPr>
      <w:jc w:val="left"/>
    </w:pPr>
  </w:style>
  <w:style w:type="paragraph" w:styleId="7">
    <w:name w:val="Body Text"/>
    <w:basedOn w:val="1"/>
    <w:next w:val="8"/>
    <w:qFormat/>
    <w:uiPriority w:val="0"/>
    <w:pPr>
      <w:autoSpaceDE w:val="0"/>
      <w:autoSpaceDN w:val="0"/>
    </w:pPr>
    <w:rPr>
      <w:rFonts w:ascii="仿宋_GB2312" w:hAnsi="仿宋_GB2312" w:cs="仿宋_GB2312"/>
      <w:sz w:val="22"/>
      <w:szCs w:val="32"/>
      <w:lang w:eastAsia="en-US"/>
    </w:rPr>
  </w:style>
  <w:style w:type="paragraph" w:styleId="8">
    <w:name w:val="Body Text First Indent"/>
    <w:basedOn w:val="7"/>
    <w:next w:val="7"/>
    <w:unhideWhenUsed/>
    <w:qFormat/>
    <w:uiPriority w:val="99"/>
    <w:pPr>
      <w:ind w:firstLine="420" w:firstLineChars="100"/>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Title"/>
    <w:basedOn w:val="1"/>
    <w:next w:val="1"/>
    <w:qFormat/>
    <w:uiPriority w:val="10"/>
    <w:pPr>
      <w:spacing w:before="240" w:after="60"/>
      <w:jc w:val="center"/>
      <w:outlineLvl w:val="0"/>
    </w:pPr>
    <w:rPr>
      <w:rFonts w:ascii="Calibri Light" w:hAnsi="Calibri Light" w:cs="Times New Roman"/>
      <w:b/>
      <w:bCs/>
      <w:sz w:val="32"/>
      <w:szCs w:val="32"/>
    </w:rPr>
  </w:style>
  <w:style w:type="character" w:styleId="15">
    <w:name w:val="Strong"/>
    <w:basedOn w:val="14"/>
    <w:qFormat/>
    <w:uiPriority w:val="0"/>
    <w:rPr>
      <w:b/>
    </w:rPr>
  </w:style>
  <w:style w:type="character" w:customStyle="1" w:styleId="16">
    <w:name w:val="fontstyle01"/>
    <w:basedOn w:val="14"/>
    <w:qFormat/>
    <w:uiPriority w:val="0"/>
    <w:rPr>
      <w:rFonts w:ascii="仿宋" w:hAnsi="仿宋" w:eastAsia="仿宋" w:cs="仿宋"/>
      <w:color w:val="000000"/>
      <w:sz w:val="32"/>
      <w:szCs w:val="32"/>
    </w:rPr>
  </w:style>
  <w:style w:type="paragraph" w:customStyle="1" w:styleId="17">
    <w:name w:val="TOC2"/>
    <w:next w:val="1"/>
    <w:qFormat/>
    <w:uiPriority w:val="0"/>
    <w:pPr>
      <w:widowControl w:val="0"/>
      <w:ind w:left="420" w:leftChars="200"/>
      <w:jc w:val="both"/>
    </w:pPr>
    <w:rPr>
      <w:rFonts w:ascii="Times New Roman" w:hAnsi="Times New Roman" w:eastAsia="宋体" w:cs="Times New Roman"/>
      <w:kern w:val="2"/>
      <w:sz w:val="21"/>
      <w:szCs w:val="24"/>
      <w:lang w:val="en-US" w:eastAsia="zh-CN" w:bidi="ar-SA"/>
    </w:rPr>
  </w:style>
  <w:style w:type="paragraph" w:customStyle="1" w:styleId="18">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市工商局</Company>
  <Pages>15</Pages>
  <Words>7194</Words>
  <Characters>7282</Characters>
  <Lines>0</Lines>
  <Paragraphs>0</Paragraphs>
  <TotalTime>36</TotalTime>
  <ScaleCrop>false</ScaleCrop>
  <LinksUpToDate>false</LinksUpToDate>
  <CharactersWithSpaces>7402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2019-05-07T16:38:00Z</dcterms:created>
  <dc:creator>张涛</dc:creator>
  <cp:lastModifiedBy>Administrator</cp:lastModifiedBy>
  <cp:lastPrinted>2026-09-01T09:40:00Z</cp:lastPrinted>
  <dcterms:modified xsi:type="dcterms:W3CDTF">2026-09-17T03:17:24Z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EB39989279894725960016EBB2687E65_13</vt:lpwstr>
  </property>
  <property fmtid="{D5CDD505-2E9C-101B-9397-08002B2CF9AE}" pid="4" name="KSOTemplateDocerSaveRecord">
    <vt:lpwstr>eyJoZGlkIjoiYWRkMGExZDNiODgyZjQwNmEzYzM2Y2NhMzI3MGM3YzAifQ==</vt:lpwstr>
  </property>
</Properties>
</file>