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78185A">
      <w:pPr>
        <w:keepNext w:val="0"/>
        <w:keepLines w:val="0"/>
        <w:pageBreakBefore w:val="0"/>
        <w:widowControl w:val="0"/>
        <w:kinsoku/>
        <w:wordWrap/>
        <w:overflowPunct/>
        <w:topLinePunct w:val="0"/>
        <w:autoSpaceDE/>
        <w:autoSpaceDN/>
        <w:bidi w:val="0"/>
        <w:adjustRightInd/>
        <w:snapToGrid/>
        <w:spacing w:line="360" w:lineRule="auto"/>
        <w:jc w:val="right"/>
        <w:textAlignment w:val="center"/>
        <w:outlineLvl w:val="0"/>
        <w:rPr>
          <w:rFonts w:hint="eastAsia" w:ascii="标准粗黑" w:hAnsi="标准粗黑" w:eastAsia="标准粗黑" w:cs="标准粗黑"/>
          <w:b w:val="0"/>
          <w:bCs w:val="0"/>
          <w:color w:val="000000" w:themeColor="text1"/>
          <w:sz w:val="32"/>
          <w:szCs w:val="32"/>
          <w:lang w:val="en-US" w:eastAsia="zh-CN"/>
          <w14:textFill>
            <w14:solidFill>
              <w14:schemeClr w14:val="tx1"/>
            </w14:solidFill>
          </w14:textFill>
        </w:rPr>
      </w:pPr>
      <w:bookmarkStart w:id="0" w:name="_Toc30923"/>
    </w:p>
    <w:p w14:paraId="2A8D780C">
      <w:pPr>
        <w:keepNext w:val="0"/>
        <w:keepLines w:val="0"/>
        <w:pageBreakBefore w:val="0"/>
        <w:widowControl w:val="0"/>
        <w:kinsoku/>
        <w:wordWrap/>
        <w:overflowPunct/>
        <w:topLinePunct w:val="0"/>
        <w:autoSpaceDE/>
        <w:autoSpaceDN/>
        <w:bidi w:val="0"/>
        <w:adjustRightInd/>
        <w:snapToGrid/>
        <w:spacing w:line="360" w:lineRule="auto"/>
        <w:jc w:val="right"/>
        <w:textAlignment w:val="center"/>
        <w:outlineLvl w:val="0"/>
        <w:rPr>
          <w:rFonts w:hint="default" w:ascii="方正小标宋_GBK" w:hAnsi="方正小标宋_GBK" w:eastAsia="方正小标宋_GBK" w:cs="方正小标宋_GBK"/>
          <w:b/>
          <w:bCs/>
          <w:color w:val="000000" w:themeColor="text1"/>
          <w:sz w:val="32"/>
          <w:szCs w:val="32"/>
          <w:lang w:val="en-US" w:eastAsia="zh-CN"/>
          <w14:textFill>
            <w14:solidFill>
              <w14:schemeClr w14:val="tx1"/>
            </w14:solidFill>
          </w14:textFill>
        </w:rPr>
      </w:pPr>
    </w:p>
    <w:p w14:paraId="6503BCFA">
      <w:pPr>
        <w:keepNext w:val="0"/>
        <w:keepLines w:val="0"/>
        <w:pageBreakBefore w:val="0"/>
        <w:widowControl w:val="0"/>
        <w:kinsoku/>
        <w:wordWrap/>
        <w:overflowPunct/>
        <w:topLinePunct w:val="0"/>
        <w:autoSpaceDE/>
        <w:autoSpaceDN/>
        <w:bidi w:val="0"/>
        <w:adjustRightInd/>
        <w:snapToGrid/>
        <w:spacing w:before="296" w:beforeLines="50" w:after="590" w:afterLines="100" w:line="360" w:lineRule="auto"/>
        <w:jc w:val="both"/>
        <w:textAlignment w:val="center"/>
        <w:outlineLvl w:val="9"/>
        <w:rPr>
          <w:rFonts w:hint="eastAsia" w:ascii="方正小标宋_GBK" w:hAnsi="方正小标宋_GBK" w:eastAsia="方正小标宋_GBK" w:cs="方正小标宋_GBK"/>
          <w:color w:val="000000" w:themeColor="text1"/>
          <w:sz w:val="52"/>
          <w:szCs w:val="52"/>
          <w14:textFill>
            <w14:solidFill>
              <w14:schemeClr w14:val="tx1"/>
            </w14:solidFill>
          </w14:textFill>
        </w:rPr>
      </w:pPr>
      <w:bookmarkStart w:id="1" w:name="_Toc12319"/>
      <w:bookmarkStart w:id="2" w:name="_Toc3551"/>
      <w:bookmarkStart w:id="3" w:name="_Toc11537"/>
      <w:bookmarkStart w:id="4" w:name="_Toc8658"/>
      <w:bookmarkStart w:id="5" w:name="_Toc12665"/>
      <w:bookmarkStart w:id="6" w:name="_Toc27190"/>
      <w:bookmarkStart w:id="7" w:name="_Toc13449"/>
      <w:bookmarkStart w:id="8" w:name="_Toc25004"/>
      <w:bookmarkStart w:id="9" w:name="_Toc2221"/>
      <w:bookmarkStart w:id="10" w:name="_Toc14501"/>
      <w:bookmarkStart w:id="11" w:name="_Toc6727"/>
      <w:bookmarkStart w:id="12" w:name="_Toc28399"/>
      <w:bookmarkStart w:id="13" w:name="_Toc24135"/>
      <w:bookmarkStart w:id="14" w:name="_Toc13593"/>
      <w:bookmarkStart w:id="15" w:name="_Toc17208"/>
      <w:bookmarkStart w:id="16" w:name="_Toc12744"/>
      <w:bookmarkStart w:id="17" w:name="_Toc29395"/>
      <w:bookmarkStart w:id="18" w:name="_Toc19999"/>
      <w:bookmarkStart w:id="19" w:name="_Toc2539"/>
      <w:bookmarkStart w:id="20" w:name="_Toc32364"/>
      <w:bookmarkStart w:id="21" w:name="_Toc7747"/>
      <w:bookmarkStart w:id="22" w:name="_Toc15349"/>
      <w:bookmarkStart w:id="23" w:name="_Toc6716"/>
      <w:bookmarkStart w:id="24" w:name="_Toc25796"/>
      <w:bookmarkStart w:id="25" w:name="_Toc8328"/>
      <w:bookmarkStart w:id="26" w:name="_Toc14379"/>
      <w:bookmarkStart w:id="27" w:name="_Toc25065"/>
      <w:bookmarkStart w:id="28" w:name="_Toc7433"/>
      <w:bookmarkStart w:id="29" w:name="_Toc254"/>
      <w:bookmarkStart w:id="30" w:name="_Toc16832"/>
      <w:bookmarkStart w:id="31" w:name="_Toc26481"/>
      <w:bookmarkStart w:id="32" w:name="_Toc1017"/>
      <w:r>
        <w:rPr>
          <w:rFonts w:hint="eastAsia" w:ascii="方正小标宋_GBK" w:hAnsi="方正小标宋_GBK" w:eastAsia="方正小标宋_GBK" w:cs="方正小标宋_GBK"/>
          <w:color w:val="000000" w:themeColor="text1"/>
          <w:sz w:val="52"/>
          <w:szCs w:val="52"/>
          <w:lang w:val="en-US" w:eastAsia="zh-CN"/>
          <w14:textFill>
            <w14:solidFill>
              <w14:schemeClr w14:val="tx1"/>
            </w14:solidFill>
          </w14:textFill>
        </w:rPr>
        <w:t>揭阳</w:t>
      </w:r>
      <w:r>
        <w:rPr>
          <w:rFonts w:hint="eastAsia" w:ascii="方正小标宋_GBK" w:hAnsi="方正小标宋_GBK" w:eastAsia="方正小标宋_GBK" w:cs="方正小标宋_GBK"/>
          <w:color w:val="000000" w:themeColor="text1"/>
          <w:sz w:val="52"/>
          <w:szCs w:val="52"/>
          <w14:textFill>
            <w14:solidFill>
              <w14:schemeClr w14:val="tx1"/>
            </w14:solidFill>
          </w14:textFill>
        </w:rPr>
        <w:t>市海洋</w:t>
      </w:r>
      <w:r>
        <w:rPr>
          <w:rFonts w:hint="eastAsia" w:ascii="方正小标宋_GBK" w:hAnsi="方正小标宋_GBK" w:eastAsia="方正小标宋_GBK" w:cs="方正小标宋_GBK"/>
          <w:color w:val="000000" w:themeColor="text1"/>
          <w:sz w:val="52"/>
          <w:szCs w:val="52"/>
          <w:lang w:val="en-US" w:eastAsia="zh-CN"/>
          <w14:textFill>
            <w14:solidFill>
              <w14:schemeClr w14:val="tx1"/>
            </w14:solidFill>
          </w14:textFill>
        </w:rPr>
        <w:t>经济发展</w:t>
      </w:r>
      <w:r>
        <w:rPr>
          <w:rFonts w:hint="eastAsia" w:ascii="方正小标宋_GBK" w:hAnsi="方正小标宋_GBK" w:eastAsia="方正小标宋_GBK" w:cs="方正小标宋_GBK"/>
          <w:color w:val="000000" w:themeColor="text1"/>
          <w:sz w:val="52"/>
          <w:szCs w:val="52"/>
          <w14:textFill>
            <w14:solidFill>
              <w14:schemeClr w14:val="tx1"/>
            </w14:solidFill>
          </w14:textFill>
        </w:rPr>
        <w:t>“十五五”规划</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298C7F47">
      <w:pPr>
        <w:keepNext w:val="0"/>
        <w:keepLines w:val="0"/>
        <w:pageBreakBefore w:val="0"/>
        <w:widowControl w:val="0"/>
        <w:kinsoku/>
        <w:wordWrap/>
        <w:overflowPunct/>
        <w:topLinePunct w:val="0"/>
        <w:autoSpaceDE/>
        <w:autoSpaceDN/>
        <w:bidi w:val="0"/>
        <w:adjustRightInd/>
        <w:snapToGrid/>
        <w:spacing w:before="590" w:beforeLines="100" w:after="590" w:afterLines="100" w:line="240" w:lineRule="auto"/>
        <w:jc w:val="center"/>
        <w:textAlignment w:val="center"/>
        <w:outlineLvl w:val="9"/>
        <w:rPr>
          <w:rFonts w:hint="eastAsia" w:ascii="方正小标宋_GBK" w:hAnsi="方正小标宋_GBK" w:eastAsia="方正小标宋_GBK" w:cs="方正小标宋_GBK"/>
          <w:color w:val="000000" w:themeColor="text1"/>
          <w:sz w:val="52"/>
          <w:szCs w:val="52"/>
          <w:lang w:eastAsia="zh-CN"/>
          <w14:textFill>
            <w14:solidFill>
              <w14:schemeClr w14:val="tx1"/>
            </w14:solidFill>
          </w14:textFill>
        </w:rPr>
      </w:pPr>
      <w:bookmarkStart w:id="33" w:name="_Toc11051"/>
      <w:bookmarkStart w:id="34" w:name="_Toc25140"/>
      <w:bookmarkStart w:id="35" w:name="_Toc30078"/>
      <w:bookmarkStart w:id="36" w:name="_Toc25125"/>
      <w:bookmarkStart w:id="37" w:name="_Toc14002"/>
      <w:bookmarkStart w:id="38" w:name="_Toc24063"/>
      <w:bookmarkStart w:id="39" w:name="_Toc18300"/>
      <w:bookmarkStart w:id="40" w:name="_Toc19889"/>
      <w:bookmarkStart w:id="41" w:name="_Toc20756"/>
      <w:bookmarkStart w:id="42" w:name="_Toc13151"/>
      <w:bookmarkStart w:id="43" w:name="_Toc5918"/>
      <w:bookmarkStart w:id="44" w:name="_Toc15863"/>
      <w:bookmarkStart w:id="45" w:name="_Toc11448"/>
      <w:bookmarkStart w:id="46" w:name="_Toc31784"/>
      <w:bookmarkStart w:id="47" w:name="_Toc16874"/>
      <w:bookmarkStart w:id="48" w:name="_Toc1015"/>
      <w:bookmarkStart w:id="49" w:name="_Toc6054"/>
      <w:bookmarkStart w:id="50" w:name="_Toc6055"/>
      <w:bookmarkStart w:id="51" w:name="_Toc19654"/>
      <w:bookmarkStart w:id="52" w:name="_Toc17816"/>
      <w:bookmarkStart w:id="53" w:name="_Toc29698"/>
      <w:bookmarkStart w:id="54" w:name="_Toc10589"/>
      <w:bookmarkStart w:id="55" w:name="_Toc6771"/>
      <w:bookmarkStart w:id="56" w:name="_Toc27880"/>
      <w:bookmarkStart w:id="57" w:name="_Toc28526"/>
      <w:bookmarkStart w:id="58" w:name="_Toc15735"/>
      <w:bookmarkStart w:id="59" w:name="_Toc16006"/>
      <w:bookmarkStart w:id="60" w:name="_Toc5983"/>
      <w:bookmarkStart w:id="61" w:name="_Toc870"/>
      <w:bookmarkStart w:id="62" w:name="_Toc27487"/>
      <w:bookmarkStart w:id="63" w:name="_Toc26047"/>
      <w:bookmarkStart w:id="64" w:name="_Toc31543"/>
      <w:bookmarkStart w:id="65" w:name="_Toc20153"/>
      <w:r>
        <w:rPr>
          <w:rFonts w:hint="eastAsia" w:ascii="方正小标宋_GBK" w:hAnsi="方正小标宋_GBK" w:eastAsia="方正小标宋_GBK" w:cs="方正小标宋_GBK"/>
          <w:color w:val="000000" w:themeColor="text1"/>
          <w:sz w:val="52"/>
          <w:szCs w:val="52"/>
          <w:lang w:eastAsia="zh-CN"/>
          <w14:textFill>
            <w14:solidFill>
              <w14:schemeClr w14:val="tx1"/>
            </w14:solidFill>
          </w14:textFill>
        </w:rPr>
        <w:t>（</w:t>
      </w:r>
      <w:r>
        <w:rPr>
          <w:rFonts w:hint="eastAsia" w:ascii="方正小标宋_GBK" w:hAnsi="方正小标宋_GBK" w:eastAsia="方正小标宋_GBK" w:cs="方正小标宋_GBK"/>
          <w:color w:val="000000" w:themeColor="text1"/>
          <w:sz w:val="52"/>
          <w:szCs w:val="52"/>
          <w:lang w:val="en-US" w:eastAsia="zh-CN"/>
          <w14:textFill>
            <w14:solidFill>
              <w14:schemeClr w14:val="tx1"/>
            </w14:solidFill>
          </w14:textFill>
        </w:rPr>
        <w:t>征求意见稿</w:t>
      </w:r>
      <w:r>
        <w:rPr>
          <w:rFonts w:hint="eastAsia" w:ascii="方正小标宋_GBK" w:hAnsi="方正小标宋_GBK" w:eastAsia="方正小标宋_GBK" w:cs="方正小标宋_GBK"/>
          <w:color w:val="000000" w:themeColor="text1"/>
          <w:sz w:val="52"/>
          <w:szCs w:val="52"/>
          <w:lang w:eastAsia="zh-CN"/>
          <w14:textFill>
            <w14:solidFill>
              <w14:schemeClr w14:val="tx1"/>
            </w14:solidFill>
          </w14:textFill>
        </w:rPr>
        <w:t>）</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11ACC8E5">
      <w:pPr>
        <w:rPr>
          <w:rFonts w:hint="eastAsia" w:ascii="黑体" w:hAnsi="黑体" w:eastAsia="黑体" w:cs="黑体"/>
          <w:b w:val="0"/>
          <w:bCs w:val="0"/>
          <w:color w:val="000000" w:themeColor="text1"/>
          <w:sz w:val="32"/>
          <w:szCs w:val="32"/>
          <w:u w:val="none"/>
          <w:lang w:val="en-US" w:eastAsia="zh-CN"/>
          <w14:textFill>
            <w14:solidFill>
              <w14:schemeClr w14:val="tx1"/>
            </w14:solidFill>
          </w14:textFill>
        </w:rPr>
      </w:pPr>
    </w:p>
    <w:p w14:paraId="1681B775">
      <w:pPr>
        <w:rPr>
          <w:rFonts w:hint="eastAsia" w:ascii="黑体" w:hAnsi="黑体" w:eastAsia="黑体" w:cs="黑体"/>
          <w:b w:val="0"/>
          <w:bCs w:val="0"/>
          <w:color w:val="000000" w:themeColor="text1"/>
          <w:sz w:val="32"/>
          <w:szCs w:val="32"/>
          <w:u w:val="none"/>
          <w:lang w:val="en-US" w:eastAsia="zh-CN"/>
          <w14:textFill>
            <w14:solidFill>
              <w14:schemeClr w14:val="tx1"/>
            </w14:solidFill>
          </w14:textFill>
        </w:rPr>
      </w:pPr>
    </w:p>
    <w:p w14:paraId="4730ADD5">
      <w:pPr>
        <w:rPr>
          <w:rFonts w:hint="eastAsia" w:ascii="黑体" w:hAnsi="黑体" w:eastAsia="黑体" w:cs="黑体"/>
          <w:b w:val="0"/>
          <w:bCs w:val="0"/>
          <w:color w:val="000000" w:themeColor="text1"/>
          <w:sz w:val="32"/>
          <w:szCs w:val="32"/>
          <w:u w:val="none"/>
          <w:lang w:val="en-US" w:eastAsia="zh-CN"/>
          <w14:textFill>
            <w14:solidFill>
              <w14:schemeClr w14:val="tx1"/>
            </w14:solidFill>
          </w14:textFill>
        </w:rPr>
      </w:pPr>
    </w:p>
    <w:p w14:paraId="6219AA20">
      <w:pPr>
        <w:rPr>
          <w:rFonts w:hint="eastAsia" w:ascii="黑体" w:hAnsi="黑体" w:eastAsia="黑体" w:cs="黑体"/>
          <w:b w:val="0"/>
          <w:bCs w:val="0"/>
          <w:color w:val="000000" w:themeColor="text1"/>
          <w:sz w:val="32"/>
          <w:szCs w:val="32"/>
          <w:u w:val="none"/>
          <w:lang w:val="en-US" w:eastAsia="zh-CN"/>
          <w14:textFill>
            <w14:solidFill>
              <w14:schemeClr w14:val="tx1"/>
            </w14:solidFill>
          </w14:textFill>
        </w:rPr>
      </w:pPr>
    </w:p>
    <w:p w14:paraId="7570AB87">
      <w:pPr>
        <w:rPr>
          <w:rFonts w:hint="eastAsia" w:ascii="黑体" w:hAnsi="黑体" w:eastAsia="黑体" w:cs="黑体"/>
          <w:b w:val="0"/>
          <w:bCs w:val="0"/>
          <w:color w:val="000000" w:themeColor="text1"/>
          <w:sz w:val="32"/>
          <w:szCs w:val="32"/>
          <w:u w:val="none"/>
          <w:lang w:val="en-US" w:eastAsia="zh-CN"/>
          <w14:textFill>
            <w14:solidFill>
              <w14:schemeClr w14:val="tx1"/>
            </w14:solidFill>
          </w14:textFill>
        </w:rPr>
      </w:pPr>
    </w:p>
    <w:p w14:paraId="6256376C">
      <w:pPr>
        <w:rPr>
          <w:rFonts w:hint="eastAsia" w:ascii="黑体" w:hAnsi="黑体" w:eastAsia="黑体" w:cs="黑体"/>
          <w:b w:val="0"/>
          <w:bCs w:val="0"/>
          <w:color w:val="000000" w:themeColor="text1"/>
          <w:sz w:val="32"/>
          <w:szCs w:val="32"/>
          <w:u w:val="none"/>
          <w:lang w:val="en-US" w:eastAsia="zh-CN"/>
          <w14:textFill>
            <w14:solidFill>
              <w14:schemeClr w14:val="tx1"/>
            </w14:solidFill>
          </w14:textFill>
        </w:rPr>
      </w:pPr>
    </w:p>
    <w:p w14:paraId="5EC1A8A8">
      <w:pPr>
        <w:rPr>
          <w:rFonts w:hint="eastAsia" w:ascii="黑体" w:hAnsi="黑体" w:eastAsia="黑体" w:cs="黑体"/>
          <w:b w:val="0"/>
          <w:bCs w:val="0"/>
          <w:color w:val="000000" w:themeColor="text1"/>
          <w:sz w:val="32"/>
          <w:szCs w:val="32"/>
          <w:u w:val="none"/>
          <w:lang w:val="en-US" w:eastAsia="zh-CN"/>
          <w14:textFill>
            <w14:solidFill>
              <w14:schemeClr w14:val="tx1"/>
            </w14:solidFill>
          </w14:textFill>
        </w:rPr>
      </w:pPr>
    </w:p>
    <w:p w14:paraId="2EE4FA50">
      <w:pPr>
        <w:rPr>
          <w:rFonts w:hint="eastAsia" w:ascii="黑体" w:hAnsi="黑体" w:eastAsia="黑体" w:cs="黑体"/>
          <w:b w:val="0"/>
          <w:bCs w:val="0"/>
          <w:color w:val="000000" w:themeColor="text1"/>
          <w:sz w:val="32"/>
          <w:szCs w:val="32"/>
          <w:u w:val="none"/>
          <w:lang w:val="en-US" w:eastAsia="zh-CN"/>
          <w14:textFill>
            <w14:solidFill>
              <w14:schemeClr w14:val="tx1"/>
            </w14:solidFill>
          </w14:textFill>
        </w:rPr>
      </w:pPr>
    </w:p>
    <w:p w14:paraId="59D5C7FB">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黑体" w:hAnsi="黑体" w:eastAsia="黑体" w:cs="黑体"/>
          <w:b w:val="0"/>
          <w:bCs w:val="0"/>
          <w:color w:val="000000" w:themeColor="text1"/>
          <w:sz w:val="36"/>
          <w:szCs w:val="36"/>
          <w:u w:val="none"/>
          <w:lang w:val="en-US" w:eastAsia="zh-CN"/>
          <w14:textFill>
            <w14:solidFill>
              <w14:schemeClr w14:val="tx1"/>
            </w14:solidFill>
          </w14:textFill>
        </w:rPr>
      </w:pPr>
    </w:p>
    <w:p w14:paraId="37822360">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黑体" w:hAnsi="黑体" w:eastAsia="黑体" w:cs="黑体"/>
          <w:b w:val="0"/>
          <w:bCs w:val="0"/>
          <w:color w:val="000000" w:themeColor="text1"/>
          <w:sz w:val="36"/>
          <w:szCs w:val="36"/>
          <w:u w:val="none"/>
          <w:lang w:val="en-US" w:eastAsia="zh-CN"/>
          <w14:textFill>
            <w14:solidFill>
              <w14:schemeClr w14:val="tx1"/>
            </w14:solidFill>
          </w14:textFill>
        </w:rPr>
      </w:pPr>
      <w:r>
        <w:rPr>
          <w:rFonts w:hint="eastAsia" w:ascii="黑体" w:hAnsi="黑体" w:eastAsia="黑体" w:cs="黑体"/>
          <w:b w:val="0"/>
          <w:bCs w:val="0"/>
          <w:color w:val="000000" w:themeColor="text1"/>
          <w:sz w:val="36"/>
          <w:szCs w:val="36"/>
          <w:u w:val="none"/>
          <w:lang w:val="en-US" w:eastAsia="zh-CN"/>
          <w14:textFill>
            <w14:solidFill>
              <w14:schemeClr w14:val="tx1"/>
            </w14:solidFill>
          </w14:textFill>
        </w:rPr>
        <w:t>揭阳市自然资源局</w:t>
      </w:r>
    </w:p>
    <w:p w14:paraId="0D9DBAB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黑体" w:hAnsi="黑体" w:eastAsia="黑体" w:cs="黑体"/>
          <w:b w:val="0"/>
          <w:bCs w:val="0"/>
          <w:color w:val="000000" w:themeColor="text1"/>
          <w:sz w:val="36"/>
          <w:szCs w:val="36"/>
          <w:u w:val="none"/>
          <w:lang w:val="en-US" w:eastAsia="zh-CN"/>
          <w14:textFill>
            <w14:solidFill>
              <w14:schemeClr w14:val="tx1"/>
            </w14:solidFill>
          </w14:textFill>
        </w:rPr>
      </w:pPr>
      <w:r>
        <w:rPr>
          <w:rFonts w:hint="eastAsia" w:ascii="黑体" w:hAnsi="黑体" w:eastAsia="黑体" w:cs="黑体"/>
          <w:b w:val="0"/>
          <w:bCs w:val="0"/>
          <w:color w:val="000000" w:themeColor="text1"/>
          <w:sz w:val="36"/>
          <w:szCs w:val="36"/>
          <w:u w:val="none"/>
          <w:lang w:val="en-US" w:eastAsia="zh-CN"/>
          <w14:textFill>
            <w14:solidFill>
              <w14:schemeClr w14:val="tx1"/>
            </w14:solidFill>
          </w14:textFill>
        </w:rPr>
        <w:t>2026年9月</w:t>
      </w:r>
    </w:p>
    <w:p w14:paraId="4A2F319D">
      <w:pPr>
        <w:rPr>
          <w:rFonts w:hint="eastAsia" w:ascii="黑体" w:hAnsi="黑体" w:eastAsia="黑体" w:cs="黑体"/>
          <w:b w:val="0"/>
          <w:bCs w:val="0"/>
          <w:color w:val="000000" w:themeColor="text1"/>
          <w:sz w:val="32"/>
          <w:szCs w:val="32"/>
          <w:u w:val="none"/>
          <w:lang w:val="en-US" w:eastAsia="zh-CN"/>
          <w14:textFill>
            <w14:solidFill>
              <w14:schemeClr w14:val="tx1"/>
            </w14:solidFill>
          </w14:textFill>
        </w:rPr>
      </w:pPr>
    </w:p>
    <w:p w14:paraId="330B9629">
      <w:pPr>
        <w:rPr>
          <w:rFonts w:hint="eastAsia" w:ascii="黑体" w:hAnsi="黑体" w:eastAsia="黑体" w:cs="黑体"/>
          <w:b w:val="0"/>
          <w:bCs w:val="0"/>
          <w:color w:val="000000" w:themeColor="text1"/>
          <w:sz w:val="32"/>
          <w:szCs w:val="32"/>
          <w:u w:val="none"/>
          <w:lang w:val="en-US" w:eastAsia="zh-CN"/>
          <w14:textFill>
            <w14:solidFill>
              <w14:schemeClr w14:val="tx1"/>
            </w14:solidFill>
          </w14:textFill>
        </w:rPr>
      </w:pPr>
    </w:p>
    <w:p w14:paraId="6BC61EF2">
      <w:pPr>
        <w:jc w:val="center"/>
        <w:rPr>
          <w:rFonts w:hint="eastAsia" w:ascii="方正公文小标宋" w:hAnsi="方正公文小标宋" w:eastAsia="方正公文小标宋" w:cs="方正公文小标宋"/>
          <w:color w:val="000000" w:themeColor="text1"/>
          <w:sz w:val="36"/>
          <w:szCs w:val="36"/>
          <w:lang w:val="en-US" w:eastAsia="zh-CN"/>
          <w14:textFill>
            <w14:solidFill>
              <w14:schemeClr w14:val="tx1"/>
            </w14:solidFill>
          </w14:textFill>
        </w:rPr>
        <w:sectPr>
          <w:headerReference r:id="rId3" w:type="default"/>
          <w:footerReference r:id="rId5" w:type="default"/>
          <w:headerReference r:id="rId4" w:type="even"/>
          <w:footerReference r:id="rId6" w:type="even"/>
          <w:pgSz w:w="11906" w:h="16838"/>
          <w:pgMar w:top="1985" w:right="1616" w:bottom="1814" w:left="1616" w:header="851" w:footer="1474" w:gutter="0"/>
          <w:pgBorders>
            <w:top w:val="none" w:sz="0" w:space="0"/>
            <w:left w:val="none" w:sz="0" w:space="0"/>
            <w:bottom w:val="none" w:sz="0" w:space="0"/>
            <w:right w:val="none" w:sz="0" w:space="0"/>
          </w:pgBorders>
          <w:pgNumType w:fmt="upperRoman" w:start="1"/>
          <w:cols w:space="720" w:num="1"/>
          <w:docGrid w:type="lines" w:linePitch="588" w:charSpace="0"/>
        </w:sectPr>
      </w:pPr>
      <w:bookmarkStart w:id="66" w:name="_Toc8562"/>
      <w:bookmarkStart w:id="67" w:name="_Toc15858"/>
    </w:p>
    <w:p w14:paraId="6670EC0A">
      <w:pPr>
        <w:spacing w:before="0" w:beforeLines="0" w:after="296" w:afterLines="50" w:line="580" w:lineRule="exact"/>
        <w:ind w:left="0" w:leftChars="0" w:right="0" w:rightChars="0" w:firstLine="0" w:firstLineChars="0"/>
        <w:jc w:val="center"/>
        <w:rPr>
          <w:rFonts w:hint="eastAsia" w:ascii="方正公文小标宋" w:hAnsi="方正公文小标宋" w:eastAsia="方正公文小标宋" w:cs="方正公文小标宋"/>
          <w:color w:val="000000" w:themeColor="text1"/>
          <w:sz w:val="44"/>
          <w:szCs w:val="44"/>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目</w:t>
      </w:r>
      <w:r>
        <w:rPr>
          <w:rFonts w:hint="eastAsia" w:ascii="方正公文小标宋" w:hAnsi="方正公文小标宋" w:eastAsia="方正公文小标宋" w:cs="方正公文小标宋"/>
          <w:color w:val="000000" w:themeColor="text1"/>
          <w:sz w:val="44"/>
          <w:szCs w:val="44"/>
          <w:lang w:val="en-US" w:eastAsia="zh-CN"/>
          <w14:textFill>
            <w14:solidFill>
              <w14:schemeClr w14:val="tx1"/>
            </w14:solidFill>
          </w14:textFill>
        </w:rPr>
        <w:t xml:space="preserve"> </w:t>
      </w: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录</w:t>
      </w:r>
    </w:p>
    <w:p w14:paraId="5A9A79C9">
      <w:pPr>
        <w:pStyle w:val="11"/>
        <w:tabs>
          <w:tab w:val="right" w:leader="dot" w:pos="8674"/>
          <w:tab w:val="clear" w:pos="8664"/>
        </w:tabs>
        <w:spacing w:line="800" w:lineRule="exact"/>
        <w:rPr>
          <w:sz w:val="32"/>
          <w:szCs w:val="32"/>
        </w:rPr>
      </w:pP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instrText xml:space="preserve">TOC \o "1-2" \h \u </w:instrText>
      </w: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fldChar w:fldCharType="separate"/>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_Toc25928 </w:instrText>
      </w:r>
      <w:r>
        <w:rPr>
          <w:rFonts w:hint="eastAsia" w:ascii="宋体" w:hAnsi="宋体" w:eastAsia="宋体" w:cs="宋体"/>
          <w:bCs w:val="0"/>
          <w:sz w:val="32"/>
          <w:szCs w:val="32"/>
          <w:lang w:val="en-US" w:eastAsia="zh-CN"/>
        </w:rPr>
        <w:fldChar w:fldCharType="separate"/>
      </w:r>
      <w:r>
        <w:rPr>
          <w:rFonts w:hint="eastAsia" w:ascii="Times New Roman" w:hAnsi="Times New Roman" w:eastAsia="黑体" w:cs="Times New Roman"/>
          <w:bCs w:val="0"/>
          <w:sz w:val="32"/>
          <w:szCs w:val="32"/>
          <w:highlight w:val="none"/>
          <w:lang w:val="en-US" w:eastAsia="zh-CN"/>
        </w:rPr>
        <w:t>一</w:t>
      </w:r>
      <w:r>
        <w:rPr>
          <w:rFonts w:hint="default" w:ascii="Times New Roman" w:hAnsi="Times New Roman" w:eastAsia="黑体" w:cs="Times New Roman"/>
          <w:bCs w:val="0"/>
          <w:sz w:val="32"/>
          <w:szCs w:val="32"/>
          <w:highlight w:val="none"/>
          <w:lang w:val="en-US" w:eastAsia="zh-CN"/>
        </w:rPr>
        <w:t>、总体要求</w:t>
      </w:r>
      <w:r>
        <w:rPr>
          <w:sz w:val="32"/>
          <w:szCs w:val="32"/>
        </w:rPr>
        <w:tab/>
      </w:r>
      <w:r>
        <w:rPr>
          <w:sz w:val="32"/>
          <w:szCs w:val="32"/>
        </w:rPr>
        <w:fldChar w:fldCharType="begin"/>
      </w:r>
      <w:r>
        <w:rPr>
          <w:sz w:val="32"/>
          <w:szCs w:val="32"/>
        </w:rPr>
        <w:instrText xml:space="preserve"> PAGEREF _Toc25928 \h </w:instrText>
      </w:r>
      <w:r>
        <w:rPr>
          <w:sz w:val="32"/>
          <w:szCs w:val="32"/>
        </w:rPr>
        <w:fldChar w:fldCharType="separate"/>
      </w:r>
      <w:r>
        <w:rPr>
          <w:sz w:val="32"/>
          <w:szCs w:val="32"/>
        </w:rPr>
        <w:t>1</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71616B5A">
      <w:pPr>
        <w:pStyle w:val="11"/>
        <w:tabs>
          <w:tab w:val="right" w:leader="dot" w:pos="8674"/>
          <w:tab w:val="clear" w:pos="866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_Toc8447 </w:instrText>
      </w:r>
      <w:r>
        <w:rPr>
          <w:rFonts w:hint="eastAsia" w:ascii="宋体" w:hAnsi="宋体" w:eastAsia="宋体" w:cs="宋体"/>
          <w:bCs w:val="0"/>
          <w:sz w:val="32"/>
          <w:szCs w:val="32"/>
          <w:lang w:val="en-US" w:eastAsia="zh-CN"/>
        </w:rPr>
        <w:fldChar w:fldCharType="separate"/>
      </w:r>
      <w:r>
        <w:rPr>
          <w:rFonts w:hint="eastAsia" w:ascii="Times New Roman" w:hAnsi="Times New Roman" w:eastAsia="黑体" w:cs="Times New Roman"/>
          <w:bCs w:val="0"/>
          <w:sz w:val="32"/>
          <w:szCs w:val="32"/>
          <w:highlight w:val="none"/>
          <w:lang w:val="en-US" w:eastAsia="zh-CN"/>
        </w:rPr>
        <w:t>二</w:t>
      </w:r>
      <w:r>
        <w:rPr>
          <w:rFonts w:hint="default" w:ascii="Times New Roman" w:hAnsi="Times New Roman" w:eastAsia="黑体" w:cs="Times New Roman"/>
          <w:bCs w:val="0"/>
          <w:sz w:val="32"/>
          <w:szCs w:val="32"/>
          <w:highlight w:val="none"/>
          <w:lang w:val="en-US" w:eastAsia="zh-CN"/>
        </w:rPr>
        <w:t>、</w:t>
      </w:r>
      <w:r>
        <w:rPr>
          <w:rFonts w:hint="eastAsia" w:eastAsia="黑体" w:cs="Times New Roman"/>
          <w:bCs w:val="0"/>
          <w:sz w:val="32"/>
          <w:szCs w:val="32"/>
          <w:highlight w:val="none"/>
          <w:lang w:val="en-US" w:eastAsia="zh-CN"/>
        </w:rPr>
        <w:t>拓展蓝色空间，全力打造陆海融合发展新格局</w:t>
      </w:r>
      <w:r>
        <w:rPr>
          <w:sz w:val="32"/>
          <w:szCs w:val="32"/>
        </w:rPr>
        <w:tab/>
      </w:r>
      <w:r>
        <w:rPr>
          <w:sz w:val="32"/>
          <w:szCs w:val="32"/>
        </w:rPr>
        <w:fldChar w:fldCharType="begin"/>
      </w:r>
      <w:r>
        <w:rPr>
          <w:sz w:val="32"/>
          <w:szCs w:val="32"/>
        </w:rPr>
        <w:instrText xml:space="preserve"> PAGEREF _Toc8447 \h </w:instrText>
      </w:r>
      <w:r>
        <w:rPr>
          <w:sz w:val="32"/>
          <w:szCs w:val="32"/>
        </w:rPr>
        <w:fldChar w:fldCharType="separate"/>
      </w:r>
      <w:r>
        <w:rPr>
          <w:sz w:val="32"/>
          <w:szCs w:val="32"/>
        </w:rPr>
        <w:t>3</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3999A7A6">
      <w:pPr>
        <w:pStyle w:val="11"/>
        <w:tabs>
          <w:tab w:val="right" w:leader="dot" w:pos="8674"/>
          <w:tab w:val="clear" w:pos="866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_Toc4488 </w:instrText>
      </w:r>
      <w:r>
        <w:rPr>
          <w:rFonts w:hint="eastAsia" w:ascii="宋体" w:hAnsi="宋体" w:eastAsia="宋体" w:cs="宋体"/>
          <w:bCs w:val="0"/>
          <w:sz w:val="32"/>
          <w:szCs w:val="32"/>
          <w:lang w:val="en-US" w:eastAsia="zh-CN"/>
        </w:rPr>
        <w:fldChar w:fldCharType="separate"/>
      </w:r>
      <w:r>
        <w:rPr>
          <w:rFonts w:hint="eastAsia" w:ascii="Times New Roman" w:hAnsi="Times New Roman" w:eastAsia="黑体" w:cs="Times New Roman"/>
          <w:bCs w:val="0"/>
          <w:spacing w:val="0"/>
          <w:sz w:val="32"/>
          <w:szCs w:val="32"/>
          <w:highlight w:val="none"/>
          <w:lang w:val="en-US" w:eastAsia="zh-CN"/>
        </w:rPr>
        <w:t>三、</w:t>
      </w:r>
      <w:r>
        <w:rPr>
          <w:rFonts w:hint="eastAsia" w:eastAsia="黑体" w:cs="Times New Roman"/>
          <w:bCs w:val="0"/>
          <w:spacing w:val="0"/>
          <w:sz w:val="32"/>
          <w:szCs w:val="32"/>
          <w:highlight w:val="none"/>
          <w:lang w:val="en-US" w:eastAsia="zh-CN"/>
        </w:rPr>
        <w:t>激</w:t>
      </w:r>
      <w:r>
        <w:rPr>
          <w:rFonts w:hint="eastAsia" w:ascii="Times New Roman" w:hAnsi="Times New Roman" w:eastAsia="黑体" w:cs="Times New Roman"/>
          <w:bCs w:val="0"/>
          <w:spacing w:val="0"/>
          <w:sz w:val="32"/>
          <w:szCs w:val="32"/>
          <w:highlight w:val="none"/>
          <w:lang w:val="en-US" w:eastAsia="zh-CN"/>
        </w:rPr>
        <w:t>活蓝色动力，打造具有</w:t>
      </w:r>
      <w:r>
        <w:rPr>
          <w:rFonts w:hint="eastAsia" w:eastAsia="黑体" w:cs="Times New Roman"/>
          <w:bCs w:val="0"/>
          <w:spacing w:val="0"/>
          <w:sz w:val="32"/>
          <w:szCs w:val="32"/>
          <w:highlight w:val="none"/>
          <w:lang w:val="en-US" w:eastAsia="zh-CN"/>
        </w:rPr>
        <w:t>揭阳</w:t>
      </w:r>
      <w:r>
        <w:rPr>
          <w:rFonts w:hint="eastAsia" w:ascii="Times New Roman" w:hAnsi="Times New Roman" w:eastAsia="黑体" w:cs="Times New Roman"/>
          <w:bCs w:val="0"/>
          <w:spacing w:val="0"/>
          <w:sz w:val="32"/>
          <w:szCs w:val="32"/>
          <w:highlight w:val="none"/>
          <w:lang w:val="en-US" w:eastAsia="zh-CN"/>
        </w:rPr>
        <w:t>特色的现代海洋产业体系</w:t>
      </w:r>
      <w:r>
        <w:rPr>
          <w:sz w:val="32"/>
          <w:szCs w:val="32"/>
        </w:rPr>
        <w:tab/>
      </w:r>
      <w:r>
        <w:rPr>
          <w:sz w:val="32"/>
          <w:szCs w:val="32"/>
        </w:rPr>
        <w:fldChar w:fldCharType="begin"/>
      </w:r>
      <w:r>
        <w:rPr>
          <w:sz w:val="32"/>
          <w:szCs w:val="32"/>
        </w:rPr>
        <w:instrText xml:space="preserve"> PAGEREF _Toc4488 \h </w:instrText>
      </w:r>
      <w:r>
        <w:rPr>
          <w:sz w:val="32"/>
          <w:szCs w:val="32"/>
        </w:rPr>
        <w:fldChar w:fldCharType="separate"/>
      </w:r>
      <w:r>
        <w:rPr>
          <w:sz w:val="32"/>
          <w:szCs w:val="32"/>
        </w:rPr>
        <w:t>6</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0968CE5B">
      <w:pPr>
        <w:pStyle w:val="13"/>
        <w:tabs>
          <w:tab w:val="right" w:leader="dot" w:pos="867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_Toc7958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kern w:val="2"/>
          <w:sz w:val="32"/>
          <w:szCs w:val="32"/>
          <w:lang w:val="en-US" w:eastAsia="zh-CN" w:bidi="ar"/>
        </w:rPr>
        <w:t>（一）推动海洋传统产业绿色高端化发展</w:t>
      </w:r>
      <w:r>
        <w:rPr>
          <w:sz w:val="32"/>
          <w:szCs w:val="32"/>
        </w:rPr>
        <w:tab/>
      </w:r>
      <w:r>
        <w:rPr>
          <w:sz w:val="32"/>
          <w:szCs w:val="32"/>
        </w:rPr>
        <w:fldChar w:fldCharType="begin"/>
      </w:r>
      <w:r>
        <w:rPr>
          <w:sz w:val="32"/>
          <w:szCs w:val="32"/>
        </w:rPr>
        <w:instrText xml:space="preserve"> PAGEREF _Toc7958 \h </w:instrText>
      </w:r>
      <w:r>
        <w:rPr>
          <w:sz w:val="32"/>
          <w:szCs w:val="32"/>
        </w:rPr>
        <w:fldChar w:fldCharType="separate"/>
      </w:r>
      <w:r>
        <w:rPr>
          <w:sz w:val="32"/>
          <w:szCs w:val="32"/>
        </w:rPr>
        <w:t>6</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291AF3EC">
      <w:pPr>
        <w:pStyle w:val="13"/>
        <w:tabs>
          <w:tab w:val="right" w:leader="dot" w:pos="867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_Toc14943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kern w:val="2"/>
          <w:sz w:val="32"/>
          <w:szCs w:val="32"/>
          <w:lang w:val="en-US" w:eastAsia="zh-CN" w:bidi="ar"/>
        </w:rPr>
        <w:t>（二）培育壮大海洋新兴产业和未来产业</w:t>
      </w:r>
      <w:r>
        <w:rPr>
          <w:sz w:val="32"/>
          <w:szCs w:val="32"/>
        </w:rPr>
        <w:tab/>
      </w:r>
      <w:r>
        <w:rPr>
          <w:sz w:val="32"/>
          <w:szCs w:val="32"/>
        </w:rPr>
        <w:fldChar w:fldCharType="begin"/>
      </w:r>
      <w:r>
        <w:rPr>
          <w:sz w:val="32"/>
          <w:szCs w:val="32"/>
        </w:rPr>
        <w:instrText xml:space="preserve"> PAGEREF _Toc14943 \h </w:instrText>
      </w:r>
      <w:r>
        <w:rPr>
          <w:sz w:val="32"/>
          <w:szCs w:val="32"/>
        </w:rPr>
        <w:fldChar w:fldCharType="separate"/>
      </w:r>
      <w:r>
        <w:rPr>
          <w:sz w:val="32"/>
          <w:szCs w:val="32"/>
        </w:rPr>
        <w:t>8</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65A255E9">
      <w:pPr>
        <w:pStyle w:val="13"/>
        <w:tabs>
          <w:tab w:val="right" w:leader="dot" w:pos="867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_Toc14427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kern w:val="2"/>
          <w:sz w:val="32"/>
          <w:szCs w:val="32"/>
          <w:lang w:val="en-US" w:eastAsia="zh-CN" w:bidi="ar"/>
        </w:rPr>
        <w:t>（三）提升现代海洋服务业能级</w:t>
      </w:r>
      <w:r>
        <w:rPr>
          <w:sz w:val="32"/>
          <w:szCs w:val="32"/>
        </w:rPr>
        <w:tab/>
      </w:r>
      <w:r>
        <w:rPr>
          <w:sz w:val="32"/>
          <w:szCs w:val="32"/>
        </w:rPr>
        <w:fldChar w:fldCharType="begin"/>
      </w:r>
      <w:r>
        <w:rPr>
          <w:sz w:val="32"/>
          <w:szCs w:val="32"/>
        </w:rPr>
        <w:instrText xml:space="preserve"> PAGEREF _Toc14427 \h </w:instrText>
      </w:r>
      <w:r>
        <w:rPr>
          <w:sz w:val="32"/>
          <w:szCs w:val="32"/>
        </w:rPr>
        <w:fldChar w:fldCharType="separate"/>
      </w:r>
      <w:r>
        <w:rPr>
          <w:sz w:val="32"/>
          <w:szCs w:val="32"/>
        </w:rPr>
        <w:t>10</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1E23EBE7">
      <w:pPr>
        <w:pStyle w:val="11"/>
        <w:tabs>
          <w:tab w:val="right" w:leader="dot" w:pos="8674"/>
          <w:tab w:val="clear" w:pos="866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_Toc15314 </w:instrText>
      </w:r>
      <w:r>
        <w:rPr>
          <w:rFonts w:hint="eastAsia" w:ascii="宋体" w:hAnsi="宋体" w:eastAsia="宋体" w:cs="宋体"/>
          <w:bCs w:val="0"/>
          <w:sz w:val="32"/>
          <w:szCs w:val="32"/>
          <w:lang w:val="en-US" w:eastAsia="zh-CN"/>
        </w:rPr>
        <w:fldChar w:fldCharType="separate"/>
      </w:r>
      <w:r>
        <w:rPr>
          <w:rFonts w:hint="eastAsia" w:eastAsia="黑体" w:cs="Times New Roman"/>
          <w:bCs w:val="0"/>
          <w:spacing w:val="0"/>
          <w:sz w:val="32"/>
          <w:szCs w:val="32"/>
          <w:highlight w:val="none"/>
          <w:lang w:val="en-US" w:eastAsia="zh-CN"/>
        </w:rPr>
        <w:t>四、做强蓝色引擎，建设粤东海洋科技创新高地</w:t>
      </w:r>
      <w:r>
        <w:rPr>
          <w:sz w:val="32"/>
          <w:szCs w:val="32"/>
        </w:rPr>
        <w:tab/>
      </w:r>
      <w:r>
        <w:rPr>
          <w:sz w:val="32"/>
          <w:szCs w:val="32"/>
        </w:rPr>
        <w:fldChar w:fldCharType="begin"/>
      </w:r>
      <w:r>
        <w:rPr>
          <w:sz w:val="32"/>
          <w:szCs w:val="32"/>
        </w:rPr>
        <w:instrText xml:space="preserve"> PAGEREF _Toc15314 \h </w:instrText>
      </w:r>
      <w:r>
        <w:rPr>
          <w:sz w:val="32"/>
          <w:szCs w:val="32"/>
        </w:rPr>
        <w:fldChar w:fldCharType="separate"/>
      </w:r>
      <w:r>
        <w:rPr>
          <w:sz w:val="32"/>
          <w:szCs w:val="32"/>
        </w:rPr>
        <w:t>12</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507D8599">
      <w:pPr>
        <w:pStyle w:val="13"/>
        <w:tabs>
          <w:tab w:val="right" w:leader="dot" w:pos="867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_Toc12887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kern w:val="2"/>
          <w:sz w:val="32"/>
          <w:szCs w:val="32"/>
          <w:lang w:val="en-US" w:eastAsia="zh-CN" w:bidi="ar"/>
          <w:woUserID w:val="0"/>
        </w:rPr>
        <w:t>（一）加强海洋科技创新平台建设</w:t>
      </w:r>
      <w:r>
        <w:rPr>
          <w:sz w:val="32"/>
          <w:szCs w:val="32"/>
        </w:rPr>
        <w:tab/>
      </w:r>
      <w:r>
        <w:rPr>
          <w:sz w:val="32"/>
          <w:szCs w:val="32"/>
        </w:rPr>
        <w:fldChar w:fldCharType="begin"/>
      </w:r>
      <w:r>
        <w:rPr>
          <w:sz w:val="32"/>
          <w:szCs w:val="32"/>
        </w:rPr>
        <w:instrText xml:space="preserve"> PAGEREF _Toc12887 \h </w:instrText>
      </w:r>
      <w:r>
        <w:rPr>
          <w:sz w:val="32"/>
          <w:szCs w:val="32"/>
        </w:rPr>
        <w:fldChar w:fldCharType="separate"/>
      </w:r>
      <w:r>
        <w:rPr>
          <w:sz w:val="32"/>
          <w:szCs w:val="32"/>
        </w:rPr>
        <w:t>12</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76434814">
      <w:pPr>
        <w:pStyle w:val="13"/>
        <w:tabs>
          <w:tab w:val="right" w:leader="dot" w:pos="867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_Toc8313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kern w:val="2"/>
          <w:sz w:val="32"/>
          <w:szCs w:val="32"/>
          <w:lang w:val="en-US" w:eastAsia="zh-CN" w:bidi="ar"/>
          <w:woUserID w:val="0"/>
        </w:rPr>
        <w:t>（二）推动涉海科技成果转移转化</w:t>
      </w:r>
      <w:r>
        <w:rPr>
          <w:sz w:val="32"/>
          <w:szCs w:val="32"/>
        </w:rPr>
        <w:tab/>
      </w:r>
      <w:r>
        <w:rPr>
          <w:sz w:val="32"/>
          <w:szCs w:val="32"/>
        </w:rPr>
        <w:fldChar w:fldCharType="begin"/>
      </w:r>
      <w:r>
        <w:rPr>
          <w:sz w:val="32"/>
          <w:szCs w:val="32"/>
        </w:rPr>
        <w:instrText xml:space="preserve"> PAGEREF _Toc8313 \h </w:instrText>
      </w:r>
      <w:r>
        <w:rPr>
          <w:sz w:val="32"/>
          <w:szCs w:val="32"/>
        </w:rPr>
        <w:fldChar w:fldCharType="separate"/>
      </w:r>
      <w:r>
        <w:rPr>
          <w:sz w:val="32"/>
          <w:szCs w:val="32"/>
        </w:rPr>
        <w:t>13</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3329A357">
      <w:pPr>
        <w:pStyle w:val="13"/>
        <w:tabs>
          <w:tab w:val="right" w:leader="dot" w:pos="867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_Toc9137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kern w:val="2"/>
          <w:sz w:val="32"/>
          <w:szCs w:val="32"/>
          <w:lang w:val="en-US" w:eastAsia="zh-CN" w:bidi="ar"/>
          <w:woUserID w:val="0"/>
        </w:rPr>
        <w:t>（三）提高涉海企业自主创新能力</w:t>
      </w:r>
      <w:r>
        <w:rPr>
          <w:sz w:val="32"/>
          <w:szCs w:val="32"/>
        </w:rPr>
        <w:tab/>
      </w:r>
      <w:r>
        <w:rPr>
          <w:sz w:val="32"/>
          <w:szCs w:val="32"/>
        </w:rPr>
        <w:fldChar w:fldCharType="begin"/>
      </w:r>
      <w:r>
        <w:rPr>
          <w:sz w:val="32"/>
          <w:szCs w:val="32"/>
        </w:rPr>
        <w:instrText xml:space="preserve"> PAGEREF _Toc9137 \h </w:instrText>
      </w:r>
      <w:r>
        <w:rPr>
          <w:sz w:val="32"/>
          <w:szCs w:val="32"/>
        </w:rPr>
        <w:fldChar w:fldCharType="separate"/>
      </w:r>
      <w:r>
        <w:rPr>
          <w:sz w:val="32"/>
          <w:szCs w:val="32"/>
        </w:rPr>
        <w:t>13</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4D946000">
      <w:pPr>
        <w:pStyle w:val="11"/>
        <w:tabs>
          <w:tab w:val="right" w:leader="dot" w:pos="8674"/>
          <w:tab w:val="clear" w:pos="866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_Toc10530 </w:instrText>
      </w:r>
      <w:r>
        <w:rPr>
          <w:rFonts w:hint="eastAsia" w:ascii="宋体" w:hAnsi="宋体" w:eastAsia="宋体" w:cs="宋体"/>
          <w:bCs w:val="0"/>
          <w:sz w:val="32"/>
          <w:szCs w:val="32"/>
          <w:lang w:val="en-US" w:eastAsia="zh-CN"/>
        </w:rPr>
        <w:fldChar w:fldCharType="separate"/>
      </w:r>
      <w:r>
        <w:rPr>
          <w:rFonts w:hint="eastAsia" w:eastAsia="黑体" w:cs="Times New Roman"/>
          <w:bCs w:val="0"/>
          <w:spacing w:val="0"/>
          <w:sz w:val="32"/>
          <w:szCs w:val="32"/>
          <w:highlight w:val="none"/>
          <w:lang w:val="en-US" w:eastAsia="zh-CN"/>
        </w:rPr>
        <w:t>五</w:t>
      </w:r>
      <w:r>
        <w:rPr>
          <w:rFonts w:hint="eastAsia" w:ascii="Times New Roman" w:hAnsi="Times New Roman" w:eastAsia="黑体" w:cs="Times New Roman"/>
          <w:bCs w:val="0"/>
          <w:spacing w:val="0"/>
          <w:sz w:val="32"/>
          <w:szCs w:val="32"/>
          <w:highlight w:val="none"/>
          <w:lang w:val="en-US" w:eastAsia="zh-CN"/>
        </w:rPr>
        <w:t>、守护 "蓝色家园"，绘就人海和谐美丽海湾新画卷</w:t>
      </w:r>
      <w:r>
        <w:rPr>
          <w:sz w:val="32"/>
          <w:szCs w:val="32"/>
        </w:rPr>
        <w:tab/>
      </w:r>
      <w:r>
        <w:rPr>
          <w:sz w:val="32"/>
          <w:szCs w:val="32"/>
        </w:rPr>
        <w:fldChar w:fldCharType="begin"/>
      </w:r>
      <w:r>
        <w:rPr>
          <w:sz w:val="32"/>
          <w:szCs w:val="32"/>
        </w:rPr>
        <w:instrText xml:space="preserve"> PAGEREF _Toc10530 \h </w:instrText>
      </w:r>
      <w:r>
        <w:rPr>
          <w:sz w:val="32"/>
          <w:szCs w:val="32"/>
        </w:rPr>
        <w:fldChar w:fldCharType="separate"/>
      </w:r>
      <w:r>
        <w:rPr>
          <w:sz w:val="32"/>
          <w:szCs w:val="32"/>
        </w:rPr>
        <w:t>14</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5FE202EA">
      <w:pPr>
        <w:pStyle w:val="13"/>
        <w:tabs>
          <w:tab w:val="right" w:leader="dot" w:pos="867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_Toc17332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sz w:val="32"/>
          <w:szCs w:val="32"/>
          <w:lang w:eastAsia="zh-CN" w:bidi="ar"/>
          <w:woUserID w:val="0"/>
        </w:rPr>
        <w:t>（一）加强海洋</w:t>
      </w:r>
      <w:r>
        <w:rPr>
          <w:rFonts w:hint="eastAsia" w:ascii="方正楷体_GB2312" w:hAnsi="方正楷体_GB2312" w:eastAsia="方正楷体_GB2312" w:cs="方正楷体_GB2312"/>
          <w:bCs/>
          <w:sz w:val="32"/>
          <w:szCs w:val="32"/>
          <w:lang w:val="en-US" w:eastAsia="zh-CN" w:bidi="ar"/>
          <w:woUserID w:val="0"/>
        </w:rPr>
        <w:t>生态环境</w:t>
      </w:r>
      <w:r>
        <w:rPr>
          <w:rFonts w:hint="eastAsia" w:ascii="方正楷体_GB2312" w:hAnsi="方正楷体_GB2312" w:eastAsia="方正楷体_GB2312" w:cs="方正楷体_GB2312"/>
          <w:bCs/>
          <w:sz w:val="32"/>
          <w:szCs w:val="32"/>
          <w:lang w:eastAsia="zh-CN" w:bidi="ar"/>
          <w:woUserID w:val="0"/>
        </w:rPr>
        <w:t>综合治理</w:t>
      </w:r>
      <w:r>
        <w:rPr>
          <w:sz w:val="32"/>
          <w:szCs w:val="32"/>
        </w:rPr>
        <w:tab/>
      </w:r>
      <w:r>
        <w:rPr>
          <w:sz w:val="32"/>
          <w:szCs w:val="32"/>
        </w:rPr>
        <w:fldChar w:fldCharType="begin"/>
      </w:r>
      <w:r>
        <w:rPr>
          <w:sz w:val="32"/>
          <w:szCs w:val="32"/>
        </w:rPr>
        <w:instrText xml:space="preserve"> PAGEREF _Toc17332 \h </w:instrText>
      </w:r>
      <w:r>
        <w:rPr>
          <w:sz w:val="32"/>
          <w:szCs w:val="32"/>
        </w:rPr>
        <w:fldChar w:fldCharType="separate"/>
      </w:r>
      <w:r>
        <w:rPr>
          <w:sz w:val="32"/>
          <w:szCs w:val="32"/>
        </w:rPr>
        <w:t>14</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1EC5E573">
      <w:pPr>
        <w:pStyle w:val="13"/>
        <w:tabs>
          <w:tab w:val="right" w:leader="dot" w:pos="867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_Toc10939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sz w:val="32"/>
          <w:szCs w:val="32"/>
          <w:lang w:eastAsia="zh-CN" w:bidi="ar"/>
          <w:woUserID w:val="0"/>
        </w:rPr>
        <w:t>（二）实施海洋生态系统保护修复</w:t>
      </w:r>
      <w:r>
        <w:rPr>
          <w:sz w:val="32"/>
          <w:szCs w:val="32"/>
        </w:rPr>
        <w:tab/>
      </w:r>
      <w:r>
        <w:rPr>
          <w:sz w:val="32"/>
          <w:szCs w:val="32"/>
        </w:rPr>
        <w:fldChar w:fldCharType="begin"/>
      </w:r>
      <w:r>
        <w:rPr>
          <w:sz w:val="32"/>
          <w:szCs w:val="32"/>
        </w:rPr>
        <w:instrText xml:space="preserve"> PAGEREF _Toc10939 \h </w:instrText>
      </w:r>
      <w:r>
        <w:rPr>
          <w:sz w:val="32"/>
          <w:szCs w:val="32"/>
        </w:rPr>
        <w:fldChar w:fldCharType="separate"/>
      </w:r>
      <w:r>
        <w:rPr>
          <w:sz w:val="32"/>
          <w:szCs w:val="32"/>
        </w:rPr>
        <w:t>14</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4729B406">
      <w:pPr>
        <w:pStyle w:val="13"/>
        <w:tabs>
          <w:tab w:val="right" w:leader="dot" w:pos="8674"/>
        </w:tabs>
        <w:spacing w:line="800" w:lineRule="exact"/>
        <w:ind w:left="560" w:firstLine="0" w:firstLineChars="0"/>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_Toc27430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sz w:val="32"/>
          <w:szCs w:val="32"/>
          <w:lang w:eastAsia="zh-CN" w:bidi="ar"/>
          <w:woUserID w:val="0"/>
        </w:rPr>
        <w:t>（三）</w:t>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_Toc15445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sz w:val="32"/>
          <w:szCs w:val="32"/>
          <w:lang w:eastAsia="zh-CN" w:bidi="ar"/>
          <w:woUserID w:val="0"/>
        </w:rPr>
        <w:t>加快推进海洋生态价值转化</w:t>
      </w:r>
      <w:r>
        <w:rPr>
          <w:sz w:val="32"/>
          <w:szCs w:val="32"/>
        </w:rPr>
        <w:tab/>
      </w:r>
      <w:r>
        <w:rPr>
          <w:sz w:val="32"/>
          <w:szCs w:val="32"/>
        </w:rPr>
        <w:fldChar w:fldCharType="begin"/>
      </w:r>
      <w:r>
        <w:rPr>
          <w:sz w:val="32"/>
          <w:szCs w:val="32"/>
        </w:rPr>
        <w:instrText xml:space="preserve"> PAGEREF _Toc15445 \h </w:instrText>
      </w:r>
      <w:r>
        <w:rPr>
          <w:sz w:val="32"/>
          <w:szCs w:val="32"/>
        </w:rPr>
        <w:fldChar w:fldCharType="separate"/>
      </w:r>
      <w:r>
        <w:rPr>
          <w:sz w:val="32"/>
          <w:szCs w:val="32"/>
        </w:rPr>
        <w:t>15</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28E6E3EA">
      <w:pPr>
        <w:pStyle w:val="11"/>
        <w:tabs>
          <w:tab w:val="right" w:leader="dot" w:pos="8674"/>
          <w:tab w:val="clear" w:pos="866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_Toc30887 </w:instrText>
      </w:r>
      <w:r>
        <w:rPr>
          <w:rFonts w:hint="eastAsia" w:ascii="宋体" w:hAnsi="宋体" w:eastAsia="宋体" w:cs="宋体"/>
          <w:bCs w:val="0"/>
          <w:sz w:val="32"/>
          <w:szCs w:val="32"/>
          <w:lang w:val="en-US" w:eastAsia="zh-CN"/>
        </w:rPr>
        <w:fldChar w:fldCharType="separate"/>
      </w:r>
      <w:r>
        <w:rPr>
          <w:rFonts w:hint="eastAsia" w:ascii="Times New Roman" w:hAnsi="Times New Roman" w:eastAsia="黑体" w:cs="Times New Roman"/>
          <w:bCs w:val="0"/>
          <w:spacing w:val="0"/>
          <w:sz w:val="32"/>
          <w:szCs w:val="32"/>
          <w:highlight w:val="none"/>
          <w:lang w:val="en-US" w:eastAsia="zh"/>
        </w:rPr>
        <w:t>六</w:t>
      </w:r>
      <w:r>
        <w:rPr>
          <w:rFonts w:hint="eastAsia" w:ascii="Times New Roman" w:hAnsi="Times New Roman" w:eastAsia="黑体" w:cs="Times New Roman"/>
          <w:bCs w:val="0"/>
          <w:spacing w:val="0"/>
          <w:sz w:val="32"/>
          <w:szCs w:val="32"/>
          <w:highlight w:val="none"/>
          <w:lang w:val="en-US" w:eastAsia="zh-CN"/>
        </w:rPr>
        <w:t>、坚持扩大开放，深化海洋经济领域合作</w:t>
      </w:r>
      <w:r>
        <w:rPr>
          <w:sz w:val="32"/>
          <w:szCs w:val="32"/>
        </w:rPr>
        <w:tab/>
      </w:r>
      <w:r>
        <w:rPr>
          <w:sz w:val="32"/>
          <w:szCs w:val="32"/>
        </w:rPr>
        <w:fldChar w:fldCharType="begin"/>
      </w:r>
      <w:r>
        <w:rPr>
          <w:sz w:val="32"/>
          <w:szCs w:val="32"/>
        </w:rPr>
        <w:instrText xml:space="preserve"> PAGEREF _Toc30887 \h </w:instrText>
      </w:r>
      <w:r>
        <w:rPr>
          <w:sz w:val="32"/>
          <w:szCs w:val="32"/>
        </w:rPr>
        <w:fldChar w:fldCharType="separate"/>
      </w:r>
      <w:r>
        <w:rPr>
          <w:sz w:val="32"/>
          <w:szCs w:val="32"/>
        </w:rPr>
        <w:t>15</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682AA1FB">
      <w:pPr>
        <w:pStyle w:val="13"/>
        <w:tabs>
          <w:tab w:val="right" w:leader="dot" w:pos="867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_Toc16002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kern w:val="2"/>
          <w:sz w:val="32"/>
          <w:szCs w:val="32"/>
          <w:lang w:val="en-US" w:eastAsia="zh-CN" w:bidi="ar"/>
        </w:rPr>
        <w:t>（一）构建区域协同发展新格局</w:t>
      </w:r>
      <w:r>
        <w:rPr>
          <w:sz w:val="32"/>
          <w:szCs w:val="32"/>
        </w:rPr>
        <w:tab/>
      </w:r>
      <w:r>
        <w:rPr>
          <w:sz w:val="32"/>
          <w:szCs w:val="32"/>
        </w:rPr>
        <w:fldChar w:fldCharType="begin"/>
      </w:r>
      <w:r>
        <w:rPr>
          <w:sz w:val="32"/>
          <w:szCs w:val="32"/>
        </w:rPr>
        <w:instrText xml:space="preserve"> PAGEREF _Toc16002 \h </w:instrText>
      </w:r>
      <w:r>
        <w:rPr>
          <w:sz w:val="32"/>
          <w:szCs w:val="32"/>
        </w:rPr>
        <w:fldChar w:fldCharType="separate"/>
      </w:r>
      <w:r>
        <w:rPr>
          <w:sz w:val="32"/>
          <w:szCs w:val="32"/>
        </w:rPr>
        <w:t>15</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5E2DE2F2">
      <w:pPr>
        <w:pStyle w:val="13"/>
        <w:tabs>
          <w:tab w:val="right" w:leader="dot" w:pos="867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_Toc7471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kern w:val="2"/>
          <w:sz w:val="32"/>
          <w:szCs w:val="32"/>
          <w:lang w:val="en-US" w:eastAsia="zh-CN" w:bidi="ar"/>
        </w:rPr>
        <w:t>（二）拓展海洋开放合作新高地</w:t>
      </w:r>
      <w:r>
        <w:rPr>
          <w:sz w:val="32"/>
          <w:szCs w:val="32"/>
        </w:rPr>
        <w:tab/>
      </w:r>
      <w:r>
        <w:rPr>
          <w:sz w:val="32"/>
          <w:szCs w:val="32"/>
        </w:rPr>
        <w:fldChar w:fldCharType="begin"/>
      </w:r>
      <w:r>
        <w:rPr>
          <w:sz w:val="32"/>
          <w:szCs w:val="32"/>
        </w:rPr>
        <w:instrText xml:space="preserve"> PAGEREF _Toc7471 \h </w:instrText>
      </w:r>
      <w:r>
        <w:rPr>
          <w:sz w:val="32"/>
          <w:szCs w:val="32"/>
        </w:rPr>
        <w:fldChar w:fldCharType="separate"/>
      </w:r>
      <w:r>
        <w:rPr>
          <w:sz w:val="32"/>
          <w:szCs w:val="32"/>
        </w:rPr>
        <w:t>16</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41F5333B">
      <w:pPr>
        <w:pStyle w:val="13"/>
        <w:tabs>
          <w:tab w:val="right" w:leader="dot" w:pos="867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_Toc20059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kern w:val="2"/>
          <w:sz w:val="32"/>
          <w:szCs w:val="32"/>
          <w:lang w:val="en-US" w:eastAsia="zh-CN" w:bidi="ar"/>
        </w:rPr>
        <w:t>（三）提升本土海洋文化国际影响力</w:t>
      </w:r>
      <w:r>
        <w:rPr>
          <w:sz w:val="32"/>
          <w:szCs w:val="32"/>
        </w:rPr>
        <w:tab/>
      </w:r>
      <w:r>
        <w:rPr>
          <w:sz w:val="32"/>
          <w:szCs w:val="32"/>
        </w:rPr>
        <w:fldChar w:fldCharType="begin"/>
      </w:r>
      <w:r>
        <w:rPr>
          <w:sz w:val="32"/>
          <w:szCs w:val="32"/>
        </w:rPr>
        <w:instrText xml:space="preserve"> PAGEREF _Toc20059 \h </w:instrText>
      </w:r>
      <w:r>
        <w:rPr>
          <w:sz w:val="32"/>
          <w:szCs w:val="32"/>
        </w:rPr>
        <w:fldChar w:fldCharType="separate"/>
      </w:r>
      <w:r>
        <w:rPr>
          <w:sz w:val="32"/>
          <w:szCs w:val="32"/>
        </w:rPr>
        <w:t>16</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4C3E8D7C">
      <w:pPr>
        <w:pStyle w:val="11"/>
        <w:tabs>
          <w:tab w:val="right" w:leader="dot" w:pos="8674"/>
          <w:tab w:val="clear" w:pos="866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_Toc31084 </w:instrText>
      </w:r>
      <w:r>
        <w:rPr>
          <w:rFonts w:hint="eastAsia" w:ascii="宋体" w:hAnsi="宋体" w:eastAsia="宋体" w:cs="宋体"/>
          <w:bCs w:val="0"/>
          <w:sz w:val="32"/>
          <w:szCs w:val="32"/>
          <w:lang w:val="en-US" w:eastAsia="zh-CN"/>
        </w:rPr>
        <w:fldChar w:fldCharType="separate"/>
      </w:r>
      <w:r>
        <w:rPr>
          <w:rFonts w:hint="eastAsia" w:ascii="Times New Roman" w:hAnsi="Times New Roman" w:eastAsia="黑体" w:cs="Times New Roman"/>
          <w:bCs w:val="0"/>
          <w:spacing w:val="0"/>
          <w:sz w:val="32"/>
          <w:szCs w:val="32"/>
          <w:highlight w:val="none"/>
          <w:lang w:val="en-US" w:eastAsia="zh-CN"/>
        </w:rPr>
        <w:t>七、筑牢"蓝色防线"，共建平安揭阳滨海新家园</w:t>
      </w:r>
      <w:r>
        <w:rPr>
          <w:sz w:val="32"/>
          <w:szCs w:val="32"/>
        </w:rPr>
        <w:tab/>
      </w:r>
      <w:r>
        <w:rPr>
          <w:sz w:val="32"/>
          <w:szCs w:val="32"/>
        </w:rPr>
        <w:fldChar w:fldCharType="begin"/>
      </w:r>
      <w:r>
        <w:rPr>
          <w:sz w:val="32"/>
          <w:szCs w:val="32"/>
        </w:rPr>
        <w:instrText xml:space="preserve"> PAGEREF _Toc31084 \h </w:instrText>
      </w:r>
      <w:r>
        <w:rPr>
          <w:sz w:val="32"/>
          <w:szCs w:val="32"/>
        </w:rPr>
        <w:fldChar w:fldCharType="separate"/>
      </w:r>
      <w:r>
        <w:rPr>
          <w:sz w:val="32"/>
          <w:szCs w:val="32"/>
        </w:rPr>
        <w:t>17</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5CA6AA85">
      <w:pPr>
        <w:pStyle w:val="13"/>
        <w:tabs>
          <w:tab w:val="right" w:leader="dot" w:pos="867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_Toc2540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kern w:val="2"/>
          <w:sz w:val="32"/>
          <w:szCs w:val="32"/>
          <w:lang w:val="en-US" w:eastAsia="zh-CN" w:bidi="ar"/>
          <w:woUserID w:val="0"/>
        </w:rPr>
        <w:t>（一）筑牢海洋安全屏障</w:t>
      </w:r>
      <w:r>
        <w:rPr>
          <w:sz w:val="32"/>
          <w:szCs w:val="32"/>
        </w:rPr>
        <w:tab/>
      </w:r>
      <w:r>
        <w:rPr>
          <w:sz w:val="32"/>
          <w:szCs w:val="32"/>
        </w:rPr>
        <w:fldChar w:fldCharType="begin"/>
      </w:r>
      <w:r>
        <w:rPr>
          <w:sz w:val="32"/>
          <w:szCs w:val="32"/>
        </w:rPr>
        <w:instrText xml:space="preserve"> PAGEREF _Toc2540 \h </w:instrText>
      </w:r>
      <w:r>
        <w:rPr>
          <w:sz w:val="32"/>
          <w:szCs w:val="32"/>
        </w:rPr>
        <w:fldChar w:fldCharType="separate"/>
      </w:r>
      <w:r>
        <w:rPr>
          <w:sz w:val="32"/>
          <w:szCs w:val="32"/>
        </w:rPr>
        <w:t>17</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1FD7548F">
      <w:pPr>
        <w:pStyle w:val="13"/>
        <w:tabs>
          <w:tab w:val="right" w:leader="dot" w:pos="867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_Toc31492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kern w:val="2"/>
          <w:sz w:val="32"/>
          <w:szCs w:val="32"/>
          <w:lang w:val="en-US" w:eastAsia="zh-CN" w:bidi="ar"/>
          <w:woUserID w:val="0"/>
        </w:rPr>
        <w:t>（二）提升海洋民生服务品质</w:t>
      </w:r>
      <w:r>
        <w:rPr>
          <w:sz w:val="32"/>
          <w:szCs w:val="32"/>
        </w:rPr>
        <w:tab/>
      </w:r>
      <w:r>
        <w:rPr>
          <w:sz w:val="32"/>
          <w:szCs w:val="32"/>
        </w:rPr>
        <w:fldChar w:fldCharType="begin"/>
      </w:r>
      <w:r>
        <w:rPr>
          <w:sz w:val="32"/>
          <w:szCs w:val="32"/>
        </w:rPr>
        <w:instrText xml:space="preserve"> PAGEREF _Toc31492 \h </w:instrText>
      </w:r>
      <w:r>
        <w:rPr>
          <w:sz w:val="32"/>
          <w:szCs w:val="32"/>
        </w:rPr>
        <w:fldChar w:fldCharType="separate"/>
      </w:r>
      <w:r>
        <w:rPr>
          <w:sz w:val="32"/>
          <w:szCs w:val="32"/>
        </w:rPr>
        <w:t>18</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352D3461">
      <w:pPr>
        <w:pStyle w:val="11"/>
        <w:tabs>
          <w:tab w:val="right" w:leader="dot" w:pos="8674"/>
          <w:tab w:val="clear" w:pos="866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_Toc30944 </w:instrText>
      </w:r>
      <w:r>
        <w:rPr>
          <w:rFonts w:hint="eastAsia" w:ascii="宋体" w:hAnsi="宋体" w:eastAsia="宋体" w:cs="宋体"/>
          <w:bCs w:val="0"/>
          <w:sz w:val="32"/>
          <w:szCs w:val="32"/>
          <w:lang w:val="en-US" w:eastAsia="zh-CN"/>
        </w:rPr>
        <w:fldChar w:fldCharType="separate"/>
      </w:r>
      <w:r>
        <w:rPr>
          <w:rFonts w:hint="eastAsia" w:eastAsia="黑体" w:cs="Times New Roman"/>
          <w:bCs w:val="0"/>
          <w:spacing w:val="0"/>
          <w:sz w:val="32"/>
          <w:szCs w:val="32"/>
          <w:highlight w:val="none"/>
          <w:lang w:val="en-US" w:eastAsia="zh-CN" w:bidi="ar"/>
        </w:rPr>
        <w:t>八</w:t>
      </w:r>
      <w:r>
        <w:rPr>
          <w:rFonts w:hint="eastAsia" w:ascii="Times New Roman" w:hAnsi="Times New Roman" w:eastAsia="黑体" w:cs="Times New Roman"/>
          <w:bCs w:val="0"/>
          <w:spacing w:val="0"/>
          <w:sz w:val="32"/>
          <w:szCs w:val="32"/>
          <w:highlight w:val="none"/>
          <w:lang w:val="en-US" w:eastAsia="zh-CN" w:bidi="ar"/>
        </w:rPr>
        <w:t>、强化"蓝色保障"，健全协同高效新机制</w:t>
      </w:r>
      <w:r>
        <w:rPr>
          <w:sz w:val="32"/>
          <w:szCs w:val="32"/>
        </w:rPr>
        <w:tab/>
      </w:r>
      <w:r>
        <w:rPr>
          <w:sz w:val="32"/>
          <w:szCs w:val="32"/>
        </w:rPr>
        <w:fldChar w:fldCharType="begin"/>
      </w:r>
      <w:r>
        <w:rPr>
          <w:sz w:val="32"/>
          <w:szCs w:val="32"/>
        </w:rPr>
        <w:instrText xml:space="preserve"> PAGEREF _Toc30944 \h </w:instrText>
      </w:r>
      <w:r>
        <w:rPr>
          <w:sz w:val="32"/>
          <w:szCs w:val="32"/>
        </w:rPr>
        <w:fldChar w:fldCharType="separate"/>
      </w:r>
      <w:r>
        <w:rPr>
          <w:sz w:val="32"/>
          <w:szCs w:val="32"/>
        </w:rPr>
        <w:t>19</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07A44901">
      <w:pPr>
        <w:pStyle w:val="13"/>
        <w:tabs>
          <w:tab w:val="right" w:leader="dot" w:pos="867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_Toc8466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kern w:val="2"/>
          <w:sz w:val="32"/>
          <w:szCs w:val="32"/>
          <w:lang w:val="en-US" w:eastAsia="zh-CN" w:bidi="ar"/>
          <w:woUserID w:val="0"/>
        </w:rPr>
        <w:t>（一）优化组织保障</w:t>
      </w:r>
      <w:r>
        <w:rPr>
          <w:sz w:val="32"/>
          <w:szCs w:val="32"/>
        </w:rPr>
        <w:tab/>
      </w:r>
      <w:r>
        <w:rPr>
          <w:sz w:val="32"/>
          <w:szCs w:val="32"/>
        </w:rPr>
        <w:fldChar w:fldCharType="begin"/>
      </w:r>
      <w:r>
        <w:rPr>
          <w:sz w:val="32"/>
          <w:szCs w:val="32"/>
        </w:rPr>
        <w:instrText xml:space="preserve"> PAGEREF _Toc8466 \h </w:instrText>
      </w:r>
      <w:r>
        <w:rPr>
          <w:sz w:val="32"/>
          <w:szCs w:val="32"/>
        </w:rPr>
        <w:fldChar w:fldCharType="separate"/>
      </w:r>
      <w:r>
        <w:rPr>
          <w:sz w:val="32"/>
          <w:szCs w:val="32"/>
        </w:rPr>
        <w:t>19</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415B60CD">
      <w:pPr>
        <w:pStyle w:val="13"/>
        <w:tabs>
          <w:tab w:val="right" w:leader="dot" w:pos="867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_Toc17307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kern w:val="2"/>
          <w:sz w:val="32"/>
          <w:szCs w:val="32"/>
          <w:lang w:val="en-US" w:eastAsia="zh-CN" w:bidi="ar"/>
          <w:woUserID w:val="0"/>
        </w:rPr>
        <w:t>（二）完善政策保障</w:t>
      </w:r>
      <w:r>
        <w:rPr>
          <w:sz w:val="32"/>
          <w:szCs w:val="32"/>
        </w:rPr>
        <w:tab/>
      </w:r>
      <w:r>
        <w:rPr>
          <w:sz w:val="32"/>
          <w:szCs w:val="32"/>
        </w:rPr>
        <w:fldChar w:fldCharType="begin"/>
      </w:r>
      <w:r>
        <w:rPr>
          <w:sz w:val="32"/>
          <w:szCs w:val="32"/>
        </w:rPr>
        <w:instrText xml:space="preserve"> PAGEREF _Toc17307 \h </w:instrText>
      </w:r>
      <w:r>
        <w:rPr>
          <w:sz w:val="32"/>
          <w:szCs w:val="32"/>
        </w:rPr>
        <w:fldChar w:fldCharType="separate"/>
      </w:r>
      <w:r>
        <w:rPr>
          <w:sz w:val="32"/>
          <w:szCs w:val="32"/>
        </w:rPr>
        <w:t>19</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26F21158">
      <w:pPr>
        <w:pStyle w:val="13"/>
        <w:tabs>
          <w:tab w:val="right" w:leader="dot" w:pos="8674"/>
        </w:tabs>
        <w:spacing w:line="800" w:lineRule="exact"/>
        <w:rPr>
          <w:sz w:val="32"/>
          <w:szCs w:val="32"/>
        </w:rPr>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_Toc18770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kern w:val="2"/>
          <w:sz w:val="32"/>
          <w:szCs w:val="32"/>
          <w:lang w:val="en-US" w:eastAsia="zh-CN" w:bidi="ar"/>
          <w:woUserID w:val="0"/>
        </w:rPr>
        <w:t>（三）加强涉海人才引育</w:t>
      </w:r>
      <w:r>
        <w:rPr>
          <w:sz w:val="32"/>
          <w:szCs w:val="32"/>
        </w:rPr>
        <w:tab/>
      </w:r>
      <w:r>
        <w:rPr>
          <w:sz w:val="32"/>
          <w:szCs w:val="32"/>
        </w:rPr>
        <w:fldChar w:fldCharType="begin"/>
      </w:r>
      <w:r>
        <w:rPr>
          <w:sz w:val="32"/>
          <w:szCs w:val="32"/>
        </w:rPr>
        <w:instrText xml:space="preserve"> PAGEREF _Toc18770 \h </w:instrText>
      </w:r>
      <w:r>
        <w:rPr>
          <w:sz w:val="32"/>
          <w:szCs w:val="32"/>
        </w:rPr>
        <w:fldChar w:fldCharType="separate"/>
      </w:r>
      <w:r>
        <w:rPr>
          <w:sz w:val="32"/>
          <w:szCs w:val="32"/>
        </w:rPr>
        <w:t>19</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6B682742">
      <w:pPr>
        <w:pStyle w:val="13"/>
        <w:tabs>
          <w:tab w:val="right" w:leader="dot" w:pos="8674"/>
        </w:tabs>
        <w:spacing w:line="800" w:lineRule="exact"/>
        <w:ind w:left="560"/>
      </w:pP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_Toc29739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kern w:val="2"/>
          <w:sz w:val="32"/>
          <w:szCs w:val="32"/>
          <w:lang w:val="en-US" w:eastAsia="zh-CN" w:bidi="ar"/>
          <w:woUserID w:val="0"/>
        </w:rPr>
        <w:t>（四）</w:t>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begin"/>
      </w:r>
      <w:r>
        <w:rPr>
          <w:rFonts w:hint="eastAsia" w:ascii="宋体" w:hAnsi="宋体" w:eastAsia="宋体" w:cs="宋体"/>
          <w:bCs w:val="0"/>
          <w:sz w:val="32"/>
          <w:szCs w:val="32"/>
          <w:lang w:val="en-US" w:eastAsia="zh-CN"/>
        </w:rPr>
        <w:instrText xml:space="preserve"> HYPERLINK \l _Toc29651 </w:instrText>
      </w:r>
      <w:r>
        <w:rPr>
          <w:rFonts w:hint="eastAsia" w:ascii="宋体" w:hAnsi="宋体" w:eastAsia="宋体" w:cs="宋体"/>
          <w:bCs w:val="0"/>
          <w:sz w:val="32"/>
          <w:szCs w:val="32"/>
          <w:lang w:val="en-US" w:eastAsia="zh-CN"/>
        </w:rPr>
        <w:fldChar w:fldCharType="separate"/>
      </w:r>
      <w:r>
        <w:rPr>
          <w:rFonts w:hint="eastAsia" w:ascii="方正楷体_GB2312" w:hAnsi="方正楷体_GB2312" w:eastAsia="方正楷体_GB2312" w:cs="方正楷体_GB2312"/>
          <w:bCs/>
          <w:kern w:val="2"/>
          <w:sz w:val="32"/>
          <w:szCs w:val="32"/>
          <w:lang w:val="en-US" w:eastAsia="zh-CN" w:bidi="ar"/>
          <w:woUserID w:val="0"/>
        </w:rPr>
        <w:t>加强资金保障</w:t>
      </w:r>
      <w:r>
        <w:rPr>
          <w:sz w:val="32"/>
          <w:szCs w:val="32"/>
        </w:rPr>
        <w:tab/>
      </w:r>
      <w:r>
        <w:rPr>
          <w:sz w:val="32"/>
          <w:szCs w:val="32"/>
        </w:rPr>
        <w:fldChar w:fldCharType="begin"/>
      </w:r>
      <w:r>
        <w:rPr>
          <w:sz w:val="32"/>
          <w:szCs w:val="32"/>
        </w:rPr>
        <w:instrText xml:space="preserve"> PAGEREF _Toc29651 \h </w:instrText>
      </w:r>
      <w:r>
        <w:rPr>
          <w:sz w:val="32"/>
          <w:szCs w:val="32"/>
        </w:rPr>
        <w:fldChar w:fldCharType="separate"/>
      </w:r>
      <w:r>
        <w:rPr>
          <w:sz w:val="32"/>
          <w:szCs w:val="32"/>
        </w:rPr>
        <w:t>20</w:t>
      </w:r>
      <w:r>
        <w:rPr>
          <w:sz w:val="32"/>
          <w:szCs w:val="32"/>
        </w:rPr>
        <w:fldChar w:fldCharType="end"/>
      </w:r>
      <w:r>
        <w:rPr>
          <w:rFonts w:hint="eastAsia" w:ascii="宋体" w:hAnsi="宋体" w:eastAsia="宋体" w:cs="宋体"/>
          <w:bCs w:val="0"/>
          <w:color w:val="000000" w:themeColor="text1"/>
          <w:sz w:val="32"/>
          <w:szCs w:val="32"/>
          <w:u w:val="none"/>
          <w:lang w:val="en-US" w:eastAsia="zh-CN"/>
          <w14:textFill>
            <w14:solidFill>
              <w14:schemeClr w14:val="tx1"/>
            </w14:solidFill>
          </w14:textFill>
        </w:rPr>
        <w:fldChar w:fldCharType="end"/>
      </w:r>
    </w:p>
    <w:p w14:paraId="595BD334">
      <w:pPr>
        <w:keepNext w:val="0"/>
        <w:keepLines w:val="0"/>
        <w:pageBreakBefore w:val="0"/>
        <w:widowControl/>
        <w:kinsoku/>
        <w:wordWrap/>
        <w:overflowPunct/>
        <w:topLinePunct w:val="0"/>
        <w:autoSpaceDE/>
        <w:autoSpaceDN/>
        <w:bidi w:val="0"/>
        <w:adjustRightInd/>
        <w:snapToGrid/>
        <w:spacing w:before="0" w:beforeLines="0" w:after="0" w:afterLines="0" w:line="600" w:lineRule="exact"/>
        <w:ind w:firstLine="0" w:firstLineChars="0"/>
        <w:jc w:val="both"/>
        <w:textAlignment w:val="auto"/>
        <w:outlineLvl w:val="9"/>
        <w:rPr>
          <w:rFonts w:hint="eastAsia" w:ascii="宋体" w:hAnsi="宋体" w:eastAsia="宋体" w:cs="宋体"/>
          <w:b w:val="0"/>
          <w:bCs w:val="0"/>
          <w:color w:val="000000" w:themeColor="text1"/>
          <w:sz w:val="32"/>
          <w:szCs w:val="32"/>
          <w:u w:val="none"/>
          <w:lang w:val="en-US" w:eastAsia="zh-CN"/>
          <w14:textFill>
            <w14:solidFill>
              <w14:schemeClr w14:val="tx1"/>
            </w14:solidFill>
          </w14:textFill>
        </w:rPr>
        <w:sectPr>
          <w:footerReference r:id="rId7" w:type="default"/>
          <w:pgSz w:w="11906" w:h="16838"/>
          <w:pgMar w:top="1985" w:right="1616" w:bottom="1814" w:left="1616" w:header="851" w:footer="1474" w:gutter="0"/>
          <w:pgBorders>
            <w:top w:val="none" w:sz="0" w:space="0"/>
            <w:left w:val="none" w:sz="0" w:space="0"/>
            <w:bottom w:val="none" w:sz="0" w:space="0"/>
            <w:right w:val="none" w:sz="0" w:space="0"/>
          </w:pgBorders>
          <w:pgNumType w:fmt="upperRoman" w:start="1"/>
          <w:cols w:space="720" w:num="1"/>
          <w:docGrid w:type="lines" w:linePitch="588" w:charSpace="0"/>
        </w:sectPr>
      </w:pPr>
      <w:r>
        <w:rPr>
          <w:rFonts w:hint="eastAsia" w:ascii="宋体" w:hAnsi="宋体" w:eastAsia="宋体" w:cs="宋体"/>
          <w:bCs w:val="0"/>
          <w:color w:val="000000" w:themeColor="text1"/>
          <w:szCs w:val="32"/>
          <w:u w:val="none"/>
          <w:lang w:val="en-US" w:eastAsia="zh-CN"/>
          <w14:textFill>
            <w14:solidFill>
              <w14:schemeClr w14:val="tx1"/>
            </w14:solidFill>
          </w14:textFill>
        </w:rPr>
        <w:fldChar w:fldCharType="end"/>
      </w:r>
      <w:bookmarkEnd w:id="66"/>
      <w:bookmarkEnd w:id="67"/>
      <w:bookmarkStart w:id="68" w:name="_Toc11477"/>
      <w:bookmarkStart w:id="69" w:name="_Toc1241444015"/>
      <w:bookmarkStart w:id="70" w:name="_Toc2331"/>
      <w:bookmarkStart w:id="71" w:name="_Toc3348"/>
      <w:bookmarkStart w:id="72" w:name="_Toc9411"/>
      <w:bookmarkStart w:id="73" w:name="_Toc900131956"/>
      <w:bookmarkStart w:id="74" w:name="_Toc10828"/>
      <w:bookmarkStart w:id="75" w:name="_Toc17608"/>
      <w:bookmarkStart w:id="76" w:name="_Toc2140223754"/>
      <w:bookmarkStart w:id="77" w:name="_Toc15355"/>
      <w:bookmarkStart w:id="78" w:name="_Toc13419"/>
      <w:bookmarkStart w:id="79" w:name="_Toc10071"/>
      <w:bookmarkStart w:id="80" w:name="_Toc26140"/>
      <w:bookmarkStart w:id="81" w:name="_Toc7796"/>
      <w:bookmarkStart w:id="82" w:name="_Toc16810"/>
      <w:bookmarkStart w:id="83" w:name="_Toc720756413"/>
      <w:bookmarkStart w:id="84" w:name="_Toc17516"/>
      <w:bookmarkStart w:id="85" w:name="_Toc397843700"/>
      <w:bookmarkStart w:id="86" w:name="_Toc4452"/>
      <w:bookmarkStart w:id="87" w:name="_Toc11498"/>
      <w:bookmarkStart w:id="88" w:name="_Toc22468"/>
      <w:bookmarkStart w:id="89" w:name="_Toc20739"/>
      <w:bookmarkStart w:id="90" w:name="_Toc30909"/>
      <w:bookmarkStart w:id="91" w:name="_Toc839887047"/>
      <w:bookmarkStart w:id="92" w:name="_Toc942172277"/>
      <w:bookmarkStart w:id="93" w:name="_Toc1676359730"/>
    </w:p>
    <w:p w14:paraId="6F9F6DA5">
      <w:pPr>
        <w:keepNext w:val="0"/>
        <w:keepLines w:val="0"/>
        <w:pageBreakBefore w:val="0"/>
        <w:widowControl/>
        <w:kinsoku/>
        <w:wordWrap/>
        <w:overflowPunct/>
        <w:topLinePunct w:val="0"/>
        <w:autoSpaceDE/>
        <w:autoSpaceDN/>
        <w:bidi w:val="0"/>
        <w:adjustRightInd/>
        <w:snapToGrid/>
        <w:spacing w:before="0" w:beforeLines="0" w:after="0" w:afterLines="0" w:line="600" w:lineRule="exact"/>
        <w:ind w:firstLine="640" w:firstLineChars="200"/>
        <w:jc w:val="both"/>
        <w:textAlignment w:val="auto"/>
        <w:outlineLvl w:val="9"/>
        <w:rPr>
          <w:rFonts w:hint="eastAsia" w:ascii="仿宋_GB2312" w:hAnsi="仿宋_GB2312" w:cs="仿宋_GB2312"/>
          <w:color w:val="000000" w:themeColor="text1"/>
          <w:kern w:val="2"/>
          <w:sz w:val="32"/>
          <w:szCs w:val="32"/>
          <w:lang w:val="en-US" w:eastAsia="zh-CN" w:bidi="ar"/>
          <w14:textFill>
            <w14:solidFill>
              <w14:schemeClr w14:val="tx1"/>
            </w14:solidFill>
          </w14:textFill>
        </w:rPr>
      </w:pPr>
      <w:r>
        <w:rPr>
          <w:rFonts w:hint="eastAsia" w:ascii="仿宋_GB2312" w:hAnsi="仿宋_GB2312" w:cs="仿宋_GB2312"/>
          <w:color w:val="000000" w:themeColor="text1"/>
          <w:kern w:val="2"/>
          <w:sz w:val="32"/>
          <w:szCs w:val="32"/>
          <w:lang w:val="en-US" w:eastAsia="zh-CN" w:bidi="ar"/>
          <w14:textFill>
            <w14:solidFill>
              <w14:schemeClr w14:val="tx1"/>
            </w14:solidFill>
          </w14:textFill>
        </w:rPr>
        <w:t>“十五五”时期是揭阳迭代升级海洋产业、完善海洋治理、守护蓝色海岸的关键阶段。为坚定不移走好人海和谐的绿色发展之路，统筹海洋生态保护与资源高效利用，加快构建现代化海洋产业体系，持续提升临海经济辐射带动能力，主动融入国家和全省海洋发展战略布局，依据《广东省海洋经济发展“十五五”规划》《揭阳市国民经济和社会发展第十五个五年规划纲要》，特编制本规划。</w:t>
      </w:r>
    </w:p>
    <w:p w14:paraId="7F94217B">
      <w:pPr>
        <w:adjustRightInd w:val="0"/>
        <w:snapToGrid/>
        <w:spacing w:beforeLines="0" w:afterLines="0" w:line="580" w:lineRule="exact"/>
        <w:ind w:firstLine="640" w:firstLineChars="200"/>
        <w:jc w:val="both"/>
        <w:outlineLvl w:val="0"/>
        <w:rPr>
          <w:rFonts w:hint="default" w:ascii="Times New Roman" w:hAnsi="Times New Roman" w:eastAsia="黑体" w:cs="Times New Roman"/>
          <w:b w:val="0"/>
          <w:bCs w:val="0"/>
          <w:color w:val="auto"/>
          <w:sz w:val="32"/>
          <w:szCs w:val="40"/>
          <w:highlight w:val="none"/>
          <w:lang w:val="en-US" w:eastAsia="zh-CN"/>
        </w:rPr>
      </w:pPr>
      <w:bookmarkStart w:id="94" w:name="_Toc25928"/>
      <w:bookmarkStart w:id="95" w:name="_Toc2053"/>
      <w:r>
        <w:rPr>
          <w:rFonts w:hint="eastAsia" w:ascii="Times New Roman" w:hAnsi="Times New Roman" w:eastAsia="黑体" w:cs="Times New Roman"/>
          <w:b w:val="0"/>
          <w:bCs w:val="0"/>
          <w:color w:val="auto"/>
          <w:sz w:val="32"/>
          <w:szCs w:val="40"/>
          <w:highlight w:val="none"/>
          <w:lang w:val="en-US" w:eastAsia="zh-CN"/>
        </w:rPr>
        <w:t>一</w:t>
      </w:r>
      <w:r>
        <w:rPr>
          <w:rFonts w:hint="default" w:ascii="Times New Roman" w:hAnsi="Times New Roman" w:eastAsia="黑体" w:cs="Times New Roman"/>
          <w:b w:val="0"/>
          <w:bCs w:val="0"/>
          <w:color w:val="auto"/>
          <w:sz w:val="32"/>
          <w:szCs w:val="40"/>
          <w:highlight w:val="none"/>
          <w:lang w:val="en-US" w:eastAsia="zh-CN"/>
        </w:rPr>
        <w:t>、总体要求</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3B355096">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textAlignment w:val="auto"/>
        <w:outlineLvl w:val="9"/>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以习近平新时代中国特色社会主义思想为指导，全面贯彻党的二十大和二十届历次全会精神，深入贯彻习近平总书记关于海洋强国建设重要论述和</w:t>
      </w:r>
      <w:r>
        <w:rPr>
          <w:rFonts w:hint="eastAsia" w:ascii="仿宋_GB2312" w:hAnsi="仿宋_GB2312" w:cs="仿宋_GB2312"/>
          <w:color w:val="000000" w:themeColor="text1"/>
          <w:kern w:val="2"/>
          <w:sz w:val="32"/>
          <w:szCs w:val="32"/>
          <w:lang w:val="en-US" w:eastAsia="zh-CN" w:bidi="ar"/>
          <w14:textFill>
            <w14:solidFill>
              <w14:schemeClr w14:val="tx1"/>
            </w14:solidFill>
          </w14:textFill>
        </w:rPr>
        <w:t>对</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广东</w:t>
      </w:r>
      <w:r>
        <w:rPr>
          <w:rFonts w:hint="eastAsia" w:ascii="仿宋_GB2312" w:hAnsi="仿宋_GB2312" w:cs="仿宋_GB2312"/>
          <w:color w:val="000000" w:themeColor="text1"/>
          <w:kern w:val="2"/>
          <w:sz w:val="32"/>
          <w:szCs w:val="32"/>
          <w:lang w:val="en-US" w:eastAsia="zh-CN" w:bidi="ar"/>
          <w14:textFill>
            <w14:solidFill>
              <w14:schemeClr w14:val="tx1"/>
            </w14:solidFill>
          </w14:textFill>
        </w:rPr>
        <w:t>系列</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重要讲话</w:t>
      </w:r>
      <w:r>
        <w:rPr>
          <w:rFonts w:hint="eastAsia" w:ascii="仿宋_GB2312" w:hAnsi="仿宋_GB2312" w:cs="仿宋_GB2312"/>
          <w:color w:val="000000" w:themeColor="text1"/>
          <w:kern w:val="2"/>
          <w:sz w:val="32"/>
          <w:szCs w:val="32"/>
          <w:lang w:val="en-US" w:eastAsia="zh-CN" w:bidi="ar"/>
          <w14:textFill>
            <w14:solidFill>
              <w14:schemeClr w14:val="tx1"/>
            </w14:solidFill>
          </w14:textFill>
        </w:rPr>
        <w:t>、</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重要指示精神，</w:t>
      </w:r>
      <w:r>
        <w:rPr>
          <w:rFonts w:hint="eastAsia" w:ascii="仿宋_GB2312" w:hAnsi="仿宋_GB2312" w:cs="仿宋_GB2312"/>
          <w:color w:val="000000" w:themeColor="text1"/>
          <w:kern w:val="2"/>
          <w:sz w:val="32"/>
          <w:szCs w:val="32"/>
          <w:lang w:val="en-US" w:eastAsia="zh-CN" w:bidi="ar"/>
          <w14:textFill>
            <w14:solidFill>
              <w14:schemeClr w14:val="tx1"/>
            </w14:solidFill>
          </w14:textFill>
        </w:rPr>
        <w:t>落实省委“1310”具体部署和市委“1135”工作思路</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，锚定“全力建设产业强市和美揭阳、加快打造粤东高质量发展新增长极”奋斗目标，</w:t>
      </w:r>
      <w:r>
        <w:rPr>
          <w:rFonts w:hint="eastAsia" w:ascii="仿宋_GB2312" w:hAnsi="仿宋_GB2312" w:cs="仿宋_GB2312"/>
          <w:color w:val="000000" w:themeColor="text1"/>
          <w:sz w:val="32"/>
          <w:szCs w:val="32"/>
          <w:lang w:val="en-US" w:eastAsia="zh-CN"/>
          <w14:textFill>
            <w14:solidFill>
              <w14:schemeClr w14:val="tx1"/>
            </w14:solidFill>
          </w14:textFill>
        </w:rPr>
        <w:t>以“五个更加注重”为引领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cs="仿宋_GB2312"/>
          <w:color w:val="000000" w:themeColor="text1"/>
          <w:sz w:val="32"/>
          <w:szCs w:val="32"/>
          <w:lang w:val="en-US" w:eastAsia="zh-CN"/>
          <w14:textFill>
            <w14:solidFill>
              <w14:schemeClr w14:val="tx1"/>
            </w14:solidFill>
          </w14:textFill>
        </w:rPr>
        <w:t>加快建设现代海洋产业体系，</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加强海洋资源开发与保护</w:t>
      </w:r>
      <w:r>
        <w:rPr>
          <w:rFonts w:hint="eastAsia" w:ascii="仿宋_GB2312" w:hAnsi="仿宋_GB2312" w:cs="仿宋_GB2312"/>
          <w:color w:val="000000" w:themeColor="text1"/>
          <w:sz w:val="32"/>
          <w:szCs w:val="32"/>
          <w:lang w:val="en-US" w:eastAsia="zh-CN"/>
          <w14:textFill>
            <w14:solidFill>
              <w14:schemeClr w14:val="tx1"/>
            </w14:solidFill>
          </w14:textFill>
        </w:rPr>
        <w:t>，努力建设海洋强市，为海上新广东建设贡献揭阳力量。</w:t>
      </w:r>
    </w:p>
    <w:p w14:paraId="1E40F968">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textAlignment w:val="auto"/>
        <w:outlineLvl w:val="9"/>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到2030年，全市蓝色海洋经济能级全面跃升，</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基本建成</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海洋强市</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海上风电、氢能储能、海洋牧场、海工装备</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产业等</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海洋</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优势</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产业</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持续</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提质</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升级</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海洋新材料、低空经济等新兴及未来产业加速培育，基本建成主业突出、</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链条完整的现代海洋产业体系</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海洋资源</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精细化管理</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水平持续提高，山海保护治理大格局基本构建，</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粤东高水平开放和门户枢纽功能基本形成</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，民生品质持续改善</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，力争成为广东海洋经济带东翼海洋经济发展新增长极</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w:t>
      </w:r>
    </w:p>
    <w:p w14:paraId="10CBF8B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eastAsia" w:ascii="仿宋_GB2312" w:hAnsi="仿宋_GB2312" w:eastAsia="仿宋_GB2312" w:cs="仿宋_GB2312"/>
          <w:b/>
          <w:bCs/>
          <w:i w:val="0"/>
          <w:iCs w:val="0"/>
          <w:caps w:val="0"/>
          <w:color w:val="000000" w:themeColor="text1"/>
          <w:spacing w:val="0"/>
          <w:sz w:val="30"/>
          <w:szCs w:val="30"/>
          <w:shd w:val="clear" w:color="auto" w:fill="auto"/>
          <w:lang w:val="en-US" w:eastAsia="zh-CN"/>
          <w14:textFill>
            <w14:solidFill>
              <w14:schemeClr w14:val="tx1"/>
            </w14:solidFill>
          </w14:textFill>
        </w:rPr>
      </w:pPr>
      <w:r>
        <w:rPr>
          <w:rFonts w:hint="eastAsia" w:ascii="仿宋_GB2312" w:hAnsi="仿宋_GB2312" w:cs="仿宋_GB2312"/>
          <w:b/>
          <w:bCs/>
          <w:i w:val="0"/>
          <w:iCs w:val="0"/>
          <w:caps w:val="0"/>
          <w:color w:val="000000" w:themeColor="text1"/>
          <w:spacing w:val="0"/>
          <w:sz w:val="30"/>
          <w:szCs w:val="30"/>
          <w:shd w:val="clear" w:color="auto" w:fill="auto"/>
          <w:lang w:val="en-US" w:eastAsia="zh-CN"/>
          <w14:textFill>
            <w14:solidFill>
              <w14:schemeClr w14:val="tx1"/>
            </w14:solidFill>
          </w14:textFill>
        </w:rPr>
        <w:t>表1</w:t>
      </w:r>
      <w:r>
        <w:rPr>
          <w:rFonts w:hint="eastAsia" w:ascii="仿宋_GB2312" w:hAnsi="仿宋_GB2312" w:eastAsia="仿宋_GB2312" w:cs="仿宋_GB2312"/>
          <w:b/>
          <w:bCs/>
          <w:i w:val="0"/>
          <w:iCs w:val="0"/>
          <w:caps w:val="0"/>
          <w:color w:val="000000" w:themeColor="text1"/>
          <w:spacing w:val="0"/>
          <w:sz w:val="30"/>
          <w:szCs w:val="30"/>
          <w:shd w:val="clear" w:color="auto" w:fill="auto"/>
          <w:lang w:val="en-US" w:eastAsia="zh-CN"/>
          <w14:textFill>
            <w14:solidFill>
              <w14:schemeClr w14:val="tx1"/>
            </w14:solidFill>
          </w14:textFill>
        </w:rPr>
        <w:t xml:space="preserve"> “十五五”</w:t>
      </w:r>
      <w:r>
        <w:rPr>
          <w:rFonts w:hint="eastAsia" w:ascii="仿宋_GB2312" w:hAnsi="仿宋_GB2312" w:cs="仿宋_GB2312"/>
          <w:b/>
          <w:bCs/>
          <w:i w:val="0"/>
          <w:iCs w:val="0"/>
          <w:caps w:val="0"/>
          <w:color w:val="000000" w:themeColor="text1"/>
          <w:spacing w:val="0"/>
          <w:sz w:val="30"/>
          <w:szCs w:val="30"/>
          <w:shd w:val="clear" w:color="auto" w:fill="auto"/>
          <w:lang w:val="en-US" w:eastAsia="zh-CN"/>
          <w14:textFill>
            <w14:solidFill>
              <w14:schemeClr w14:val="tx1"/>
            </w14:solidFill>
          </w14:textFill>
        </w:rPr>
        <w:t>时期</w:t>
      </w:r>
      <w:r>
        <w:rPr>
          <w:rFonts w:hint="eastAsia" w:ascii="仿宋_GB2312" w:hAnsi="仿宋_GB2312" w:eastAsia="仿宋_GB2312" w:cs="仿宋_GB2312"/>
          <w:b/>
          <w:bCs/>
          <w:i w:val="0"/>
          <w:iCs w:val="0"/>
          <w:caps w:val="0"/>
          <w:color w:val="000000" w:themeColor="text1"/>
          <w:spacing w:val="0"/>
          <w:sz w:val="30"/>
          <w:szCs w:val="30"/>
          <w:shd w:val="clear" w:color="auto" w:fill="auto"/>
          <w:lang w:val="en-US" w:eastAsia="zh-CN"/>
          <w14:textFill>
            <w14:solidFill>
              <w14:schemeClr w14:val="tx1"/>
            </w14:solidFill>
          </w14:textFill>
        </w:rPr>
        <w:t>海洋经济发展主要</w:t>
      </w:r>
      <w:r>
        <w:rPr>
          <w:rFonts w:hint="eastAsia" w:ascii="仿宋_GB2312" w:hAnsi="仿宋_GB2312" w:cs="仿宋_GB2312"/>
          <w:b/>
          <w:bCs/>
          <w:i w:val="0"/>
          <w:iCs w:val="0"/>
          <w:caps w:val="0"/>
          <w:color w:val="000000" w:themeColor="text1"/>
          <w:spacing w:val="0"/>
          <w:sz w:val="30"/>
          <w:szCs w:val="30"/>
          <w:shd w:val="clear" w:color="auto" w:fill="auto"/>
          <w:lang w:val="en-US" w:eastAsia="zh-CN"/>
          <w14:textFill>
            <w14:solidFill>
              <w14:schemeClr w14:val="tx1"/>
            </w14:solidFill>
          </w14:textFill>
        </w:rPr>
        <w:t>目标</w:t>
      </w:r>
      <w:r>
        <w:rPr>
          <w:rFonts w:hint="eastAsia" w:ascii="仿宋_GB2312" w:hAnsi="仿宋_GB2312" w:eastAsia="仿宋_GB2312" w:cs="仿宋_GB2312"/>
          <w:b/>
          <w:bCs/>
          <w:i w:val="0"/>
          <w:iCs w:val="0"/>
          <w:caps w:val="0"/>
          <w:color w:val="000000" w:themeColor="text1"/>
          <w:spacing w:val="0"/>
          <w:sz w:val="30"/>
          <w:szCs w:val="30"/>
          <w:shd w:val="clear" w:color="auto" w:fill="auto"/>
          <w:lang w:val="en-US" w:eastAsia="zh-CN"/>
          <w14:textFill>
            <w14:solidFill>
              <w14:schemeClr w14:val="tx1"/>
            </w14:solidFill>
          </w14:textFill>
        </w:rPr>
        <w:t>指标</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3893"/>
        <w:gridCol w:w="1242"/>
        <w:gridCol w:w="1677"/>
        <w:gridCol w:w="1280"/>
      </w:tblGrid>
      <w:tr w14:paraId="77DC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blHeader/>
        </w:trPr>
        <w:tc>
          <w:tcPr>
            <w:tcW w:w="4691" w:type="dxa"/>
            <w:gridSpan w:val="2"/>
            <w:noWrap w:val="0"/>
            <w:vAlign w:val="center"/>
          </w:tcPr>
          <w:p w14:paraId="2DE17D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b/>
                <w:bCs/>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30"/>
                <w:szCs w:val="30"/>
                <w:vertAlign w:val="baseline"/>
                <w:lang w:val="en-US" w:eastAsia="zh-CN"/>
                <w14:textFill>
                  <w14:solidFill>
                    <w14:schemeClr w14:val="tx1"/>
                  </w14:solidFill>
                </w14:textFill>
              </w:rPr>
              <w:t>指标</w:t>
            </w:r>
          </w:p>
        </w:tc>
        <w:tc>
          <w:tcPr>
            <w:tcW w:w="1242" w:type="dxa"/>
            <w:noWrap w:val="0"/>
            <w:vAlign w:val="center"/>
          </w:tcPr>
          <w:p w14:paraId="083010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b/>
                <w:bCs/>
                <w:color w:val="000000" w:themeColor="text1"/>
                <w:sz w:val="30"/>
                <w:szCs w:val="30"/>
                <w:highlight w:val="none"/>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30"/>
                <w:szCs w:val="30"/>
                <w:highlight w:val="none"/>
                <w:vertAlign w:val="baseline"/>
                <w:lang w:val="en-US" w:eastAsia="zh-CN"/>
                <w14:textFill>
                  <w14:solidFill>
                    <w14:schemeClr w14:val="tx1"/>
                  </w14:solidFill>
                </w14:textFill>
              </w:rPr>
              <w:t>2025年</w:t>
            </w:r>
          </w:p>
        </w:tc>
        <w:tc>
          <w:tcPr>
            <w:tcW w:w="1677" w:type="dxa"/>
            <w:noWrap w:val="0"/>
            <w:vAlign w:val="center"/>
          </w:tcPr>
          <w:p w14:paraId="579642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b/>
                <w:bCs/>
                <w:color w:val="000000" w:themeColor="text1"/>
                <w:sz w:val="30"/>
                <w:szCs w:val="30"/>
                <w:highlight w:val="none"/>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30"/>
                <w:szCs w:val="30"/>
                <w:highlight w:val="none"/>
                <w:vertAlign w:val="baseline"/>
                <w:lang w:val="en-US" w:eastAsia="zh-CN"/>
                <w14:textFill>
                  <w14:solidFill>
                    <w14:schemeClr w14:val="tx1"/>
                  </w14:solidFill>
                </w14:textFill>
              </w:rPr>
              <w:t>2030年</w:t>
            </w:r>
          </w:p>
        </w:tc>
        <w:tc>
          <w:tcPr>
            <w:tcW w:w="1280" w:type="dxa"/>
            <w:noWrap w:val="0"/>
            <w:vAlign w:val="center"/>
          </w:tcPr>
          <w:p w14:paraId="34DA63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b/>
                <w:bCs/>
                <w:color w:val="000000" w:themeColor="text1"/>
                <w:sz w:val="30"/>
                <w:szCs w:val="30"/>
                <w:highlight w:val="none"/>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30"/>
                <w:szCs w:val="30"/>
                <w:highlight w:val="none"/>
                <w:vertAlign w:val="baseline"/>
                <w:lang w:val="en-US" w:eastAsia="zh-CN"/>
                <w14:textFill>
                  <w14:solidFill>
                    <w14:schemeClr w14:val="tx1"/>
                  </w14:solidFill>
                </w14:textFill>
              </w:rPr>
              <w:t>属性</w:t>
            </w:r>
          </w:p>
        </w:tc>
      </w:tr>
      <w:tr w14:paraId="4115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98" w:type="dxa"/>
            <w:vMerge w:val="restart"/>
            <w:noWrap w:val="0"/>
            <w:vAlign w:val="center"/>
          </w:tcPr>
          <w:p w14:paraId="592D59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经济指标</w:t>
            </w:r>
          </w:p>
        </w:tc>
        <w:tc>
          <w:tcPr>
            <w:tcW w:w="3893" w:type="dxa"/>
            <w:noWrap w:val="0"/>
            <w:vAlign w:val="center"/>
          </w:tcPr>
          <w:p w14:paraId="1F336B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海洋生产总值</w:t>
            </w: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年均增速（%）</w:t>
            </w:r>
          </w:p>
        </w:tc>
        <w:tc>
          <w:tcPr>
            <w:tcW w:w="1242" w:type="dxa"/>
            <w:noWrap w:val="0"/>
            <w:vAlign w:val="center"/>
          </w:tcPr>
          <w:p w14:paraId="79B941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highlight w:val="none"/>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highlight w:val="none"/>
                <w:vertAlign w:val="baseline"/>
                <w:lang w:val="en-US" w:eastAsia="zh-CN"/>
                <w14:textFill>
                  <w14:solidFill>
                    <w14:schemeClr w14:val="tx1"/>
                  </w14:solidFill>
                </w14:textFill>
              </w:rPr>
              <w:t>-</w:t>
            </w:r>
          </w:p>
        </w:tc>
        <w:tc>
          <w:tcPr>
            <w:tcW w:w="1677" w:type="dxa"/>
            <w:noWrap w:val="0"/>
            <w:vAlign w:val="center"/>
          </w:tcPr>
          <w:p w14:paraId="52387A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highlight w:val="none"/>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w:t>
            </w: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6</w:t>
            </w:r>
          </w:p>
        </w:tc>
        <w:tc>
          <w:tcPr>
            <w:tcW w:w="1280" w:type="dxa"/>
            <w:noWrap w:val="0"/>
            <w:vAlign w:val="center"/>
          </w:tcPr>
          <w:p w14:paraId="4EF232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highlight w:val="none"/>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highlight w:val="none"/>
                <w:vertAlign w:val="baseline"/>
                <w:lang w:val="en-US" w:eastAsia="zh-CN"/>
                <w14:textFill>
                  <w14:solidFill>
                    <w14:schemeClr w14:val="tx1"/>
                  </w14:solidFill>
                </w14:textFill>
              </w:rPr>
              <w:t>预期性</w:t>
            </w:r>
          </w:p>
        </w:tc>
      </w:tr>
      <w:tr w14:paraId="59CCD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8" w:type="dxa"/>
            <w:vMerge w:val="continue"/>
            <w:noWrap w:val="0"/>
            <w:vAlign w:val="center"/>
          </w:tcPr>
          <w:p w14:paraId="02CBC4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p>
        </w:tc>
        <w:tc>
          <w:tcPr>
            <w:tcW w:w="3893" w:type="dxa"/>
            <w:noWrap w:val="0"/>
            <w:vAlign w:val="center"/>
          </w:tcPr>
          <w:p w14:paraId="39E6A5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outlineLvl w:val="9"/>
              <w:rPr>
                <w:rFonts w:hint="default" w:ascii="仿宋_GB2312" w:hAnsi="仿宋_GB2312" w:eastAsia="仿宋_GB2312" w:cs="仿宋_GB2312"/>
                <w:color w:val="000000" w:themeColor="text1"/>
                <w:kern w:val="2"/>
                <w:sz w:val="30"/>
                <w:szCs w:val="30"/>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建成千亿级海洋产业集群数量（个）</w:t>
            </w:r>
          </w:p>
        </w:tc>
        <w:tc>
          <w:tcPr>
            <w:tcW w:w="1242" w:type="dxa"/>
            <w:noWrap w:val="0"/>
            <w:vAlign w:val="center"/>
          </w:tcPr>
          <w:p w14:paraId="1AAE2C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kern w:val="2"/>
                <w:sz w:val="30"/>
                <w:szCs w:val="30"/>
                <w:highlight w:val="none"/>
                <w:vertAlign w:val="baseline"/>
                <w:lang w:val="en-US" w:eastAsia="zh-CN" w:bidi="ar-SA"/>
                <w14:textFill>
                  <w14:solidFill>
                    <w14:schemeClr w14:val="tx1"/>
                  </w14:solidFill>
                </w14:textFill>
              </w:rPr>
            </w:pPr>
            <w:r>
              <w:rPr>
                <w:rFonts w:hint="eastAsia" w:ascii="仿宋_GB2312" w:hAnsi="仿宋_GB2312" w:cs="仿宋_GB2312"/>
                <w:color w:val="000000" w:themeColor="text1"/>
                <w:kern w:val="2"/>
                <w:sz w:val="30"/>
                <w:szCs w:val="30"/>
                <w:highlight w:val="none"/>
                <w:vertAlign w:val="baseline"/>
                <w:lang w:val="en-US" w:eastAsia="zh-CN" w:bidi="ar-SA"/>
                <w14:textFill>
                  <w14:solidFill>
                    <w14:schemeClr w14:val="tx1"/>
                  </w14:solidFill>
                </w14:textFill>
              </w:rPr>
              <w:t>1</w:t>
            </w:r>
          </w:p>
        </w:tc>
        <w:tc>
          <w:tcPr>
            <w:tcW w:w="1677" w:type="dxa"/>
            <w:noWrap w:val="0"/>
            <w:vAlign w:val="center"/>
          </w:tcPr>
          <w:p w14:paraId="1A6055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kern w:val="2"/>
                <w:sz w:val="30"/>
                <w:szCs w:val="30"/>
                <w:highlight w:val="none"/>
                <w:vertAlign w:val="baseline"/>
                <w:lang w:val="en-US" w:eastAsia="zh-CN" w:bidi="ar-SA"/>
                <w14:textFill>
                  <w14:solidFill>
                    <w14:schemeClr w14:val="tx1"/>
                  </w14:solidFill>
                </w14:textFill>
              </w:rPr>
            </w:pPr>
            <w:r>
              <w:rPr>
                <w:rFonts w:hint="eastAsia" w:ascii="仿宋_GB2312" w:hAnsi="仿宋_GB2312" w:cs="仿宋_GB2312"/>
                <w:color w:val="000000" w:themeColor="text1"/>
                <w:kern w:val="2"/>
                <w:sz w:val="30"/>
                <w:szCs w:val="30"/>
                <w:highlight w:val="none"/>
                <w:vertAlign w:val="baseline"/>
                <w:lang w:val="en-US" w:eastAsia="zh-CN" w:bidi="ar-SA"/>
                <w14:textFill>
                  <w14:solidFill>
                    <w14:schemeClr w14:val="tx1"/>
                  </w14:solidFill>
                </w14:textFill>
              </w:rPr>
              <w:t>2</w:t>
            </w:r>
          </w:p>
        </w:tc>
        <w:tc>
          <w:tcPr>
            <w:tcW w:w="1280" w:type="dxa"/>
            <w:noWrap w:val="0"/>
            <w:vAlign w:val="center"/>
          </w:tcPr>
          <w:p w14:paraId="184B37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kern w:val="2"/>
                <w:sz w:val="30"/>
                <w:szCs w:val="30"/>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预期性</w:t>
            </w:r>
          </w:p>
        </w:tc>
      </w:tr>
      <w:tr w14:paraId="6C96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66B8A0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p>
        </w:tc>
        <w:tc>
          <w:tcPr>
            <w:tcW w:w="3893" w:type="dxa"/>
            <w:noWrap w:val="0"/>
            <w:vAlign w:val="center"/>
          </w:tcPr>
          <w:p w14:paraId="70327E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outlineLvl w:val="9"/>
              <w:rPr>
                <w:rFonts w:hint="default" w:ascii="仿宋_GB2312" w:hAnsi="仿宋_GB2312" w:eastAsia="仿宋_GB2312" w:cs="仿宋_GB2312"/>
                <w:color w:val="000000" w:themeColor="text1"/>
                <w:kern w:val="2"/>
                <w:sz w:val="30"/>
                <w:szCs w:val="30"/>
                <w:vertAlign w:val="baseline"/>
                <w:lang w:val="en-US" w:eastAsia="zh-CN" w:bidi="ar-SA"/>
                <w14:textFill>
                  <w14:solidFill>
                    <w14:schemeClr w14:val="tx1"/>
                  </w14:solidFill>
                </w14:textFill>
              </w:rPr>
            </w:pP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新增</w:t>
            </w: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国家级海洋牧场</w:t>
            </w: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面积</w:t>
            </w: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w:t>
            </w: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平方公里</w:t>
            </w: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w:t>
            </w:r>
          </w:p>
        </w:tc>
        <w:tc>
          <w:tcPr>
            <w:tcW w:w="1242" w:type="dxa"/>
            <w:noWrap w:val="0"/>
            <w:vAlign w:val="center"/>
          </w:tcPr>
          <w:p w14:paraId="31D404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kern w:val="2"/>
                <w:sz w:val="30"/>
                <w:szCs w:val="30"/>
                <w:highlight w:val="none"/>
                <w:vertAlign w:val="baseline"/>
                <w:lang w:val="en-US" w:eastAsia="zh-CN" w:bidi="ar-SA"/>
                <w14:textFill>
                  <w14:solidFill>
                    <w14:schemeClr w14:val="tx1"/>
                  </w14:solidFill>
                </w14:textFill>
              </w:rPr>
            </w:pPr>
            <w:r>
              <w:rPr>
                <w:rFonts w:hint="eastAsia" w:ascii="仿宋_GB2312" w:hAnsi="仿宋_GB2312" w:cs="仿宋_GB2312"/>
                <w:color w:val="000000" w:themeColor="text1"/>
                <w:kern w:val="2"/>
                <w:sz w:val="30"/>
                <w:szCs w:val="30"/>
                <w:highlight w:val="none"/>
                <w:vertAlign w:val="baseline"/>
                <w:lang w:val="en-US" w:eastAsia="zh-CN" w:bidi="ar-SA"/>
                <w14:textFill>
                  <w14:solidFill>
                    <w14:schemeClr w14:val="tx1"/>
                  </w14:solidFill>
                </w14:textFill>
              </w:rPr>
              <w:t>-</w:t>
            </w:r>
          </w:p>
        </w:tc>
        <w:tc>
          <w:tcPr>
            <w:tcW w:w="1677" w:type="dxa"/>
            <w:noWrap w:val="0"/>
            <w:vAlign w:val="center"/>
          </w:tcPr>
          <w:p w14:paraId="73165A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kern w:val="2"/>
                <w:sz w:val="30"/>
                <w:szCs w:val="30"/>
                <w:highlight w:val="none"/>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w:t>
            </w: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150</w:t>
            </w:r>
          </w:p>
        </w:tc>
        <w:tc>
          <w:tcPr>
            <w:tcW w:w="1280" w:type="dxa"/>
            <w:noWrap w:val="0"/>
            <w:vAlign w:val="center"/>
          </w:tcPr>
          <w:p w14:paraId="1A3615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kern w:val="2"/>
                <w:sz w:val="30"/>
                <w:szCs w:val="30"/>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预期性</w:t>
            </w:r>
          </w:p>
        </w:tc>
      </w:tr>
      <w:tr w14:paraId="4B212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380F9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p>
        </w:tc>
        <w:tc>
          <w:tcPr>
            <w:tcW w:w="3893" w:type="dxa"/>
            <w:noWrap w:val="0"/>
            <w:vAlign w:val="center"/>
          </w:tcPr>
          <w:p w14:paraId="301C59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outlineLvl w:val="9"/>
              <w:rPr>
                <w:rFonts w:hint="default" w:ascii="仿宋_GB2312" w:hAnsi="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海上风电建成并网规模（</w:t>
            </w:r>
            <w:r>
              <w:rPr>
                <w:rFonts w:hint="default" w:ascii="仿宋_GB2312" w:hAnsi="仿宋_GB2312" w:cs="仿宋_GB2312"/>
                <w:color w:val="000000" w:themeColor="text1"/>
                <w:sz w:val="30"/>
                <w:szCs w:val="30"/>
                <w:vertAlign w:val="baseline"/>
                <w:lang w:val="en-US" w:eastAsia="zh-CN"/>
                <w14:textFill>
                  <w14:solidFill>
                    <w14:schemeClr w14:val="tx1"/>
                  </w14:solidFill>
                </w14:textFill>
              </w:rPr>
              <w:t>万千瓦</w:t>
            </w: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w:t>
            </w:r>
          </w:p>
        </w:tc>
        <w:tc>
          <w:tcPr>
            <w:tcW w:w="1242" w:type="dxa"/>
            <w:noWrap w:val="0"/>
            <w:vAlign w:val="center"/>
          </w:tcPr>
          <w:p w14:paraId="287A36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cs="仿宋_GB2312"/>
                <w:color w:val="000000" w:themeColor="text1"/>
                <w:kern w:val="2"/>
                <w:sz w:val="30"/>
                <w:szCs w:val="30"/>
                <w:highlight w:val="none"/>
                <w:vertAlign w:val="baseline"/>
                <w:lang w:val="en-US" w:eastAsia="zh-CN" w:bidi="ar-SA"/>
                <w14:textFill>
                  <w14:solidFill>
                    <w14:schemeClr w14:val="tx1"/>
                  </w14:solidFill>
                </w14:textFill>
              </w:rPr>
            </w:pPr>
            <w:r>
              <w:rPr>
                <w:rFonts w:hint="eastAsia" w:ascii="仿宋_GB2312" w:hAnsi="仿宋_GB2312" w:cs="仿宋_GB2312"/>
                <w:color w:val="000000" w:themeColor="text1"/>
                <w:kern w:val="2"/>
                <w:sz w:val="30"/>
                <w:szCs w:val="30"/>
                <w:highlight w:val="none"/>
                <w:vertAlign w:val="baseline"/>
                <w:lang w:val="en-US" w:eastAsia="zh-CN" w:bidi="ar-SA"/>
                <w14:textFill>
                  <w14:solidFill>
                    <w14:schemeClr w14:val="tx1"/>
                  </w14:solidFill>
                </w14:textFill>
              </w:rPr>
              <w:t>91</w:t>
            </w:r>
          </w:p>
        </w:tc>
        <w:tc>
          <w:tcPr>
            <w:tcW w:w="1677" w:type="dxa"/>
            <w:noWrap w:val="0"/>
            <w:vAlign w:val="center"/>
          </w:tcPr>
          <w:p w14:paraId="0FB299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w:t>
            </w: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530</w:t>
            </w:r>
          </w:p>
        </w:tc>
        <w:tc>
          <w:tcPr>
            <w:tcW w:w="1280" w:type="dxa"/>
            <w:noWrap w:val="0"/>
            <w:vAlign w:val="center"/>
          </w:tcPr>
          <w:p w14:paraId="23B308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预期性</w:t>
            </w:r>
          </w:p>
        </w:tc>
      </w:tr>
      <w:tr w14:paraId="63D6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798" w:type="dxa"/>
            <w:vMerge w:val="continue"/>
            <w:noWrap w:val="0"/>
            <w:vAlign w:val="center"/>
          </w:tcPr>
          <w:p w14:paraId="7E72B6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p>
        </w:tc>
        <w:tc>
          <w:tcPr>
            <w:tcW w:w="3893" w:type="dxa"/>
            <w:noWrap w:val="0"/>
            <w:vAlign w:val="center"/>
          </w:tcPr>
          <w:p w14:paraId="547CAC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outlineLvl w:val="9"/>
              <w:rPr>
                <w:rFonts w:hint="default" w:ascii="仿宋_GB2312" w:hAnsi="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万吨级以上泊位数（个）</w:t>
            </w:r>
          </w:p>
        </w:tc>
        <w:tc>
          <w:tcPr>
            <w:tcW w:w="1242" w:type="dxa"/>
            <w:noWrap w:val="0"/>
            <w:vAlign w:val="center"/>
          </w:tcPr>
          <w:p w14:paraId="2351E3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cs="仿宋_GB2312"/>
                <w:color w:val="000000" w:themeColor="text1"/>
                <w:kern w:val="2"/>
                <w:sz w:val="30"/>
                <w:szCs w:val="30"/>
                <w:highlight w:val="none"/>
                <w:vertAlign w:val="baseline"/>
                <w:lang w:val="en-US" w:eastAsia="zh-CN" w:bidi="ar-SA"/>
                <w14:textFill>
                  <w14:solidFill>
                    <w14:schemeClr w14:val="tx1"/>
                  </w14:solidFill>
                </w14:textFill>
              </w:rPr>
            </w:pPr>
            <w:r>
              <w:rPr>
                <w:rFonts w:hint="default" w:ascii="仿宋_GB2312" w:hAnsi="仿宋_GB2312" w:cs="仿宋_GB2312"/>
                <w:color w:val="000000" w:themeColor="text1"/>
                <w:kern w:val="2"/>
                <w:sz w:val="30"/>
                <w:szCs w:val="30"/>
                <w:highlight w:val="none"/>
                <w:vertAlign w:val="baseline"/>
                <w:lang w:val="en-US" w:eastAsia="zh-CN" w:bidi="ar-SA"/>
                <w14:textFill>
                  <w14:solidFill>
                    <w14:schemeClr w14:val="tx1"/>
                  </w14:solidFill>
                </w14:textFill>
              </w:rPr>
              <w:t>13</w:t>
            </w:r>
          </w:p>
        </w:tc>
        <w:tc>
          <w:tcPr>
            <w:tcW w:w="1677" w:type="dxa"/>
            <w:noWrap w:val="0"/>
            <w:vAlign w:val="center"/>
          </w:tcPr>
          <w:p w14:paraId="5E50D7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25</w:t>
            </w:r>
          </w:p>
        </w:tc>
        <w:tc>
          <w:tcPr>
            <w:tcW w:w="1280" w:type="dxa"/>
            <w:noWrap w:val="0"/>
            <w:vAlign w:val="center"/>
          </w:tcPr>
          <w:p w14:paraId="126F5C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t>预期性</w:t>
            </w:r>
          </w:p>
        </w:tc>
      </w:tr>
      <w:tr w14:paraId="6884F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98" w:type="dxa"/>
            <w:vMerge w:val="restart"/>
            <w:noWrap w:val="0"/>
            <w:vAlign w:val="center"/>
          </w:tcPr>
          <w:p w14:paraId="0EFCE7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科技指标</w:t>
            </w:r>
          </w:p>
        </w:tc>
        <w:tc>
          <w:tcPr>
            <w:tcW w:w="3893" w:type="dxa"/>
            <w:noWrap w:val="0"/>
            <w:vAlign w:val="center"/>
          </w:tcPr>
          <w:p w14:paraId="65B3BC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市级涉海科创小院</w:t>
            </w: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（家）</w:t>
            </w:r>
          </w:p>
        </w:tc>
        <w:tc>
          <w:tcPr>
            <w:tcW w:w="1242" w:type="dxa"/>
            <w:noWrap w:val="0"/>
            <w:vAlign w:val="center"/>
          </w:tcPr>
          <w:p w14:paraId="7047FA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1</w:t>
            </w:r>
          </w:p>
        </w:tc>
        <w:tc>
          <w:tcPr>
            <w:tcW w:w="1677" w:type="dxa"/>
            <w:noWrap w:val="0"/>
            <w:vAlign w:val="center"/>
          </w:tcPr>
          <w:p w14:paraId="67BBD2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outlineLvl w:val="9"/>
              <w:rPr>
                <w:rFonts w:hint="default" w:ascii="仿宋_GB2312" w:hAnsi="仿宋_GB2312" w:eastAsia="仿宋_GB2312" w:cs="仿宋_GB2312"/>
                <w:color w:val="000000" w:themeColor="text1"/>
                <w:sz w:val="30"/>
                <w:szCs w:val="30"/>
                <w:highlight w:val="none"/>
                <w:vertAlign w:val="baseline"/>
                <w:lang w:val="en-US" w:eastAsia="zh-CN"/>
                <w14:textFill>
                  <w14:solidFill>
                    <w14:schemeClr w14:val="tx1"/>
                  </w14:solidFill>
                </w14:textFill>
              </w:rPr>
            </w:pPr>
            <w:r>
              <w:rPr>
                <w:rFonts w:hint="eastAsia" w:ascii="仿宋_GB2312" w:hAnsi="仿宋_GB2312" w:cs="仿宋_GB2312"/>
                <w:color w:val="000000" w:themeColor="text1"/>
                <w:sz w:val="30"/>
                <w:szCs w:val="30"/>
                <w:highlight w:val="none"/>
                <w:vertAlign w:val="baseline"/>
                <w:lang w:val="en-US" w:eastAsia="zh-CN"/>
                <w14:textFill>
                  <w14:solidFill>
                    <w14:schemeClr w14:val="tx1"/>
                  </w14:solidFill>
                </w14:textFill>
              </w:rPr>
              <w:t>3</w:t>
            </w:r>
          </w:p>
        </w:tc>
        <w:tc>
          <w:tcPr>
            <w:tcW w:w="1280" w:type="dxa"/>
            <w:noWrap w:val="0"/>
            <w:vAlign w:val="center"/>
          </w:tcPr>
          <w:p w14:paraId="7042E0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outlineLvl w:val="9"/>
              <w:rPr>
                <w:rFonts w:hint="default" w:ascii="仿宋_GB2312" w:hAnsi="仿宋_GB2312" w:eastAsia="仿宋_GB2312" w:cs="仿宋_GB2312"/>
                <w:color w:val="000000" w:themeColor="text1"/>
                <w:kern w:val="2"/>
                <w:sz w:val="30"/>
                <w:szCs w:val="30"/>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预期性</w:t>
            </w:r>
          </w:p>
        </w:tc>
      </w:tr>
      <w:tr w14:paraId="4FDB5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798" w:type="dxa"/>
            <w:vMerge w:val="continue"/>
            <w:noWrap w:val="0"/>
            <w:vAlign w:val="center"/>
          </w:tcPr>
          <w:p w14:paraId="414A87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p>
        </w:tc>
        <w:tc>
          <w:tcPr>
            <w:tcW w:w="3893" w:type="dxa"/>
            <w:noWrap w:val="0"/>
            <w:vAlign w:val="center"/>
          </w:tcPr>
          <w:p w14:paraId="1F368A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outlineLvl w:val="9"/>
              <w:rPr>
                <w:rFonts w:hint="default"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cs="仿宋_GB2312"/>
                <w:color w:val="000000" w:themeColor="text1"/>
                <w:sz w:val="30"/>
                <w:szCs w:val="30"/>
                <w:lang w:val="en-US" w:eastAsia="zh-CN"/>
                <w14:textFill>
                  <w14:solidFill>
                    <w14:schemeClr w14:val="tx1"/>
                  </w14:solidFill>
                </w14:textFill>
              </w:rPr>
              <w:t>涉海专精特新企业数量（家）</w:t>
            </w:r>
          </w:p>
        </w:tc>
        <w:tc>
          <w:tcPr>
            <w:tcW w:w="1242" w:type="dxa"/>
            <w:shd w:val="clear" w:color="auto" w:fill="auto"/>
            <w:noWrap w:val="0"/>
            <w:vAlign w:val="center"/>
          </w:tcPr>
          <w:p w14:paraId="6C176F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outlineLvl w:val="9"/>
              <w:rPr>
                <w:rFonts w:hint="default" w:ascii="仿宋_GB2312" w:hAnsi="仿宋_GB2312" w:eastAsia="仿宋_GB2312" w:cs="仿宋_GB2312"/>
                <w:color w:val="000000" w:themeColor="text1"/>
                <w:kern w:val="2"/>
                <w:sz w:val="30"/>
                <w:szCs w:val="30"/>
                <w:vertAlign w:val="baseline"/>
                <w:lang w:val="en-US" w:eastAsia="zh-CN" w:bidi="ar-SA"/>
                <w14:textFill>
                  <w14:solidFill>
                    <w14:schemeClr w14:val="tx1"/>
                  </w14:solidFill>
                </w14:textFill>
              </w:rPr>
            </w:pP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7</w:t>
            </w:r>
          </w:p>
        </w:tc>
        <w:tc>
          <w:tcPr>
            <w:tcW w:w="1677" w:type="dxa"/>
            <w:shd w:val="clear" w:color="auto" w:fill="auto"/>
            <w:noWrap w:val="0"/>
            <w:vAlign w:val="center"/>
          </w:tcPr>
          <w:p w14:paraId="384BDD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outlineLvl w:val="9"/>
              <w:rPr>
                <w:rFonts w:hint="default" w:ascii="仿宋_GB2312" w:hAnsi="仿宋_GB2312" w:eastAsia="仿宋_GB2312" w:cs="仿宋_GB2312"/>
                <w:color w:val="000000" w:themeColor="text1"/>
                <w:kern w:val="2"/>
                <w:sz w:val="30"/>
                <w:szCs w:val="30"/>
                <w:highlight w:val="none"/>
                <w:vertAlign w:val="baseline"/>
                <w:lang w:val="en-US" w:eastAsia="zh-CN" w:bidi="ar-SA"/>
                <w14:textFill>
                  <w14:solidFill>
                    <w14:schemeClr w14:val="tx1"/>
                  </w14:solidFill>
                </w14:textFill>
              </w:rPr>
            </w:pPr>
            <w:r>
              <w:rPr>
                <w:rFonts w:hint="eastAsia" w:ascii="仿宋_GB2312" w:hAnsi="仿宋_GB2312" w:cs="仿宋_GB2312"/>
                <w:color w:val="000000" w:themeColor="text1"/>
                <w:sz w:val="30"/>
                <w:szCs w:val="30"/>
                <w:highlight w:val="none"/>
                <w:vertAlign w:val="baseline"/>
                <w:lang w:val="en-US" w:eastAsia="zh-CN"/>
                <w14:textFill>
                  <w14:solidFill>
                    <w14:schemeClr w14:val="tx1"/>
                  </w14:solidFill>
                </w14:textFill>
              </w:rPr>
              <w:t>待补充</w:t>
            </w:r>
          </w:p>
        </w:tc>
        <w:tc>
          <w:tcPr>
            <w:tcW w:w="1280" w:type="dxa"/>
            <w:shd w:val="clear" w:color="auto" w:fill="auto"/>
            <w:noWrap w:val="0"/>
            <w:vAlign w:val="center"/>
          </w:tcPr>
          <w:p w14:paraId="75C573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outlineLvl w:val="9"/>
              <w:rPr>
                <w:rFonts w:hint="default" w:ascii="仿宋_GB2312" w:hAnsi="仿宋_GB2312" w:eastAsia="仿宋_GB2312" w:cs="仿宋_GB2312"/>
                <w:color w:val="000000" w:themeColor="text1"/>
                <w:kern w:val="2"/>
                <w:sz w:val="30"/>
                <w:szCs w:val="30"/>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预期性</w:t>
            </w:r>
          </w:p>
        </w:tc>
      </w:tr>
      <w:tr w14:paraId="04D4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798" w:type="dxa"/>
            <w:vMerge w:val="restart"/>
            <w:noWrap w:val="0"/>
            <w:vAlign w:val="center"/>
          </w:tcPr>
          <w:p w14:paraId="732D32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生态指标</w:t>
            </w:r>
          </w:p>
        </w:tc>
        <w:tc>
          <w:tcPr>
            <w:tcW w:w="3893" w:type="dxa"/>
            <w:noWrap w:val="0"/>
            <w:vAlign w:val="center"/>
          </w:tcPr>
          <w:p w14:paraId="0515F6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大陆</w:t>
            </w: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自然岸线保有率（%）</w:t>
            </w:r>
          </w:p>
        </w:tc>
        <w:tc>
          <w:tcPr>
            <w:tcW w:w="1242" w:type="dxa"/>
            <w:noWrap w:val="0"/>
            <w:vAlign w:val="center"/>
          </w:tcPr>
          <w:p w14:paraId="711A58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cs="仿宋_GB2312"/>
                <w:color w:val="000000" w:themeColor="text1"/>
                <w:sz w:val="30"/>
                <w:szCs w:val="30"/>
                <w:highlight w:val="none"/>
                <w:vertAlign w:val="baseline"/>
                <w:lang w:val="en-US" w:eastAsia="zh-CN"/>
                <w14:textFill>
                  <w14:solidFill>
                    <w14:schemeClr w14:val="tx1"/>
                  </w14:solidFill>
                </w14:textFill>
              </w:rPr>
              <w:t>45.74</w:t>
            </w:r>
          </w:p>
        </w:tc>
        <w:tc>
          <w:tcPr>
            <w:tcW w:w="1677" w:type="dxa"/>
            <w:noWrap w:val="0"/>
            <w:vAlign w:val="center"/>
          </w:tcPr>
          <w:p w14:paraId="53D3DD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达到省下达的目标指标</w:t>
            </w:r>
          </w:p>
        </w:tc>
        <w:tc>
          <w:tcPr>
            <w:tcW w:w="1280" w:type="dxa"/>
            <w:noWrap w:val="0"/>
            <w:vAlign w:val="center"/>
          </w:tcPr>
          <w:p w14:paraId="015F2D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约束性</w:t>
            </w:r>
          </w:p>
        </w:tc>
      </w:tr>
      <w:tr w14:paraId="291C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trPr>
        <w:tc>
          <w:tcPr>
            <w:tcW w:w="798" w:type="dxa"/>
            <w:vMerge w:val="continue"/>
            <w:noWrap w:val="0"/>
            <w:vAlign w:val="center"/>
          </w:tcPr>
          <w:p w14:paraId="13AD5B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p>
        </w:tc>
        <w:tc>
          <w:tcPr>
            <w:tcW w:w="3893" w:type="dxa"/>
            <w:noWrap w:val="0"/>
            <w:vAlign w:val="center"/>
          </w:tcPr>
          <w:p w14:paraId="7F2693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近岸海域水质（一、二类）优良面积比例（%）</w:t>
            </w:r>
          </w:p>
        </w:tc>
        <w:tc>
          <w:tcPr>
            <w:tcW w:w="1242" w:type="dxa"/>
            <w:noWrap w:val="0"/>
            <w:vAlign w:val="center"/>
          </w:tcPr>
          <w:p w14:paraId="57A82F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99.8</w:t>
            </w:r>
          </w:p>
        </w:tc>
        <w:tc>
          <w:tcPr>
            <w:tcW w:w="1677" w:type="dxa"/>
            <w:noWrap w:val="0"/>
            <w:vAlign w:val="center"/>
          </w:tcPr>
          <w:p w14:paraId="2B14D1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达到省下达的目标指标</w:t>
            </w:r>
          </w:p>
        </w:tc>
        <w:tc>
          <w:tcPr>
            <w:tcW w:w="1280" w:type="dxa"/>
            <w:noWrap w:val="0"/>
            <w:vAlign w:val="center"/>
          </w:tcPr>
          <w:p w14:paraId="73FB3E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约束性</w:t>
            </w:r>
          </w:p>
        </w:tc>
      </w:tr>
      <w:tr w14:paraId="62A89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trPr>
        <w:tc>
          <w:tcPr>
            <w:tcW w:w="798" w:type="dxa"/>
            <w:vMerge w:val="continue"/>
            <w:noWrap w:val="0"/>
            <w:vAlign w:val="center"/>
          </w:tcPr>
          <w:p w14:paraId="5764D3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p>
        </w:tc>
        <w:tc>
          <w:tcPr>
            <w:tcW w:w="3893" w:type="dxa"/>
            <w:noWrap w:val="0"/>
            <w:vAlign w:val="center"/>
          </w:tcPr>
          <w:p w14:paraId="1745BA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美丽海湾建成率（%）</w:t>
            </w:r>
          </w:p>
        </w:tc>
        <w:tc>
          <w:tcPr>
            <w:tcW w:w="1242" w:type="dxa"/>
            <w:noWrap w:val="0"/>
            <w:vAlign w:val="center"/>
          </w:tcPr>
          <w:p w14:paraId="64806A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eastAsia" w:ascii="仿宋_GB2312" w:hAnsi="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cs="仿宋_GB2312"/>
                <w:i w:val="0"/>
                <w:iCs w:val="0"/>
                <w:color w:val="000000" w:themeColor="text1"/>
                <w:kern w:val="2"/>
                <w:sz w:val="30"/>
                <w:szCs w:val="30"/>
                <w:u w:val="none"/>
                <w:lang w:val="en-US" w:eastAsia="zh-CN" w:bidi="ar"/>
                <w14:textFill>
                  <w14:solidFill>
                    <w14:schemeClr w14:val="tx1"/>
                  </w14:solidFill>
                </w14:textFill>
              </w:rPr>
              <w:t>-</w:t>
            </w:r>
          </w:p>
        </w:tc>
        <w:tc>
          <w:tcPr>
            <w:tcW w:w="1677" w:type="dxa"/>
            <w:noWrap w:val="0"/>
            <w:vAlign w:val="center"/>
          </w:tcPr>
          <w:p w14:paraId="7D2EB5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cs="仿宋_GB2312"/>
                <w:color w:val="000000" w:themeColor="text1"/>
                <w:sz w:val="30"/>
                <w:szCs w:val="30"/>
                <w:lang w:val="en-US" w:eastAsia="zh-CN"/>
                <w14:textFill>
                  <w14:solidFill>
                    <w14:schemeClr w14:val="tx1"/>
                  </w14:solidFill>
                </w14:textFill>
              </w:rPr>
              <w:t>75</w:t>
            </w:r>
          </w:p>
        </w:tc>
        <w:tc>
          <w:tcPr>
            <w:tcW w:w="1280" w:type="dxa"/>
            <w:noWrap w:val="0"/>
            <w:vAlign w:val="center"/>
          </w:tcPr>
          <w:p w14:paraId="6B572D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预期性</w:t>
            </w:r>
          </w:p>
        </w:tc>
      </w:tr>
      <w:tr w14:paraId="6FCFA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798" w:type="dxa"/>
            <w:vMerge w:val="restart"/>
            <w:noWrap w:val="0"/>
            <w:vAlign w:val="center"/>
          </w:tcPr>
          <w:p w14:paraId="3D5802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开放指标</w:t>
            </w:r>
          </w:p>
        </w:tc>
        <w:tc>
          <w:tcPr>
            <w:tcW w:w="3893" w:type="dxa"/>
            <w:noWrap w:val="0"/>
            <w:vAlign w:val="center"/>
          </w:tcPr>
          <w:p w14:paraId="319607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outlineLvl w:val="9"/>
              <w:rPr>
                <w:rFonts w:hint="default" w:ascii="仿宋_GB2312" w:hAnsi="仿宋_GB2312" w:eastAsia="仿宋_GB2312" w:cs="仿宋_GB2312"/>
                <w:color w:val="000000" w:themeColor="text1"/>
                <w:sz w:val="30"/>
                <w:szCs w:val="30"/>
                <w:highlight w:val="none"/>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highlight w:val="none"/>
                <w:vertAlign w:val="baseline"/>
                <w:lang w:val="en-US" w:eastAsia="zh-CN"/>
                <w14:textFill>
                  <w14:solidFill>
                    <w14:schemeClr w14:val="tx1"/>
                  </w14:solidFill>
                </w14:textFill>
              </w:rPr>
              <w:t>港口货物</w:t>
            </w:r>
            <w:r>
              <w:rPr>
                <w:rFonts w:hint="eastAsia" w:ascii="仿宋_GB2312" w:hAnsi="仿宋_GB2312" w:cs="仿宋_GB2312"/>
                <w:color w:val="000000" w:themeColor="text1"/>
                <w:sz w:val="30"/>
                <w:szCs w:val="30"/>
                <w:highlight w:val="none"/>
                <w:vertAlign w:val="baseline"/>
                <w:lang w:val="en-US" w:eastAsia="zh-CN"/>
                <w14:textFill>
                  <w14:solidFill>
                    <w14:schemeClr w14:val="tx1"/>
                  </w14:solidFill>
                </w14:textFill>
              </w:rPr>
              <w:t>年</w:t>
            </w:r>
            <w:r>
              <w:rPr>
                <w:rFonts w:hint="eastAsia" w:ascii="仿宋_GB2312" w:hAnsi="仿宋_GB2312" w:eastAsia="仿宋_GB2312" w:cs="仿宋_GB2312"/>
                <w:color w:val="000000" w:themeColor="text1"/>
                <w:sz w:val="30"/>
                <w:szCs w:val="30"/>
                <w:highlight w:val="none"/>
                <w:vertAlign w:val="baseline"/>
                <w:lang w:val="en-US" w:eastAsia="zh-CN"/>
                <w14:textFill>
                  <w14:solidFill>
                    <w14:schemeClr w14:val="tx1"/>
                  </w14:solidFill>
                </w14:textFill>
              </w:rPr>
              <w:t>吞吐量（万吨）</w:t>
            </w:r>
          </w:p>
        </w:tc>
        <w:tc>
          <w:tcPr>
            <w:tcW w:w="1242" w:type="dxa"/>
            <w:noWrap w:val="0"/>
            <w:vAlign w:val="center"/>
          </w:tcPr>
          <w:p w14:paraId="4EBE20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eastAsia" w:ascii="仿宋_GB2312" w:hAnsi="仿宋_GB2312" w:eastAsia="仿宋_GB2312" w:cs="仿宋_GB2312"/>
                <w:color w:val="000000" w:themeColor="text1"/>
                <w:sz w:val="30"/>
                <w:szCs w:val="30"/>
                <w:highlight w:val="none"/>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highlight w:val="none"/>
                <w14:textFill>
                  <w14:solidFill>
                    <w14:schemeClr w14:val="tx1"/>
                  </w14:solidFill>
                </w14:textFill>
              </w:rPr>
              <w:t>7548</w:t>
            </w:r>
          </w:p>
        </w:tc>
        <w:tc>
          <w:tcPr>
            <w:tcW w:w="1677" w:type="dxa"/>
            <w:noWrap w:val="0"/>
            <w:vAlign w:val="center"/>
          </w:tcPr>
          <w:p w14:paraId="3EF649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eastAsia" w:ascii="仿宋_GB2312" w:hAnsi="仿宋_GB2312" w:eastAsia="仿宋_GB2312" w:cs="仿宋_GB2312"/>
                <w:color w:val="000000" w:themeColor="text1"/>
                <w:sz w:val="30"/>
                <w:szCs w:val="30"/>
                <w:highlight w:val="none"/>
                <w:vertAlign w:val="baseline"/>
                <w:lang w:val="en-US" w:eastAsia="zh-CN"/>
                <w14:textFill>
                  <w14:solidFill>
                    <w14:schemeClr w14:val="tx1"/>
                  </w14:solidFill>
                </w14:textFill>
              </w:rPr>
            </w:pPr>
            <w:r>
              <w:rPr>
                <w:rFonts w:hint="eastAsia" w:ascii="仿宋_GB2312" w:hAnsi="仿宋_GB2312" w:cs="仿宋_GB2312"/>
                <w:color w:val="000000" w:themeColor="text1"/>
                <w:sz w:val="30"/>
                <w:szCs w:val="30"/>
                <w:highlight w:val="none"/>
                <w:vertAlign w:val="baseline"/>
                <w:lang w:val="en-US" w:eastAsia="zh-CN"/>
                <w14:textFill>
                  <w14:solidFill>
                    <w14:schemeClr w14:val="tx1"/>
                  </w14:solidFill>
                </w14:textFill>
              </w:rPr>
              <w:t>12000</w:t>
            </w:r>
          </w:p>
        </w:tc>
        <w:tc>
          <w:tcPr>
            <w:tcW w:w="1280" w:type="dxa"/>
            <w:noWrap w:val="0"/>
            <w:vAlign w:val="center"/>
          </w:tcPr>
          <w:p w14:paraId="1FC2C8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预期性</w:t>
            </w:r>
          </w:p>
        </w:tc>
      </w:tr>
      <w:tr w14:paraId="5FEF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798" w:type="dxa"/>
            <w:vMerge w:val="continue"/>
            <w:noWrap w:val="0"/>
            <w:vAlign w:val="top"/>
          </w:tcPr>
          <w:p w14:paraId="2C464C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p>
        </w:tc>
        <w:tc>
          <w:tcPr>
            <w:tcW w:w="3893" w:type="dxa"/>
            <w:noWrap w:val="0"/>
            <w:vAlign w:val="center"/>
          </w:tcPr>
          <w:p w14:paraId="7F9CD9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进出口外贸总额（亿元）</w:t>
            </w:r>
          </w:p>
        </w:tc>
        <w:tc>
          <w:tcPr>
            <w:tcW w:w="1242" w:type="dxa"/>
            <w:noWrap w:val="0"/>
            <w:vAlign w:val="center"/>
          </w:tcPr>
          <w:p w14:paraId="353F9D82">
            <w:pPr>
              <w:keepNext w:val="0"/>
              <w:keepLines w:val="0"/>
              <w:widowControl w:val="0"/>
              <w:suppressLineNumbers w:val="0"/>
              <w:spacing w:before="0" w:beforeAutospacing="0" w:after="0" w:afterAutospacing="0" w:line="400" w:lineRule="exact"/>
              <w:ind w:left="0" w:right="0"/>
              <w:jc w:val="center"/>
              <w:textAlignment w:val="auto"/>
              <w:outlineLvl w:val="9"/>
              <w:rPr>
                <w:rFonts w:hint="default" w:ascii="仿宋_GB2312" w:hAnsi="仿宋_GB2312" w:eastAsia="仿宋_GB2312" w:cs="仿宋_GB2312"/>
                <w:i w:val="0"/>
                <w:iCs w:val="0"/>
                <w:color w:val="000000" w:themeColor="text1"/>
                <w:kern w:val="2"/>
                <w:sz w:val="30"/>
                <w:szCs w:val="30"/>
                <w:u w:val="none"/>
                <w:lang w:val="en-US" w:eastAsia="zh-CN" w:bidi="ar-SA"/>
                <w14:textFill>
                  <w14:solidFill>
                    <w14:schemeClr w14:val="tx1"/>
                  </w14:solidFill>
                </w14:textFill>
              </w:rPr>
            </w:pPr>
            <w:r>
              <w:rPr>
                <w:rFonts w:hint="eastAsia" w:ascii="仿宋_GB2312" w:hAnsi="仿宋_GB2312" w:cs="仿宋_GB2312"/>
                <w:i w:val="0"/>
                <w:iCs w:val="0"/>
                <w:color w:val="000000" w:themeColor="text1"/>
                <w:kern w:val="2"/>
                <w:sz w:val="30"/>
                <w:szCs w:val="30"/>
                <w:u w:val="none"/>
                <w:lang w:val="en-US" w:eastAsia="zh-CN" w:bidi="ar-SA"/>
                <w14:textFill>
                  <w14:solidFill>
                    <w14:schemeClr w14:val="tx1"/>
                  </w14:solidFill>
                </w14:textFill>
              </w:rPr>
              <w:t>136</w:t>
            </w:r>
          </w:p>
        </w:tc>
        <w:tc>
          <w:tcPr>
            <w:tcW w:w="1677" w:type="dxa"/>
            <w:noWrap w:val="0"/>
            <w:vAlign w:val="center"/>
          </w:tcPr>
          <w:p w14:paraId="687E9FF7">
            <w:pPr>
              <w:keepNext w:val="0"/>
              <w:keepLines w:val="0"/>
              <w:widowControl w:val="0"/>
              <w:suppressLineNumbers w:val="0"/>
              <w:spacing w:before="0" w:beforeAutospacing="0" w:after="0" w:afterAutospacing="0" w:line="400" w:lineRule="exact"/>
              <w:ind w:left="0" w:right="0"/>
              <w:jc w:val="center"/>
              <w:textAlignment w:val="auto"/>
              <w:outlineLvl w:val="9"/>
              <w:rPr>
                <w:rFonts w:hint="default" w:ascii="仿宋_GB2312" w:hAnsi="仿宋_GB2312" w:eastAsia="仿宋_GB2312" w:cs="仿宋_GB2312"/>
                <w:i w:val="0"/>
                <w:iCs w:val="0"/>
                <w:color w:val="000000" w:themeColor="text1"/>
                <w:kern w:val="2"/>
                <w:sz w:val="30"/>
                <w:szCs w:val="30"/>
                <w:u w:val="none"/>
                <w:lang w:val="en-US" w:eastAsia="zh-CN" w:bidi="ar-SA"/>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w:t>
            </w: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170</w:t>
            </w:r>
          </w:p>
        </w:tc>
        <w:tc>
          <w:tcPr>
            <w:tcW w:w="1280" w:type="dxa"/>
            <w:noWrap w:val="0"/>
            <w:vAlign w:val="center"/>
          </w:tcPr>
          <w:p w14:paraId="454BF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预期性</w:t>
            </w:r>
          </w:p>
        </w:tc>
      </w:tr>
      <w:tr w14:paraId="5ACE2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8" w:type="dxa"/>
            <w:vMerge w:val="continue"/>
            <w:noWrap w:val="0"/>
            <w:vAlign w:val="top"/>
          </w:tcPr>
          <w:p w14:paraId="05CF02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p>
        </w:tc>
        <w:tc>
          <w:tcPr>
            <w:tcW w:w="3893" w:type="dxa"/>
            <w:noWrap w:val="0"/>
            <w:vAlign w:val="center"/>
          </w:tcPr>
          <w:p w14:paraId="621E61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新增国际友好城市（个）</w:t>
            </w:r>
          </w:p>
        </w:tc>
        <w:tc>
          <w:tcPr>
            <w:tcW w:w="1242" w:type="dxa"/>
            <w:noWrap w:val="0"/>
            <w:vAlign w:val="center"/>
          </w:tcPr>
          <w:p w14:paraId="03FCC3E4">
            <w:pPr>
              <w:keepNext w:val="0"/>
              <w:keepLines w:val="0"/>
              <w:widowControl w:val="0"/>
              <w:suppressLineNumbers w:val="0"/>
              <w:spacing w:before="0" w:beforeAutospacing="0" w:after="0" w:afterAutospacing="0" w:line="400" w:lineRule="exact"/>
              <w:ind w:left="0" w:right="0"/>
              <w:jc w:val="center"/>
              <w:textAlignment w:val="auto"/>
              <w:outlineLvl w:val="9"/>
              <w:rPr>
                <w:rFonts w:hint="default" w:ascii="仿宋_GB2312" w:hAnsi="仿宋_GB2312" w:eastAsia="仿宋_GB2312" w:cs="仿宋_GB2312"/>
                <w:i w:val="0"/>
                <w:iCs w:val="0"/>
                <w:color w:val="000000" w:themeColor="text1"/>
                <w:kern w:val="2"/>
                <w:sz w:val="30"/>
                <w:szCs w:val="30"/>
                <w:u w:val="none"/>
                <w:lang w:val="en-US" w:eastAsia="zh-CN" w:bidi="ar"/>
                <w14:textFill>
                  <w14:solidFill>
                    <w14:schemeClr w14:val="tx1"/>
                  </w14:solidFill>
                </w14:textFill>
              </w:rPr>
            </w:pPr>
            <w:r>
              <w:rPr>
                <w:rFonts w:hint="eastAsia" w:ascii="仿宋_GB2312" w:hAnsi="仿宋_GB2312" w:cs="仿宋_GB2312"/>
                <w:i w:val="0"/>
                <w:iCs w:val="0"/>
                <w:color w:val="000000" w:themeColor="text1"/>
                <w:kern w:val="2"/>
                <w:sz w:val="30"/>
                <w:szCs w:val="30"/>
                <w:u w:val="none"/>
                <w:lang w:val="en-US" w:eastAsia="zh-CN" w:bidi="ar"/>
                <w14:textFill>
                  <w14:solidFill>
                    <w14:schemeClr w14:val="tx1"/>
                  </w14:solidFill>
                </w14:textFill>
              </w:rPr>
              <w:t>-</w:t>
            </w:r>
          </w:p>
        </w:tc>
        <w:tc>
          <w:tcPr>
            <w:tcW w:w="1677" w:type="dxa"/>
            <w:noWrap w:val="0"/>
            <w:vAlign w:val="center"/>
          </w:tcPr>
          <w:p w14:paraId="6106E40F">
            <w:pPr>
              <w:keepNext w:val="0"/>
              <w:keepLines w:val="0"/>
              <w:widowControl w:val="0"/>
              <w:suppressLineNumbers w:val="0"/>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highlight w:val="none"/>
                <w:vertAlign w:val="baseline"/>
                <w:lang w:val="en-US" w:eastAsia="zh-CN"/>
                <w14:textFill>
                  <w14:solidFill>
                    <w14:schemeClr w14:val="tx1"/>
                  </w14:solidFill>
                </w14:textFill>
              </w:rPr>
            </w:pPr>
            <w:r>
              <w:rPr>
                <w:rFonts w:hint="eastAsia" w:ascii="仿宋_GB2312" w:hAnsi="仿宋_GB2312" w:cs="仿宋_GB2312"/>
                <w:color w:val="000000" w:themeColor="text1"/>
                <w:sz w:val="30"/>
                <w:szCs w:val="30"/>
                <w:highlight w:val="none"/>
                <w:vertAlign w:val="baseline"/>
                <w:lang w:val="en-US" w:eastAsia="zh-CN"/>
                <w14:textFill>
                  <w14:solidFill>
                    <w14:schemeClr w14:val="tx1"/>
                  </w14:solidFill>
                </w14:textFill>
              </w:rPr>
              <w:t>2</w:t>
            </w:r>
          </w:p>
        </w:tc>
        <w:tc>
          <w:tcPr>
            <w:tcW w:w="1280" w:type="dxa"/>
            <w:noWrap w:val="0"/>
            <w:vAlign w:val="center"/>
          </w:tcPr>
          <w:p w14:paraId="77F38B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预期性</w:t>
            </w:r>
          </w:p>
        </w:tc>
      </w:tr>
      <w:tr w14:paraId="33F4D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798" w:type="dxa"/>
            <w:vMerge w:val="restart"/>
            <w:noWrap w:val="0"/>
            <w:vAlign w:val="center"/>
          </w:tcPr>
          <w:p w14:paraId="65FB9F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民生指标</w:t>
            </w:r>
          </w:p>
        </w:tc>
        <w:tc>
          <w:tcPr>
            <w:tcW w:w="3893" w:type="dxa"/>
            <w:shd w:val="clear" w:color="auto" w:fill="auto"/>
            <w:noWrap w:val="0"/>
            <w:vAlign w:val="center"/>
          </w:tcPr>
          <w:p w14:paraId="3A8115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both"/>
              <w:textAlignment w:val="auto"/>
              <w:outlineLvl w:val="9"/>
              <w:rPr>
                <w:rFonts w:hint="default" w:ascii="仿宋_GB2312" w:hAnsi="仿宋_GB2312" w:eastAsia="仿宋_GB2312" w:cs="仿宋_GB2312"/>
                <w:color w:val="000000" w:themeColor="text1"/>
                <w:kern w:val="2"/>
                <w:sz w:val="30"/>
                <w:szCs w:val="30"/>
                <w:vertAlign w:val="baseline"/>
                <w:lang w:val="en-US" w:eastAsia="zh-CN" w:bidi="ar-SA"/>
                <w14:textFill>
                  <w14:solidFill>
                    <w14:schemeClr w14:val="tx1"/>
                  </w14:solidFill>
                </w14:textFill>
              </w:rPr>
            </w:pPr>
            <w:r>
              <w:rPr>
                <w:rFonts w:hint="eastAsia" w:ascii="仿宋_GB2312" w:hAnsi="仿宋_GB2312" w:cs="仿宋_GB2312"/>
                <w:color w:val="000000" w:themeColor="text1"/>
                <w:kern w:val="2"/>
                <w:sz w:val="30"/>
                <w:szCs w:val="30"/>
                <w:vertAlign w:val="baseline"/>
                <w:lang w:val="en-US" w:eastAsia="zh-CN" w:bidi="ar-SA"/>
                <w14:textFill>
                  <w14:solidFill>
                    <w14:schemeClr w14:val="tx1"/>
                  </w14:solidFill>
                </w14:textFill>
              </w:rPr>
              <w:t>国家中心渔港（个）</w:t>
            </w:r>
          </w:p>
        </w:tc>
        <w:tc>
          <w:tcPr>
            <w:tcW w:w="1242" w:type="dxa"/>
            <w:shd w:val="clear" w:color="auto" w:fill="auto"/>
            <w:noWrap w:val="0"/>
            <w:vAlign w:val="center"/>
          </w:tcPr>
          <w:p w14:paraId="45FAA6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outlineLvl w:val="9"/>
              <w:rPr>
                <w:rFonts w:hint="default" w:ascii="仿宋_GB2312" w:hAnsi="仿宋_GB2312" w:eastAsia="仿宋_GB2312" w:cs="仿宋_GB2312"/>
                <w:color w:val="000000" w:themeColor="text1"/>
                <w:kern w:val="2"/>
                <w:sz w:val="30"/>
                <w:szCs w:val="30"/>
                <w:vertAlign w:val="baseline"/>
                <w:lang w:val="en-US" w:eastAsia="zh-CN" w:bidi="ar-SA"/>
                <w14:textFill>
                  <w14:solidFill>
                    <w14:schemeClr w14:val="tx1"/>
                  </w14:solidFill>
                </w14:textFill>
              </w:rPr>
            </w:pP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0</w:t>
            </w:r>
          </w:p>
        </w:tc>
        <w:tc>
          <w:tcPr>
            <w:tcW w:w="1677" w:type="dxa"/>
            <w:shd w:val="clear" w:color="auto" w:fill="auto"/>
            <w:noWrap w:val="0"/>
            <w:vAlign w:val="center"/>
          </w:tcPr>
          <w:p w14:paraId="52359D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outlineLvl w:val="9"/>
              <w:rPr>
                <w:rFonts w:hint="default" w:ascii="仿宋_GB2312" w:hAnsi="仿宋_GB2312" w:eastAsia="仿宋_GB2312" w:cs="仿宋_GB2312"/>
                <w:color w:val="000000" w:themeColor="text1"/>
                <w:kern w:val="2"/>
                <w:sz w:val="30"/>
                <w:szCs w:val="30"/>
                <w:highlight w:val="none"/>
                <w:vertAlign w:val="baseline"/>
                <w:lang w:val="en-US" w:eastAsia="zh-CN" w:bidi="ar-SA"/>
                <w14:textFill>
                  <w14:solidFill>
                    <w14:schemeClr w14:val="tx1"/>
                  </w14:solidFill>
                </w14:textFill>
              </w:rPr>
            </w:pPr>
            <w:r>
              <w:rPr>
                <w:rFonts w:hint="eastAsia" w:ascii="仿宋_GB2312" w:hAnsi="仿宋_GB2312" w:cs="仿宋_GB2312"/>
                <w:color w:val="000000" w:themeColor="text1"/>
                <w:sz w:val="30"/>
                <w:szCs w:val="30"/>
                <w:highlight w:val="none"/>
                <w:vertAlign w:val="baseline"/>
                <w:lang w:val="en-US" w:eastAsia="zh-CN"/>
                <w14:textFill>
                  <w14:solidFill>
                    <w14:schemeClr w14:val="tx1"/>
                  </w14:solidFill>
                </w14:textFill>
              </w:rPr>
              <w:t>1</w:t>
            </w:r>
          </w:p>
        </w:tc>
        <w:tc>
          <w:tcPr>
            <w:tcW w:w="1280" w:type="dxa"/>
            <w:shd w:val="clear" w:color="auto" w:fill="auto"/>
            <w:noWrap w:val="0"/>
            <w:vAlign w:val="center"/>
          </w:tcPr>
          <w:p w14:paraId="7DF146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outlineLvl w:val="9"/>
              <w:rPr>
                <w:rFonts w:hint="default" w:ascii="仿宋_GB2312" w:hAnsi="仿宋_GB2312" w:eastAsia="仿宋_GB2312" w:cs="仿宋_GB2312"/>
                <w:color w:val="000000" w:themeColor="text1"/>
                <w:kern w:val="2"/>
                <w:sz w:val="30"/>
                <w:szCs w:val="30"/>
                <w:vertAlign w:val="baseline"/>
                <w:lang w:val="en-US" w:eastAsia="zh-CN" w:bidi="ar-SA"/>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预期性</w:t>
            </w:r>
          </w:p>
        </w:tc>
      </w:tr>
      <w:tr w14:paraId="4FDE0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98" w:type="dxa"/>
            <w:vMerge w:val="continue"/>
            <w:noWrap w:val="0"/>
            <w:vAlign w:val="center"/>
          </w:tcPr>
          <w:p w14:paraId="6F4FD4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bookmarkStart w:id="96" w:name="_Toc8869"/>
            <w:bookmarkStart w:id="97" w:name="_Toc3946"/>
            <w:bookmarkStart w:id="98" w:name="_Toc5648"/>
            <w:bookmarkStart w:id="99" w:name="_Toc28780"/>
            <w:bookmarkStart w:id="100" w:name="_Toc15058"/>
            <w:bookmarkStart w:id="101" w:name="_Toc23148"/>
          </w:p>
        </w:tc>
        <w:tc>
          <w:tcPr>
            <w:tcW w:w="3893" w:type="dxa"/>
            <w:shd w:val="clear" w:color="auto" w:fill="auto"/>
            <w:noWrap w:val="0"/>
            <w:vAlign w:val="center"/>
          </w:tcPr>
          <w:p w14:paraId="1D420E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both"/>
              <w:textAlignment w:val="auto"/>
              <w:outlineLvl w:val="9"/>
              <w:rPr>
                <w:rFonts w:hint="default" w:ascii="仿宋_GB2312" w:hAnsi="仿宋_GB2312" w:cs="仿宋_GB2312"/>
                <w:color w:val="000000" w:themeColor="text1"/>
                <w:kern w:val="2"/>
                <w:sz w:val="30"/>
                <w:szCs w:val="30"/>
                <w:vertAlign w:val="baseline"/>
                <w:lang w:val="en-US" w:eastAsia="zh-CN" w:bidi="ar-SA"/>
                <w14:textFill>
                  <w14:solidFill>
                    <w14:schemeClr w14:val="tx1"/>
                  </w14:solidFill>
                </w14:textFill>
              </w:rPr>
            </w:pPr>
            <w:r>
              <w:rPr>
                <w:rFonts w:hint="eastAsia" w:ascii="仿宋_GB2312" w:hAnsi="仿宋_GB2312" w:cs="仿宋_GB2312"/>
                <w:color w:val="000000" w:themeColor="text1"/>
                <w:kern w:val="2"/>
                <w:sz w:val="30"/>
                <w:szCs w:val="30"/>
                <w:vertAlign w:val="baseline"/>
                <w:lang w:val="en-US" w:eastAsia="zh-CN" w:bidi="ar-SA"/>
                <w14:textFill>
                  <w14:solidFill>
                    <w14:schemeClr w14:val="tx1"/>
                  </w14:solidFill>
                </w14:textFill>
              </w:rPr>
              <w:t>打造滨海特色小镇（个）</w:t>
            </w:r>
          </w:p>
        </w:tc>
        <w:tc>
          <w:tcPr>
            <w:tcW w:w="1242" w:type="dxa"/>
            <w:shd w:val="clear" w:color="auto" w:fill="auto"/>
            <w:noWrap w:val="0"/>
            <w:vAlign w:val="center"/>
          </w:tcPr>
          <w:p w14:paraId="4C0E1E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outlineLvl w:val="9"/>
              <w:rPr>
                <w:rFonts w:hint="default" w:ascii="仿宋_GB2312" w:hAnsi="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cs="仿宋_GB2312"/>
                <w:color w:val="000000" w:themeColor="text1"/>
                <w:sz w:val="30"/>
                <w:szCs w:val="30"/>
                <w:vertAlign w:val="baseline"/>
                <w:lang w:val="en-US" w:eastAsia="zh-CN"/>
                <w14:textFill>
                  <w14:solidFill>
                    <w14:schemeClr w14:val="tx1"/>
                  </w14:solidFill>
                </w14:textFill>
              </w:rPr>
              <w:t>0</w:t>
            </w:r>
          </w:p>
        </w:tc>
        <w:tc>
          <w:tcPr>
            <w:tcW w:w="1677" w:type="dxa"/>
            <w:shd w:val="clear" w:color="auto" w:fill="auto"/>
            <w:noWrap w:val="0"/>
            <w:vAlign w:val="center"/>
          </w:tcPr>
          <w:p w14:paraId="76CD22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outlineLvl w:val="9"/>
              <w:rPr>
                <w:rFonts w:hint="default" w:ascii="仿宋_GB2312" w:hAnsi="仿宋_GB2312" w:cs="仿宋_GB2312"/>
                <w:color w:val="000000" w:themeColor="text1"/>
                <w:sz w:val="30"/>
                <w:szCs w:val="30"/>
                <w:highlight w:val="none"/>
                <w:vertAlign w:val="baseline"/>
                <w:lang w:val="en-US" w:eastAsia="zh-CN"/>
                <w14:textFill>
                  <w14:solidFill>
                    <w14:schemeClr w14:val="tx1"/>
                  </w14:solidFill>
                </w14:textFill>
              </w:rPr>
            </w:pPr>
            <w:r>
              <w:rPr>
                <w:rFonts w:hint="eastAsia" w:ascii="仿宋_GB2312" w:hAnsi="仿宋_GB2312" w:cs="仿宋_GB2312"/>
                <w:color w:val="000000" w:themeColor="text1"/>
                <w:sz w:val="30"/>
                <w:szCs w:val="30"/>
                <w:highlight w:val="none"/>
                <w:vertAlign w:val="baseline"/>
                <w:lang w:val="en-US" w:eastAsia="zh-CN"/>
                <w14:textFill>
                  <w14:solidFill>
                    <w14:schemeClr w14:val="tx1"/>
                  </w14:solidFill>
                </w14:textFill>
              </w:rPr>
              <w:t>5</w:t>
            </w:r>
          </w:p>
        </w:tc>
        <w:tc>
          <w:tcPr>
            <w:tcW w:w="1280" w:type="dxa"/>
            <w:shd w:val="clear" w:color="auto" w:fill="auto"/>
            <w:noWrap w:val="0"/>
            <w:vAlign w:val="center"/>
          </w:tcPr>
          <w:p w14:paraId="132BFF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outlineLvl w:val="9"/>
              <w:rPr>
                <w:rFonts w:hint="default" w:ascii="仿宋_GB2312" w:hAnsi="仿宋_GB2312" w:eastAsia="仿宋_GB2312" w:cs="仿宋_GB2312"/>
                <w:color w:val="000000" w:themeColor="text1"/>
                <w:sz w:val="30"/>
                <w:szCs w:val="30"/>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vertAlign w:val="baseline"/>
                <w:lang w:val="en-US" w:eastAsia="zh-CN"/>
                <w14:textFill>
                  <w14:solidFill>
                    <w14:schemeClr w14:val="tx1"/>
                  </w14:solidFill>
                </w14:textFill>
              </w:rPr>
              <w:t>预期性</w:t>
            </w:r>
          </w:p>
        </w:tc>
      </w:tr>
    </w:tbl>
    <w:p w14:paraId="575E5D73">
      <w:pPr>
        <w:adjustRightInd w:val="0"/>
        <w:snapToGrid/>
        <w:spacing w:before="0" w:beforeLines="0" w:afterLines="0" w:line="580" w:lineRule="exact"/>
        <w:ind w:firstLine="640" w:firstLineChars="200"/>
        <w:jc w:val="both"/>
        <w:outlineLvl w:val="0"/>
        <w:rPr>
          <w:rFonts w:hint="default" w:eastAsia="黑体" w:cs="Times New Roman"/>
          <w:b w:val="0"/>
          <w:bCs w:val="0"/>
          <w:color w:val="auto"/>
          <w:sz w:val="32"/>
          <w:szCs w:val="40"/>
          <w:highlight w:val="none"/>
          <w:lang w:val="en-US" w:eastAsia="zh-CN"/>
        </w:rPr>
      </w:pPr>
      <w:bookmarkStart w:id="102" w:name="_Toc8447"/>
      <w:r>
        <w:rPr>
          <w:rFonts w:hint="eastAsia" w:ascii="Times New Roman" w:hAnsi="Times New Roman" w:eastAsia="黑体" w:cs="Times New Roman"/>
          <w:b w:val="0"/>
          <w:bCs w:val="0"/>
          <w:color w:val="auto"/>
          <w:sz w:val="32"/>
          <w:szCs w:val="40"/>
          <w:highlight w:val="none"/>
          <w:lang w:val="en-US" w:eastAsia="zh-CN"/>
        </w:rPr>
        <w:t>二</w:t>
      </w:r>
      <w:r>
        <w:rPr>
          <w:rFonts w:hint="default" w:ascii="Times New Roman" w:hAnsi="Times New Roman" w:eastAsia="黑体" w:cs="Times New Roman"/>
          <w:b w:val="0"/>
          <w:bCs w:val="0"/>
          <w:color w:val="auto"/>
          <w:sz w:val="32"/>
          <w:szCs w:val="40"/>
          <w:highlight w:val="none"/>
          <w:lang w:val="en-US" w:eastAsia="zh-CN"/>
        </w:rPr>
        <w:t>、</w:t>
      </w:r>
      <w:bookmarkEnd w:id="96"/>
      <w:bookmarkEnd w:id="97"/>
      <w:bookmarkEnd w:id="98"/>
      <w:bookmarkEnd w:id="99"/>
      <w:bookmarkEnd w:id="100"/>
      <w:r>
        <w:rPr>
          <w:rFonts w:hint="eastAsia" w:eastAsia="黑体" w:cs="Times New Roman"/>
          <w:b w:val="0"/>
          <w:bCs w:val="0"/>
          <w:color w:val="auto"/>
          <w:sz w:val="32"/>
          <w:szCs w:val="40"/>
          <w:highlight w:val="none"/>
          <w:lang w:val="en-US" w:eastAsia="zh-CN"/>
        </w:rPr>
        <w:t>拓展蓝色空间，全力打造陆海融合发展新格局</w:t>
      </w:r>
      <w:bookmarkEnd w:id="101"/>
      <w:bookmarkEnd w:id="102"/>
    </w:p>
    <w:p w14:paraId="1186C9A0">
      <w:pPr>
        <w:keepNext w:val="0"/>
        <w:keepLines w:val="0"/>
        <w:pageBreakBefore w:val="0"/>
        <w:widowControl w:val="0"/>
        <w:kinsoku/>
        <w:wordWrap/>
        <w:overflowPunct/>
        <w:topLinePunct w:val="0"/>
        <w:autoSpaceDE/>
        <w:autoSpaceDN/>
        <w:bidi w:val="0"/>
        <w:adjustRightInd/>
        <w:snapToGrid/>
        <w:spacing w:beforeLines="0" w:afterLines="0" w:line="580" w:lineRule="exact"/>
        <w:ind w:firstLine="640" w:firstLineChars="200"/>
        <w:textAlignment w:val="auto"/>
        <w:outlineLvl w:val="9"/>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bookmarkStart w:id="103" w:name="_Toc8890"/>
      <w:bookmarkStart w:id="104" w:name="_Toc29674"/>
      <w:bookmarkStart w:id="105" w:name="_Toc31160"/>
      <w:bookmarkStart w:id="106" w:name="_Toc23665"/>
      <w:bookmarkStart w:id="107" w:name="_Toc30469"/>
      <w:bookmarkStart w:id="108" w:name="_Toc1979"/>
      <w:bookmarkStart w:id="109" w:name="_Toc20741"/>
      <w:bookmarkStart w:id="110" w:name="_Toc26886"/>
      <w:bookmarkStart w:id="111" w:name="_Toc6041"/>
      <w:bookmarkStart w:id="112" w:name="_Toc3357"/>
      <w:bookmarkStart w:id="113" w:name="_Toc2653"/>
      <w:bookmarkStart w:id="114" w:name="_Toc16279"/>
      <w:bookmarkStart w:id="115" w:name="_Toc783"/>
      <w:bookmarkStart w:id="116" w:name="_Toc22452"/>
      <w:bookmarkStart w:id="117" w:name="_Toc25718"/>
      <w:bookmarkStart w:id="118" w:name="_Toc8441"/>
      <w:bookmarkStart w:id="119" w:name="_Toc26001"/>
      <w:bookmarkStart w:id="120" w:name="_Toc513"/>
      <w:bookmarkStart w:id="121" w:name="_Toc10829"/>
      <w:bookmarkStart w:id="122" w:name="_Toc6221"/>
      <w:bookmarkStart w:id="123" w:name="_Toc593"/>
      <w:bookmarkStart w:id="124" w:name="_Toc29315"/>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坚持陆海统筹、港产城联动发展，优化形成“一廊、双核</w:t>
      </w:r>
      <w:r>
        <w:rPr>
          <w:rFonts w:hint="eastAsia" w:ascii="仿宋_GB2312" w:hAnsi="仿宋_GB2312" w:cs="仿宋_GB2312"/>
          <w:color w:val="000000" w:themeColor="text1"/>
          <w:sz w:val="32"/>
          <w:szCs w:val="32"/>
          <w:u w:val="none"/>
          <w:lang w:val="en-US" w:eastAsia="zh-CN"/>
          <w14:textFill>
            <w14:solidFill>
              <w14:schemeClr w14:val="tx1"/>
            </w14:solidFill>
          </w14:textFill>
        </w:rPr>
        <w:t>、五区</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”陆海融合开发保护新格局。</w:t>
      </w:r>
    </w:p>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14:paraId="5CF89080">
      <w:pPr>
        <w:keepNext w:val="0"/>
        <w:keepLines w:val="0"/>
        <w:pageBreakBefore w:val="0"/>
        <w:widowControl w:val="0"/>
        <w:kinsoku/>
        <w:wordWrap/>
        <w:overflowPunct/>
        <w:topLinePunct w:val="0"/>
        <w:autoSpaceDE/>
        <w:autoSpaceDN/>
        <w:bidi w:val="0"/>
        <w:adjustRightInd/>
        <w:snapToGrid/>
        <w:spacing w:beforeLines="0" w:afterLines="0" w:line="580" w:lineRule="exact"/>
        <w:ind w:firstLine="643" w:firstLineChars="200"/>
        <w:textAlignment w:val="auto"/>
        <w:outlineLvl w:val="9"/>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pPr>
      <w:r>
        <w:rPr>
          <w:rFonts w:hint="eastAsia" w:ascii="仿宋_GB2312" w:hAnsi="仿宋_GB2312" w:cs="仿宋_GB2312"/>
          <w:b/>
          <w:bCs/>
          <w:color w:val="000000" w:themeColor="text1"/>
          <w:sz w:val="32"/>
          <w:szCs w:val="32"/>
          <w:u w:val="none"/>
          <w:lang w:val="en-US" w:eastAsia="zh-CN"/>
          <w14:textFill>
            <w14:solidFill>
              <w14:schemeClr w14:val="tx1"/>
            </w14:solidFill>
          </w14:textFill>
        </w:rPr>
        <w:t>“一廊”——海洋生态发展长廊。</w:t>
      </w:r>
      <w:r>
        <w:rPr>
          <w:rFonts w:hint="eastAsia" w:ascii="仿宋_GB2312" w:hAnsi="仿宋_GB2312" w:cs="仿宋_GB2312"/>
          <w:b w:val="0"/>
          <w:bCs w:val="0"/>
          <w:color w:val="000000" w:themeColor="text1"/>
          <w:sz w:val="32"/>
          <w:szCs w:val="32"/>
          <w:u w:val="none"/>
          <w:lang w:val="en-US" w:eastAsia="zh-CN"/>
          <w14:textFill>
            <w14:solidFill>
              <w14:schemeClr w14:val="tx1"/>
            </w14:solidFill>
          </w14:textFill>
        </w:rPr>
        <w:t>以惠来沿海东西向海岸线和滨海产业大道为依托，串联重大海洋科研平台、产业平台和科技金融平台，集聚提升港口航运、海洋金融、海洋科技、临港商务、滨海旅游等功能，强化海洋自主创新能力，发展海洋高端制造业、战略性新兴产业与未来产业、现代海洋服务业等，推动生态、生活和生产功能协调发展。</w:t>
      </w:r>
    </w:p>
    <w:p w14:paraId="35F6DCE7">
      <w:pPr>
        <w:keepNext w:val="0"/>
        <w:keepLines w:val="0"/>
        <w:pageBreakBefore w:val="0"/>
        <w:widowControl w:val="0"/>
        <w:kinsoku/>
        <w:wordWrap/>
        <w:overflowPunct/>
        <w:topLinePunct w:val="0"/>
        <w:autoSpaceDE/>
        <w:autoSpaceDN/>
        <w:bidi w:val="0"/>
        <w:adjustRightInd/>
        <w:snapToGrid/>
        <w:spacing w:beforeLines="0" w:afterLines="0" w:line="580" w:lineRule="exact"/>
        <w:ind w:firstLine="643" w:firstLineChars="200"/>
        <w:textAlignment w:val="auto"/>
        <w:outlineLvl w:val="9"/>
        <w:rPr>
          <w:rFonts w:hint="eastAsia" w:ascii="仿宋_GB2312" w:hAnsi="仿宋_GB2312" w:cs="仿宋_GB2312"/>
          <w:b w:val="0"/>
          <w:bCs w:val="0"/>
          <w:color w:val="000000" w:themeColor="text1"/>
          <w:sz w:val="32"/>
          <w:szCs w:val="32"/>
          <w:u w:val="none"/>
          <w:lang w:val="en-US" w:eastAsia="zh-CN"/>
          <w14:textFill>
            <w14:solidFill>
              <w14:schemeClr w14:val="tx1"/>
            </w14:solidFill>
          </w14:textFill>
        </w:rPr>
      </w:pPr>
      <w:r>
        <w:rPr>
          <w:rFonts w:hint="eastAsia" w:ascii="仿宋_GB2312" w:hAnsi="仿宋_GB2312" w:cs="仿宋_GB2312"/>
          <w:b/>
          <w:bCs/>
          <w:color w:val="000000" w:themeColor="text1"/>
          <w:sz w:val="32"/>
          <w:szCs w:val="32"/>
          <w:u w:val="none"/>
          <w:lang w:val="en-US" w:eastAsia="zh-CN"/>
          <w14:textFill>
            <w14:solidFill>
              <w14:schemeClr w14:val="tx1"/>
            </w14:solidFill>
          </w14:textFill>
        </w:rPr>
        <w:t>“双核”——中心城区发展核、滨海新区发展核。</w:t>
      </w:r>
      <w:r>
        <w:rPr>
          <w:rFonts w:hint="eastAsia" w:ascii="仿宋_GB2312" w:hAnsi="仿宋_GB2312" w:cs="仿宋_GB2312"/>
          <w:b w:val="0"/>
          <w:bCs w:val="0"/>
          <w:color w:val="000000" w:themeColor="text1"/>
          <w:sz w:val="32"/>
          <w:szCs w:val="32"/>
          <w:u w:val="none"/>
          <w:lang w:val="en-US" w:eastAsia="zh-CN"/>
          <w14:textFill>
            <w14:solidFill>
              <w14:schemeClr w14:val="tx1"/>
            </w14:solidFill>
          </w14:textFill>
        </w:rPr>
        <w:t>其中，</w:t>
      </w:r>
      <w:r>
        <w:rPr>
          <w:rFonts w:hint="eastAsia" w:ascii="仿宋_GB2312" w:hAnsi="仿宋_GB2312" w:cs="仿宋_GB2312"/>
          <w:b/>
          <w:bCs/>
          <w:color w:val="000000" w:themeColor="text1"/>
          <w:sz w:val="32"/>
          <w:szCs w:val="32"/>
          <w:u w:val="none"/>
          <w:lang w:val="en-US" w:eastAsia="zh-CN"/>
          <w14:textFill>
            <w14:solidFill>
              <w14:schemeClr w14:val="tx1"/>
            </w14:solidFill>
          </w14:textFill>
        </w:rPr>
        <w:t>中心城区发展核</w:t>
      </w:r>
      <w:r>
        <w:rPr>
          <w:rFonts w:hint="eastAsia" w:ascii="仿宋_GB2312" w:hAnsi="仿宋_GB2312" w:cs="仿宋_GB2312"/>
          <w:b w:val="0"/>
          <w:bCs w:val="0"/>
          <w:color w:val="000000" w:themeColor="text1"/>
          <w:sz w:val="32"/>
          <w:szCs w:val="32"/>
          <w:u w:val="none"/>
          <w:lang w:val="en-US" w:eastAsia="zh-CN"/>
          <w14:textFill>
            <w14:solidFill>
              <w14:schemeClr w14:val="tx1"/>
            </w14:solidFill>
          </w14:textFill>
        </w:rPr>
        <w:t>依托榕城区、汕潮揭临港空铁经济合作区，推动人流、物流、信息流等要素高效流动增值，做强海洋综合管理服务，发展蓝色金融，培育涉海咨询、海事服务新业态，引进海洋总部企业，打造海洋经济服务中枢。重点发展海洋现代服务业，推动临港综合物流与临空服务物流协同发展。</w:t>
      </w:r>
      <w:r>
        <w:rPr>
          <w:rFonts w:hint="eastAsia" w:ascii="仿宋_GB2312" w:hAnsi="仿宋_GB2312" w:cs="仿宋_GB2312"/>
          <w:b/>
          <w:bCs/>
          <w:color w:val="000000" w:themeColor="text1"/>
          <w:sz w:val="32"/>
          <w:szCs w:val="32"/>
          <w:u w:val="none"/>
          <w:lang w:val="en-US" w:eastAsia="zh-CN"/>
          <w14:textFill>
            <w14:solidFill>
              <w14:schemeClr w14:val="tx1"/>
            </w14:solidFill>
          </w14:textFill>
        </w:rPr>
        <w:t>滨海新区发展核</w:t>
      </w:r>
      <w:r>
        <w:rPr>
          <w:rFonts w:hint="eastAsia" w:ascii="仿宋_GB2312" w:hAnsi="仿宋_GB2312" w:cs="仿宋_GB2312"/>
          <w:b w:val="0"/>
          <w:bCs w:val="0"/>
          <w:color w:val="000000" w:themeColor="text1"/>
          <w:sz w:val="32"/>
          <w:szCs w:val="32"/>
          <w:u w:val="none"/>
          <w:lang w:val="en-US" w:eastAsia="zh-CN"/>
          <w14:textFill>
            <w14:solidFill>
              <w14:schemeClr w14:val="tx1"/>
            </w14:solidFill>
          </w14:textFill>
        </w:rPr>
        <w:t>聚焦“一城两园”，推动沿海港口、临港产业园区、惠来中心城区有机融合，谋划引进国内顶级涉海科研机构，突破海洋能开发利用、深海探测等关键核心技术，加快形成粤东海洋科技创新策源地，关联带动海洋综合管理、涉海科技信息服务、临港航运服务等海洋公共服务业发展。</w:t>
      </w:r>
      <w:bookmarkStart w:id="125" w:name="_Toc8951"/>
      <w:bookmarkStart w:id="126" w:name="_Toc26787"/>
      <w:bookmarkStart w:id="127" w:name="_Toc20409"/>
      <w:bookmarkStart w:id="128" w:name="_Toc31395"/>
      <w:bookmarkStart w:id="129" w:name="_Toc5662"/>
      <w:bookmarkStart w:id="130" w:name="_Toc7715"/>
      <w:bookmarkStart w:id="131" w:name="_Toc11821"/>
      <w:bookmarkStart w:id="132" w:name="_Toc390"/>
      <w:bookmarkStart w:id="133" w:name="_Toc32292"/>
      <w:bookmarkStart w:id="134" w:name="_Toc20763"/>
      <w:bookmarkStart w:id="135" w:name="_Toc27023"/>
      <w:bookmarkStart w:id="136" w:name="_Toc13987"/>
      <w:bookmarkStart w:id="137" w:name="_Toc15744"/>
      <w:bookmarkStart w:id="138" w:name="_Toc25281"/>
      <w:bookmarkStart w:id="139" w:name="_Toc31453"/>
      <w:bookmarkStart w:id="140" w:name="_Toc18202"/>
      <w:bookmarkStart w:id="141" w:name="_Toc26132"/>
      <w:bookmarkStart w:id="142" w:name="_Toc21558"/>
      <w:bookmarkStart w:id="143" w:name="_Toc24137"/>
      <w:bookmarkStart w:id="144" w:name="_Toc18315"/>
      <w:bookmarkStart w:id="145" w:name="_Toc9620"/>
      <w:bookmarkStart w:id="146" w:name="_Toc624"/>
    </w:p>
    <w:p w14:paraId="7A3BAF69">
      <w:pPr>
        <w:keepNext w:val="0"/>
        <w:keepLines w:val="0"/>
        <w:pageBreakBefore w:val="0"/>
        <w:widowControl/>
        <w:kinsoku/>
        <w:wordWrap/>
        <w:overflowPunct/>
        <w:topLinePunct w:val="0"/>
        <w:autoSpaceDE/>
        <w:autoSpaceDN/>
        <w:bidi w:val="0"/>
        <w:adjustRightInd/>
        <w:snapToGrid/>
        <w:spacing w:beforeLines="-2147483648" w:afterLines="-2147483648" w:line="240" w:lineRule="auto"/>
        <w:ind w:firstLine="643" w:firstLineChars="200"/>
        <w:textAlignment w:val="auto"/>
        <w:outlineLvl w:val="9"/>
        <w:rPr>
          <w:rFonts w:hint="eastAsia" w:ascii="仿宋_GB2312" w:hAnsi="仿宋_GB2312" w:cs="仿宋_GB2312"/>
          <w:b/>
          <w:bCs/>
          <w:color w:val="000000" w:themeColor="text1"/>
          <w:sz w:val="32"/>
          <w:szCs w:val="32"/>
          <w:u w:val="none"/>
          <w:lang w:val="en-US" w:eastAsia="zh-CN"/>
          <w14:textFill>
            <w14:solidFill>
              <w14:schemeClr w14:val="tx1"/>
            </w14:solidFill>
          </w14:textFill>
        </w:rPr>
      </w:pPr>
      <w:r>
        <w:rPr>
          <w:rFonts w:hint="eastAsia" w:ascii="仿宋_GB2312" w:hAnsi="仿宋_GB2312" w:cs="仿宋_GB2312"/>
          <w:b/>
          <w:bCs/>
          <w:color w:val="000000" w:themeColor="text1"/>
          <w:sz w:val="32"/>
          <w:szCs w:val="32"/>
          <w:u w:val="none"/>
          <w:lang w:val="en-US" w:eastAsia="zh-CN"/>
          <w14:textFill>
            <w14:solidFill>
              <w14:schemeClr w14:val="tx1"/>
            </w14:solidFill>
          </w14:textFill>
        </w:rPr>
        <w:t>“五区”——五个海洋特色产业集聚区。</w:t>
      </w:r>
      <w:r>
        <w:rPr>
          <w:rFonts w:hint="eastAsia" w:ascii="仿宋_GB2312" w:hAnsi="仿宋_GB2312" w:cs="仿宋_GB2312"/>
          <w:b w:val="0"/>
          <w:bCs w:val="0"/>
          <w:color w:val="000000" w:themeColor="text1"/>
          <w:sz w:val="32"/>
          <w:szCs w:val="32"/>
          <w:u w:val="none"/>
          <w:lang w:val="en-US" w:eastAsia="zh-CN"/>
          <w14:textFill>
            <w14:solidFill>
              <w14:schemeClr w14:val="tx1"/>
            </w14:solidFill>
          </w14:textFill>
        </w:rPr>
        <w:t>其中，</w:t>
      </w:r>
      <w:r>
        <w:rPr>
          <w:rFonts w:hint="eastAsia" w:ascii="仿宋_GB2312" w:hAnsi="仿宋_GB2312" w:eastAsia="仿宋_GB2312" w:cs="仿宋_GB2312"/>
          <w:b/>
          <w:bCs/>
          <w:sz w:val="32"/>
          <w:szCs w:val="32"/>
        </w:rPr>
        <w:t>空港联动产业集聚区</w:t>
      </w:r>
      <w:r>
        <w:rPr>
          <w:rFonts w:hint="eastAsia" w:ascii="仿宋_GB2312" w:hAnsi="仿宋_GB2312" w:eastAsia="仿宋_GB2312" w:cs="仿宋_GB2312"/>
          <w:sz w:val="32"/>
          <w:szCs w:val="32"/>
        </w:rPr>
        <w:t>依托</w:t>
      </w:r>
      <w:r>
        <w:rPr>
          <w:rFonts w:hint="eastAsia" w:ascii="仿宋_GB2312" w:hAnsi="仿宋_GB2312" w:eastAsia="仿宋_GB2312" w:cs="仿宋_GB2312"/>
          <w:sz w:val="32"/>
          <w:szCs w:val="32"/>
          <w:lang w:val="en-US" w:eastAsia="zh-CN"/>
        </w:rPr>
        <w:t>潮汕</w:t>
      </w:r>
      <w:r>
        <w:rPr>
          <w:rFonts w:hint="eastAsia" w:ascii="仿宋_GB2312" w:hAnsi="仿宋_GB2312" w:eastAsia="仿宋_GB2312" w:cs="仿宋_GB2312"/>
          <w:sz w:val="32"/>
          <w:szCs w:val="32"/>
        </w:rPr>
        <w:t>机场、榕江港区培育临空临港海洋渔贸新业态，做强海水养殖、水产品加工</w:t>
      </w:r>
      <w:r>
        <w:rPr>
          <w:rFonts w:hint="eastAsia" w:ascii="仿宋_GB2312" w:hAnsi="仿宋_GB2312" w:cs="仿宋_GB2312"/>
          <w:sz w:val="32"/>
          <w:szCs w:val="32"/>
          <w:lang w:val="en-US" w:eastAsia="zh-CN"/>
        </w:rPr>
        <w:t>产业</w:t>
      </w:r>
      <w:r>
        <w:rPr>
          <w:rFonts w:hint="eastAsia" w:ascii="仿宋_GB2312" w:hAnsi="仿宋_GB2312" w:eastAsia="仿宋_GB2312" w:cs="仿宋_GB2312"/>
          <w:sz w:val="32"/>
          <w:szCs w:val="32"/>
        </w:rPr>
        <w:t>，搭建海产品集散销售平台</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发展</w:t>
      </w:r>
      <w:r>
        <w:rPr>
          <w:rFonts w:hint="eastAsia" w:ascii="仿宋_GB2312" w:hAnsi="仿宋_GB2312" w:eastAsia="仿宋_GB2312" w:cs="仿宋_GB2312"/>
          <w:sz w:val="32"/>
          <w:szCs w:val="32"/>
        </w:rPr>
        <w:t>空水联运</w:t>
      </w:r>
      <w:r>
        <w:rPr>
          <w:rFonts w:hint="eastAsia" w:ascii="仿宋_GB2312" w:hAnsi="仿宋_GB2312" w:cs="仿宋_GB2312"/>
          <w:sz w:val="32"/>
          <w:szCs w:val="32"/>
          <w:lang w:val="en-US" w:eastAsia="zh-CN"/>
        </w:rPr>
        <w:t>物流，打造跨境物流产业基地</w:t>
      </w:r>
      <w:r>
        <w:rPr>
          <w:rFonts w:hint="eastAsia" w:ascii="仿宋_GB2312" w:hAnsi="仿宋_GB2312" w:eastAsia="仿宋_GB2312" w:cs="仿宋_GB2312"/>
          <w:sz w:val="32"/>
          <w:szCs w:val="32"/>
        </w:rPr>
        <w:t>。</w:t>
      </w:r>
      <w:r>
        <w:rPr>
          <w:rFonts w:hint="eastAsia" w:ascii="仿宋_GB2312" w:hAnsi="仿宋_GB2312" w:cs="仿宋_GB2312"/>
          <w:b/>
          <w:bCs/>
          <w:color w:val="000000" w:themeColor="text1"/>
          <w:sz w:val="32"/>
          <w:szCs w:val="32"/>
          <w:u w:val="none"/>
          <w:lang w:val="en-US" w:eastAsia="zh-CN"/>
          <w14:textFill>
            <w14:solidFill>
              <w14:schemeClr w14:val="tx1"/>
            </w14:solidFill>
          </w14:textFill>
        </w:rPr>
        <w:t>绿色石化产业集聚区</w:t>
      </w:r>
      <w:r>
        <w:rPr>
          <w:rFonts w:hint="eastAsia" w:ascii="仿宋_GB2312" w:hAnsi="仿宋_GB2312" w:cs="仿宋_GB2312"/>
          <w:b w:val="0"/>
          <w:bCs w:val="0"/>
          <w:color w:val="000000" w:themeColor="text1"/>
          <w:sz w:val="32"/>
          <w:szCs w:val="32"/>
          <w:u w:val="none"/>
          <w:lang w:val="en-US" w:eastAsia="zh-CN"/>
          <w14:textFill>
            <w14:solidFill>
              <w14:schemeClr w14:val="tx1"/>
            </w14:solidFill>
          </w14:textFill>
        </w:rPr>
        <w:t>以大南海石化工业区为核心，坚持绿色化高端化精细化方向，推进广东石化“减油增化增特”改造，完善临港码头、管廊、商储配套，全力打造世界级绿色石化产业基地。</w:t>
      </w:r>
      <w:r>
        <w:rPr>
          <w:rFonts w:hint="eastAsia" w:ascii="仿宋_GB2312" w:hAnsi="仿宋_GB2312" w:cs="仿宋_GB2312"/>
          <w:b/>
          <w:bCs/>
          <w:color w:val="000000" w:themeColor="text1"/>
          <w:sz w:val="32"/>
          <w:szCs w:val="32"/>
          <w:u w:val="none"/>
          <w:lang w:val="en-US" w:eastAsia="zh-CN"/>
          <w14:textFill>
            <w14:solidFill>
              <w14:schemeClr w14:val="tx1"/>
            </w14:solidFill>
          </w14:textFill>
        </w:rPr>
        <w:t>海洋新兴产业集聚区</w:t>
      </w:r>
      <w:r>
        <w:rPr>
          <w:rFonts w:hint="eastAsia" w:ascii="仿宋_GB2312" w:hAnsi="仿宋_GB2312" w:cs="仿宋_GB2312"/>
          <w:b w:val="0"/>
          <w:bCs w:val="0"/>
          <w:color w:val="000000" w:themeColor="text1"/>
          <w:sz w:val="32"/>
          <w:szCs w:val="32"/>
          <w:u w:val="none"/>
          <w:lang w:val="en-US" w:eastAsia="zh-CN"/>
          <w14:textFill>
            <w14:solidFill>
              <w14:schemeClr w14:val="tx1"/>
            </w14:solidFill>
          </w14:textFill>
        </w:rPr>
        <w:t>以惠来临港产业园为核心，做强海工装备、海上风电等产业链条，培育LNG冷能利用、海水制氢等新业态，打造粤东千万千瓦级海上风电基地和海工装备出口基地。</w:t>
      </w:r>
      <w:r>
        <w:rPr>
          <w:rFonts w:hint="eastAsia" w:ascii="仿宋_GB2312" w:hAnsi="仿宋_GB2312" w:cs="仿宋_GB2312"/>
          <w:b/>
          <w:bCs/>
          <w:color w:val="000000" w:themeColor="text1"/>
          <w:sz w:val="32"/>
          <w:szCs w:val="32"/>
          <w:u w:val="none"/>
          <w:lang w:val="en-US" w:eastAsia="zh-CN"/>
          <w14:textFill>
            <w14:solidFill>
              <w14:schemeClr w14:val="tx1"/>
            </w14:solidFill>
          </w14:textFill>
        </w:rPr>
        <w:t>现代海洋渔业集聚区</w:t>
      </w:r>
      <w:r>
        <w:rPr>
          <w:rFonts w:hint="eastAsia" w:ascii="仿宋_GB2312" w:hAnsi="仿宋_GB2312" w:cs="仿宋_GB2312"/>
          <w:b w:val="0"/>
          <w:bCs w:val="0"/>
          <w:color w:val="000000" w:themeColor="text1"/>
          <w:sz w:val="32"/>
          <w:szCs w:val="32"/>
          <w:u w:val="none"/>
          <w:lang w:val="en-US" w:eastAsia="zh-CN"/>
          <w14:textFill>
            <w14:solidFill>
              <w14:schemeClr w14:val="tx1"/>
            </w14:solidFill>
          </w14:textFill>
        </w:rPr>
        <w:t>以神泉中心渔港为核心，着力提升渔港等级，高质量建设现代化海洋牧场和渔港经济区，推动渔旅融合。</w:t>
      </w:r>
      <w:r>
        <w:rPr>
          <w:rFonts w:hint="eastAsia" w:ascii="仿宋_GB2312" w:hAnsi="仿宋_GB2312" w:cs="仿宋_GB2312"/>
          <w:b/>
          <w:bCs/>
          <w:color w:val="000000" w:themeColor="text1"/>
          <w:sz w:val="32"/>
          <w:szCs w:val="32"/>
          <w:u w:val="none"/>
          <w:lang w:val="en-US" w:eastAsia="zh-CN"/>
          <w14:textFill>
            <w14:solidFill>
              <w14:schemeClr w14:val="tx1"/>
            </w14:solidFill>
          </w14:textFill>
        </w:rPr>
        <w:t>滨海清洁能源与文旅融合产业集聚区</w:t>
      </w:r>
      <w:r>
        <w:rPr>
          <w:rFonts w:hint="eastAsia" w:ascii="仿宋_GB2312" w:hAnsi="仿宋_GB2312" w:cs="仿宋_GB2312"/>
          <w:b w:val="0"/>
          <w:bCs w:val="0"/>
          <w:color w:val="000000" w:themeColor="text1"/>
          <w:sz w:val="32"/>
          <w:szCs w:val="32"/>
          <w:u w:val="none"/>
          <w:lang w:val="en-US" w:eastAsia="zh-CN"/>
          <w14:textFill>
            <w14:solidFill>
              <w14:schemeClr w14:val="tx1"/>
            </w14:solidFill>
          </w14:textFill>
        </w:rPr>
        <w:t>加快推动风电、核电等能源项目建设，打造粤东重要能源基地；串联沿海海防遗址、海丝节点、海蚀地貌、滨海旅游景区等资源，打造县域特色旅游线路，实现海洋文化和旅游业深度融合。</w:t>
      </w:r>
      <w:r>
        <w:rPr>
          <w:rFonts w:hint="eastAsia" w:ascii="仿宋_GB2312" w:hAnsi="仿宋_GB2312" w:cs="仿宋_GB2312"/>
          <w:b/>
          <w:bCs/>
          <w:color w:val="000000" w:themeColor="text1"/>
          <w:sz w:val="32"/>
          <w:szCs w:val="32"/>
          <w:u w:val="none"/>
          <w:lang w:val="en-US" w:eastAsia="zh-CN"/>
          <w14:textFill>
            <w14:solidFill>
              <w14:schemeClr w14:val="tx1"/>
            </w14:solidFill>
          </w14:textFill>
        </w:rPr>
        <w:br w:type="page"/>
      </w:r>
    </w:p>
    <w:p w14:paraId="747742F4">
      <w:pPr>
        <w:keepNext w:val="0"/>
        <w:keepLines w:val="0"/>
        <w:pageBreakBefore w:val="0"/>
        <w:widowControl w:val="0"/>
        <w:kinsoku/>
        <w:wordWrap/>
        <w:overflowPunct/>
        <w:topLinePunct w:val="0"/>
        <w:autoSpaceDE/>
        <w:autoSpaceDN/>
        <w:bidi w:val="0"/>
        <w:adjustRightInd/>
        <w:snapToGrid/>
        <w:spacing w:beforeLines="0" w:afterLines="0" w:line="580" w:lineRule="exact"/>
        <w:ind w:firstLine="0" w:firstLineChars="0"/>
        <w:textAlignment w:val="auto"/>
        <w:outlineLvl w:val="9"/>
        <w:rPr>
          <w:rFonts w:hint="eastAsia" w:ascii="仿宋_GB2312" w:hAnsi="仿宋_GB2312" w:cs="仿宋_GB2312"/>
          <w:b/>
          <w:bCs/>
          <w:color w:val="000000" w:themeColor="text1"/>
          <w:sz w:val="32"/>
          <w:szCs w:val="32"/>
          <w:u w:val="none"/>
          <w:lang w:val="en-US" w:eastAsia="zh-CN"/>
          <w14:textFill>
            <w14:solidFill>
              <w14:schemeClr w14:val="tx1"/>
            </w14:solidFill>
          </w14:textFill>
        </w:rPr>
        <w:sectPr>
          <w:footerReference r:id="rId8" w:type="default"/>
          <w:pgSz w:w="11906" w:h="16838"/>
          <w:pgMar w:top="1985" w:right="1616" w:bottom="1814" w:left="1616" w:header="851" w:footer="1474" w:gutter="0"/>
          <w:pgBorders>
            <w:top w:val="none" w:sz="0" w:space="0"/>
            <w:left w:val="none" w:sz="0" w:space="0"/>
            <w:bottom w:val="none" w:sz="0" w:space="0"/>
            <w:right w:val="none" w:sz="0" w:space="0"/>
          </w:pgBorders>
          <w:pgNumType w:fmt="decimal" w:start="1"/>
          <w:cols w:space="0" w:num="1"/>
          <w:rtlGutter w:val="0"/>
          <w:docGrid w:type="lines" w:linePitch="588" w:charSpace="0"/>
        </w:sectPr>
      </w:pPr>
    </w:p>
    <w:p w14:paraId="71498B9D">
      <w:pPr>
        <w:keepNext w:val="0"/>
        <w:keepLines w:val="0"/>
        <w:pageBreakBefore w:val="0"/>
        <w:widowControl/>
        <w:kinsoku/>
        <w:wordWrap/>
        <w:overflowPunct/>
        <w:topLinePunct w:val="0"/>
        <w:autoSpaceDE/>
        <w:autoSpaceDN/>
        <w:bidi w:val="0"/>
        <w:adjustRightInd/>
        <w:snapToGrid/>
        <w:spacing w:beforeLines="-2147483648" w:afterLines="-2147483648" w:line="240" w:lineRule="auto"/>
        <w:ind w:firstLine="0" w:firstLineChars="0"/>
        <w:jc w:val="center"/>
        <w:textAlignment w:val="auto"/>
        <w:outlineLvl w:val="9"/>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pPr>
      <w:r>
        <w:rPr>
          <w:rFonts w:hint="eastAsia" w:ascii="仿宋_GB2312" w:hAnsi="仿宋_GB2312" w:cs="仿宋_GB2312"/>
          <w:b/>
          <w:bCs/>
          <w:color w:val="000000" w:themeColor="text1"/>
          <w:sz w:val="32"/>
          <w:szCs w:val="32"/>
          <w:u w:val="none"/>
          <w:lang w:val="en-US" w:eastAsia="zh-CN"/>
          <w14:textFill>
            <w14:solidFill>
              <w14:schemeClr w14:val="tx1"/>
            </w14:solidFill>
          </w14:textFill>
        </w:rPr>
        <w:drawing>
          <wp:inline distT="0" distB="0" distL="114300" distR="114300">
            <wp:extent cx="6977380" cy="4788535"/>
            <wp:effectExtent l="0" t="0" r="2540" b="12065"/>
            <wp:docPr id="5" name="图片 5" descr="揭阳配图（一廊双核五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揭阳配图（一廊双核五区）"/>
                    <pic:cNvPicPr>
                      <a:picLocks noChangeAspect="1"/>
                    </pic:cNvPicPr>
                  </pic:nvPicPr>
                  <pic:blipFill>
                    <a:blip r:embed="rId10"/>
                    <a:stretch>
                      <a:fillRect/>
                    </a:stretch>
                  </pic:blipFill>
                  <pic:spPr>
                    <a:xfrm>
                      <a:off x="0" y="0"/>
                      <a:ext cx="6977380" cy="4788535"/>
                    </a:xfrm>
                    <a:prstGeom prst="rect">
                      <a:avLst/>
                    </a:prstGeom>
                  </pic:spPr>
                </pic:pic>
              </a:graphicData>
            </a:graphic>
          </wp:inline>
        </w:drawing>
      </w:r>
    </w:p>
    <w:p w14:paraId="7B88A941">
      <w:pPr>
        <w:keepNext w:val="0"/>
        <w:keepLines w:val="0"/>
        <w:pageBreakBefore w:val="0"/>
        <w:widowControl w:val="0"/>
        <w:kinsoku/>
        <w:wordWrap/>
        <w:overflowPunct/>
        <w:topLinePunct w:val="0"/>
        <w:autoSpaceDE/>
        <w:autoSpaceDN/>
        <w:bidi w:val="0"/>
        <w:adjustRightInd/>
        <w:snapToGrid/>
        <w:spacing w:beforeLines="0" w:afterLines="0" w:line="580" w:lineRule="exact"/>
        <w:jc w:val="center"/>
        <w:textAlignment w:val="auto"/>
        <w:outlineLvl w:val="9"/>
        <w:rPr>
          <w:rFonts w:hint="eastAsia" w:ascii="仿宋_GB2312" w:hAnsi="仿宋_GB2312" w:eastAsia="仿宋_GB2312" w:cs="仿宋_GB2312"/>
          <w:b/>
          <w:bCs/>
          <w:color w:val="000000" w:themeColor="text1"/>
          <w:sz w:val="28"/>
          <w:szCs w:val="28"/>
          <w:highlight w:val="none"/>
          <w:u w:val="none"/>
          <w:lang w:val="en-US" w:eastAsia="zh-CN"/>
          <w14:textFill>
            <w14:solidFill>
              <w14:schemeClr w14:val="tx1"/>
            </w14:solidFill>
          </w14:textFill>
        </w:rPr>
      </w:pPr>
      <w:r>
        <w:rPr>
          <w:rFonts w:hint="eastAsia" w:ascii="仿宋_GB2312" w:hAnsi="仿宋_GB2312" w:cs="仿宋_GB2312"/>
          <w:b/>
          <w:bCs/>
          <w:color w:val="000000" w:themeColor="text1"/>
          <w:sz w:val="28"/>
          <w:szCs w:val="28"/>
          <w:highlight w:val="none"/>
          <w:u w:val="none"/>
          <w:lang w:val="en-US" w:eastAsia="zh-CN"/>
          <w14:textFill>
            <w14:solidFill>
              <w14:schemeClr w14:val="tx1"/>
            </w14:solidFill>
          </w14:textFill>
        </w:rPr>
        <w:t>揭阳</w:t>
      </w:r>
      <w:r>
        <w:rPr>
          <w:rFonts w:hint="eastAsia" w:ascii="仿宋_GB2312" w:hAnsi="仿宋_GB2312" w:eastAsia="仿宋_GB2312" w:cs="仿宋_GB2312"/>
          <w:b/>
          <w:bCs/>
          <w:color w:val="000000" w:themeColor="text1"/>
          <w:sz w:val="28"/>
          <w:szCs w:val="28"/>
          <w:highlight w:val="none"/>
          <w:u w:val="none"/>
          <w:lang w:val="en-US" w:eastAsia="zh-CN"/>
          <w14:textFill>
            <w14:solidFill>
              <w14:schemeClr w14:val="tx1"/>
            </w14:solidFill>
          </w14:textFill>
        </w:rPr>
        <w:t>市“一</w:t>
      </w:r>
      <w:r>
        <w:rPr>
          <w:rFonts w:hint="eastAsia" w:ascii="仿宋_GB2312" w:hAnsi="仿宋_GB2312" w:cs="仿宋_GB2312"/>
          <w:b/>
          <w:bCs/>
          <w:color w:val="000000" w:themeColor="text1"/>
          <w:sz w:val="28"/>
          <w:szCs w:val="28"/>
          <w:highlight w:val="none"/>
          <w:u w:val="none"/>
          <w:lang w:val="en-US" w:eastAsia="zh-CN"/>
          <w14:textFill>
            <w14:solidFill>
              <w14:schemeClr w14:val="tx1"/>
            </w14:solidFill>
          </w14:textFill>
        </w:rPr>
        <w:t>廊双</w:t>
      </w:r>
      <w:r>
        <w:rPr>
          <w:rFonts w:hint="eastAsia" w:ascii="仿宋_GB2312" w:hAnsi="仿宋_GB2312" w:eastAsia="仿宋_GB2312" w:cs="仿宋_GB2312"/>
          <w:b/>
          <w:bCs/>
          <w:color w:val="000000" w:themeColor="text1"/>
          <w:sz w:val="28"/>
          <w:szCs w:val="28"/>
          <w:highlight w:val="none"/>
          <w:u w:val="none"/>
          <w:lang w:val="en-US" w:eastAsia="zh-CN"/>
          <w14:textFill>
            <w14:solidFill>
              <w14:schemeClr w14:val="tx1"/>
            </w14:solidFill>
          </w14:textFill>
        </w:rPr>
        <w:t>核</w:t>
      </w:r>
      <w:r>
        <w:rPr>
          <w:rFonts w:hint="eastAsia" w:ascii="仿宋_GB2312" w:hAnsi="仿宋_GB2312" w:cs="仿宋_GB2312"/>
          <w:b/>
          <w:bCs/>
          <w:color w:val="000000" w:themeColor="text1"/>
          <w:sz w:val="28"/>
          <w:szCs w:val="28"/>
          <w:highlight w:val="none"/>
          <w:u w:val="none"/>
          <w:lang w:val="en-US" w:eastAsia="zh-CN"/>
          <w14:textFill>
            <w14:solidFill>
              <w14:schemeClr w14:val="tx1"/>
            </w14:solidFill>
          </w14:textFill>
        </w:rPr>
        <w:t>五</w:t>
      </w:r>
      <w:r>
        <w:rPr>
          <w:rFonts w:hint="eastAsia" w:ascii="仿宋_GB2312" w:hAnsi="仿宋_GB2312" w:eastAsia="仿宋_GB2312" w:cs="仿宋_GB2312"/>
          <w:b/>
          <w:bCs/>
          <w:color w:val="000000" w:themeColor="text1"/>
          <w:sz w:val="28"/>
          <w:szCs w:val="28"/>
          <w:highlight w:val="none"/>
          <w:u w:val="none"/>
          <w:lang w:val="en-US" w:eastAsia="zh-CN"/>
          <w14:textFill>
            <w14:solidFill>
              <w14:schemeClr w14:val="tx1"/>
            </w14:solidFill>
          </w14:textFill>
        </w:rPr>
        <w:t>区”海洋经济发展空间布局示意图</w:t>
      </w:r>
    </w:p>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14:paraId="54E14C9D">
      <w:pPr>
        <w:keepNext w:val="0"/>
        <w:keepLines w:val="0"/>
        <w:pageBreakBefore w:val="0"/>
        <w:widowControl/>
        <w:kinsoku/>
        <w:wordWrap/>
        <w:overflowPunct/>
        <w:topLinePunct w:val="0"/>
        <w:autoSpaceDE/>
        <w:autoSpaceDN/>
        <w:bidi w:val="0"/>
        <w:adjustRightInd w:val="0"/>
        <w:snapToGrid/>
        <w:spacing w:before="0" w:beforeLines="0" w:after="0" w:afterLines="0" w:line="580" w:lineRule="exact"/>
        <w:ind w:firstLine="562" w:firstLineChars="200"/>
        <w:jc w:val="both"/>
        <w:textAlignment w:val="auto"/>
        <w:outlineLvl w:val="0"/>
        <w:rPr>
          <w:rFonts w:hint="eastAsia" w:ascii="仿宋_GB2312" w:hAnsi="仿宋_GB2312" w:eastAsia="仿宋_GB2312" w:cs="仿宋_GB2312"/>
          <w:b/>
          <w:bCs/>
          <w:color w:val="000000" w:themeColor="text1"/>
          <w:sz w:val="28"/>
          <w:szCs w:val="28"/>
          <w:u w:val="none"/>
          <w:lang w:val="en-US" w:eastAsia="zh-CN"/>
          <w14:textFill>
            <w14:solidFill>
              <w14:schemeClr w14:val="tx1"/>
            </w14:solidFill>
          </w14:textFill>
        </w:rPr>
        <w:sectPr>
          <w:pgSz w:w="16838" w:h="11906" w:orient="landscape"/>
          <w:pgMar w:top="1616" w:right="1985" w:bottom="1616" w:left="1814" w:header="851" w:footer="1474" w:gutter="0"/>
          <w:pgBorders>
            <w:top w:val="none" w:sz="0" w:space="0"/>
            <w:left w:val="none" w:sz="0" w:space="0"/>
            <w:bottom w:val="none" w:sz="0" w:space="0"/>
            <w:right w:val="none" w:sz="0" w:space="0"/>
          </w:pgBorders>
          <w:pgNumType w:fmt="decimal"/>
          <w:cols w:space="0" w:num="1"/>
          <w:rtlGutter w:val="0"/>
          <w:docGrid w:type="lines" w:linePitch="588" w:charSpace="0"/>
        </w:sectPr>
      </w:pPr>
    </w:p>
    <w:p w14:paraId="21C5D642">
      <w:pPr>
        <w:keepNext w:val="0"/>
        <w:keepLines w:val="0"/>
        <w:pageBreakBefore w:val="0"/>
        <w:widowControl/>
        <w:kinsoku/>
        <w:wordWrap/>
        <w:overflowPunct/>
        <w:topLinePunct w:val="0"/>
        <w:autoSpaceDE/>
        <w:autoSpaceDN/>
        <w:bidi w:val="0"/>
        <w:adjustRightInd w:val="0"/>
        <w:snapToGrid/>
        <w:spacing w:before="0" w:beforeLines="0" w:after="0" w:afterLines="0" w:line="580" w:lineRule="exact"/>
        <w:ind w:firstLine="640" w:firstLineChars="200"/>
        <w:jc w:val="both"/>
        <w:textAlignment w:val="auto"/>
        <w:outlineLvl w:val="0"/>
        <w:rPr>
          <w:rFonts w:hint="eastAsia" w:ascii="方正公文小标宋" w:hAnsi="方正公文小标宋" w:eastAsia="方正公文小标宋" w:cs="方正公文小标宋"/>
          <w:b w:val="0"/>
          <w:bCs w:val="0"/>
          <w:color w:val="000000" w:themeColor="text1"/>
          <w:spacing w:val="0"/>
          <w:sz w:val="32"/>
          <w:szCs w:val="32"/>
          <w:highlight w:val="yellow"/>
          <w:u w:val="none"/>
          <w:lang w:val="en-US" w:eastAsia="zh-CN"/>
          <w14:textFill>
            <w14:solidFill>
              <w14:schemeClr w14:val="tx1"/>
            </w14:solidFill>
          </w14:textFill>
        </w:rPr>
      </w:pPr>
      <w:bookmarkStart w:id="147" w:name="_Toc6996"/>
      <w:bookmarkStart w:id="148" w:name="_Toc20856"/>
      <w:bookmarkStart w:id="149" w:name="_Toc8000"/>
      <w:bookmarkStart w:id="150" w:name="_Toc26190"/>
      <w:bookmarkStart w:id="151" w:name="_Toc25806"/>
      <w:bookmarkStart w:id="152" w:name="_Toc7202"/>
      <w:bookmarkStart w:id="153" w:name="_Toc9335"/>
      <w:bookmarkStart w:id="154" w:name="_Toc32399"/>
      <w:bookmarkStart w:id="155" w:name="_Toc30781"/>
      <w:bookmarkStart w:id="156" w:name="_Toc20151"/>
      <w:bookmarkStart w:id="157" w:name="_Toc18500"/>
      <w:bookmarkStart w:id="158" w:name="_Toc15786"/>
      <w:bookmarkStart w:id="159" w:name="_Toc27617"/>
      <w:bookmarkStart w:id="160" w:name="_Toc27493"/>
      <w:bookmarkStart w:id="161" w:name="_Toc10480"/>
      <w:bookmarkStart w:id="162" w:name="_Toc17500"/>
      <w:bookmarkStart w:id="163" w:name="_Toc23027"/>
      <w:bookmarkStart w:id="164" w:name="_Toc7207"/>
      <w:bookmarkStart w:id="165" w:name="_Toc4345"/>
      <w:bookmarkStart w:id="166" w:name="_Toc14822"/>
      <w:bookmarkStart w:id="167" w:name="_Toc25413"/>
      <w:bookmarkStart w:id="168" w:name="_Toc20710"/>
      <w:bookmarkStart w:id="169" w:name="_Toc31874"/>
      <w:bookmarkStart w:id="170" w:name="_Toc10395"/>
      <w:bookmarkStart w:id="171" w:name="_Toc4488"/>
      <w:bookmarkStart w:id="172" w:name="_Toc12237"/>
      <w:r>
        <w:rPr>
          <w:rFonts w:hint="eastAsia" w:ascii="Times New Roman" w:hAnsi="Times New Roman" w:eastAsia="黑体" w:cs="Times New Roman"/>
          <w:b w:val="0"/>
          <w:bCs w:val="0"/>
          <w:color w:val="auto"/>
          <w:spacing w:val="0"/>
          <w:sz w:val="32"/>
          <w:szCs w:val="32"/>
          <w:highlight w:val="none"/>
          <w:u w:val="none"/>
          <w:lang w:val="en-US" w:eastAsia="zh-CN"/>
        </w:rPr>
        <w:t>三、</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Fonts w:hint="eastAsia" w:eastAsia="黑体" w:cs="Times New Roman"/>
          <w:b w:val="0"/>
          <w:bCs w:val="0"/>
          <w:color w:val="auto"/>
          <w:spacing w:val="0"/>
          <w:sz w:val="32"/>
          <w:szCs w:val="32"/>
          <w:highlight w:val="none"/>
          <w:u w:val="none"/>
          <w:lang w:val="en-US" w:eastAsia="zh-CN"/>
        </w:rPr>
        <w:t>激</w:t>
      </w:r>
      <w:r>
        <w:rPr>
          <w:rFonts w:hint="eastAsia" w:ascii="Times New Roman" w:hAnsi="Times New Roman" w:eastAsia="黑体" w:cs="Times New Roman"/>
          <w:b w:val="0"/>
          <w:bCs w:val="0"/>
          <w:color w:val="auto"/>
          <w:spacing w:val="0"/>
          <w:sz w:val="32"/>
          <w:szCs w:val="32"/>
          <w:highlight w:val="none"/>
          <w:u w:val="none"/>
          <w:lang w:val="en-US" w:eastAsia="zh-CN"/>
        </w:rPr>
        <w:t>活蓝色动力，打造具有</w:t>
      </w:r>
      <w:r>
        <w:rPr>
          <w:rFonts w:hint="eastAsia" w:eastAsia="黑体" w:cs="Times New Roman"/>
          <w:b w:val="0"/>
          <w:bCs w:val="0"/>
          <w:color w:val="auto"/>
          <w:spacing w:val="0"/>
          <w:sz w:val="32"/>
          <w:szCs w:val="32"/>
          <w:highlight w:val="none"/>
          <w:u w:val="none"/>
          <w:lang w:val="en-US" w:eastAsia="zh-CN"/>
        </w:rPr>
        <w:t>揭阳</w:t>
      </w:r>
      <w:r>
        <w:rPr>
          <w:rFonts w:hint="eastAsia" w:ascii="Times New Roman" w:hAnsi="Times New Roman" w:eastAsia="黑体" w:cs="Times New Roman"/>
          <w:b w:val="0"/>
          <w:bCs w:val="0"/>
          <w:color w:val="auto"/>
          <w:spacing w:val="0"/>
          <w:sz w:val="32"/>
          <w:szCs w:val="32"/>
          <w:highlight w:val="none"/>
          <w:u w:val="none"/>
          <w:lang w:val="en-US" w:eastAsia="zh-CN"/>
        </w:rPr>
        <w:t>特色的现代海洋产业体系</w:t>
      </w:r>
      <w:bookmarkEnd w:id="171"/>
      <w:bookmarkEnd w:id="172"/>
    </w:p>
    <w:p w14:paraId="001EF0CD">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outlineLvl w:val="1"/>
        <w:rPr>
          <w:rFonts w:hint="eastAsia" w:ascii="仿宋_GB2312" w:hAnsi="仿宋_GB2312" w:eastAsia="仿宋_GB2312" w:cs="仿宋_GB2312"/>
          <w:b/>
          <w:bCs/>
          <w:color w:val="000000" w:themeColor="text1"/>
          <w:kern w:val="2"/>
          <w:sz w:val="32"/>
          <w:szCs w:val="32"/>
          <w14:textFill>
            <w14:solidFill>
              <w14:schemeClr w14:val="tx1"/>
            </w14:solidFill>
          </w14:textFill>
        </w:rPr>
      </w:pPr>
      <w:bookmarkStart w:id="173" w:name="_Toc16763"/>
      <w:bookmarkStart w:id="174" w:name="_Toc3616"/>
      <w:bookmarkStart w:id="175" w:name="_Toc7719"/>
      <w:bookmarkStart w:id="176" w:name="_Toc7958"/>
      <w:bookmarkStart w:id="177" w:name="_Toc6481"/>
      <w:bookmarkStart w:id="178" w:name="_Toc22042"/>
      <w:bookmarkStart w:id="179" w:name="_Toc149"/>
      <w:bookmarkStart w:id="180" w:name="_Toc2024"/>
      <w:bookmarkStart w:id="181" w:name="_Toc32157"/>
      <w:bookmarkStart w:id="182" w:name="_Toc9322"/>
      <w:bookmarkStart w:id="183" w:name="_Toc31949"/>
      <w:bookmarkStart w:id="184" w:name="_Toc23420"/>
      <w:bookmarkStart w:id="185" w:name="_Toc26515"/>
      <w:bookmarkStart w:id="186" w:name="_Toc20403"/>
      <w:bookmarkStart w:id="187" w:name="_Toc29563"/>
      <w:bookmarkStart w:id="188" w:name="_Toc1010"/>
      <w:bookmarkStart w:id="189" w:name="_Toc19099"/>
      <w:bookmarkStart w:id="190" w:name="_Toc25102"/>
      <w:bookmarkStart w:id="191" w:name="_Toc2234"/>
      <w:bookmarkStart w:id="192" w:name="_Toc17219"/>
      <w:bookmarkStart w:id="193" w:name="_Toc21635"/>
      <w:bookmarkStart w:id="194" w:name="_Toc16981"/>
      <w:bookmarkStart w:id="195" w:name="_Toc24317"/>
      <w:bookmarkStart w:id="196" w:name="_Toc1075"/>
      <w:bookmarkStart w:id="197" w:name="_Toc11437"/>
      <w:bookmarkStart w:id="198" w:name="_Toc15753"/>
      <w:bookmarkStart w:id="199" w:name="_Toc9018"/>
      <w:bookmarkStart w:id="200" w:name="_Toc2936"/>
      <w:bookmarkStart w:id="201" w:name="_Toc3854"/>
      <w:r>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rPr>
        <w:t>（一）推动海洋传统产业绿色高端化发展</w:t>
      </w:r>
      <w:bookmarkEnd w:id="173"/>
      <w:bookmarkEnd w:id="174"/>
      <w:bookmarkEnd w:id="175"/>
      <w:bookmarkEnd w:id="176"/>
      <w:bookmarkEnd w:id="177"/>
      <w:bookmarkEnd w:id="178"/>
      <w:bookmarkEnd w:id="179"/>
    </w:p>
    <w:p w14:paraId="3994D8DA">
      <w:pPr>
        <w:keepNext w:val="0"/>
        <w:keepLines w:val="0"/>
        <w:widowControl w:val="0"/>
        <w:suppressLineNumbers w:val="0"/>
        <w:autoSpaceDE w:val="0"/>
        <w:autoSpaceDN/>
        <w:adjustRightInd w:val="0"/>
        <w:snapToGrid w:val="0"/>
        <w:spacing w:before="0" w:beforeLines="0" w:beforeAutospacing="0" w:after="0" w:afterLines="0" w:afterAutospacing="0" w:line="580" w:lineRule="exact"/>
        <w:ind w:left="0" w:right="0" w:firstLine="643" w:firstLineChars="200"/>
        <w:jc w:val="both"/>
        <w:outlineLvl w:val="2"/>
        <w:rPr>
          <w:rFonts w:hint="eastAsia" w:ascii="仿宋_GB2312" w:hAnsi="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cs="仿宋_GB2312"/>
          <w:b/>
          <w:bCs/>
          <w:color w:val="000000" w:themeColor="text1"/>
          <w:kern w:val="2"/>
          <w:sz w:val="32"/>
          <w:szCs w:val="32"/>
          <w:highlight w:val="none"/>
          <w:lang w:val="en-US" w:eastAsia="zh-CN" w:bidi="ar"/>
          <w14:textFill>
            <w14:solidFill>
              <w14:schemeClr w14:val="tx1"/>
            </w14:solidFill>
          </w14:textFill>
        </w:rPr>
        <w:t>1.构建高水平现代海洋渔业体系</w:t>
      </w:r>
    </w:p>
    <w:p w14:paraId="7F8888B4">
      <w:pPr>
        <w:keepNext w:val="0"/>
        <w:keepLines w:val="0"/>
        <w:widowControl w:val="0"/>
        <w:suppressLineNumbers w:val="0"/>
        <w:autoSpaceDE w:val="0"/>
        <w:autoSpaceDN/>
        <w:adjustRightInd/>
        <w:snapToGrid/>
        <w:spacing w:before="0" w:beforeLines="0" w:beforeAutospacing="0" w:after="0" w:afterLines="0" w:afterAutospacing="0" w:line="580" w:lineRule="exact"/>
        <w:ind w:left="0" w:right="0" w:firstLine="643" w:firstLineChars="200"/>
        <w:jc w:val="both"/>
        <w:outlineLvl w:val="9"/>
        <w:rPr>
          <w:rFonts w:hint="eastAsia" w:ascii="仿宋_GB2312" w:hAnsi="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cs="仿宋_GB2312"/>
          <w:b/>
          <w:bCs/>
          <w:color w:val="000000" w:themeColor="text1"/>
          <w:kern w:val="2"/>
          <w:sz w:val="32"/>
          <w:szCs w:val="32"/>
          <w:lang w:val="en-US" w:eastAsia="zh-CN" w:bidi="ar"/>
          <w14:textFill>
            <w14:solidFill>
              <w14:schemeClr w14:val="tx1"/>
            </w14:solidFill>
          </w14:textFill>
        </w:rPr>
        <w:t>优化海水养殖空间布局</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，推动惠来与榕江海域协同发展，惠来海域重点发展现代化海洋牧场，榕江海域规范发展滩涂生态养殖。</w:t>
      </w:r>
      <w:r>
        <w:rPr>
          <w:rFonts w:hint="eastAsia" w:ascii="仿宋_GB2312" w:hAnsi="仿宋_GB2312" w:cs="仿宋_GB2312"/>
          <w:b/>
          <w:bCs/>
          <w:color w:val="000000" w:themeColor="text1"/>
          <w:kern w:val="2"/>
          <w:sz w:val="32"/>
          <w:szCs w:val="32"/>
          <w:lang w:val="en-US" w:eastAsia="zh-CN" w:bidi="ar"/>
          <w14:textFill>
            <w14:solidFill>
              <w14:schemeClr w14:val="tx1"/>
            </w14:solidFill>
          </w14:textFill>
        </w:rPr>
        <w:t>筑牢海水种业根基</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纵深推进“深蓝种业”工程，支持农业龙头企业与省内外高校、科研院所共建良种育繁平台，重点培育适合本土养殖的鲍鱼种苗与深远海养殖新品种，加快建设鲍鱼种业产业园。壮大现代化海洋牧场养殖规模，推动由近海向深远海转型，加快推进国电投海洋牧场等项目建设，养殖章红鱼等高经济价值鱼种。</w:t>
      </w:r>
      <w:r>
        <w:rPr>
          <w:rFonts w:hint="eastAsia" w:ascii="仿宋_GB2312" w:hAnsi="仿宋_GB2312" w:cs="仿宋_GB2312"/>
          <w:b/>
          <w:bCs/>
          <w:color w:val="000000" w:themeColor="text1"/>
          <w:kern w:val="2"/>
          <w:sz w:val="32"/>
          <w:szCs w:val="32"/>
          <w:lang w:val="en-US" w:eastAsia="zh-CN" w:bidi="ar"/>
          <w14:textFill>
            <w14:solidFill>
              <w14:schemeClr w14:val="tx1"/>
            </w14:solidFill>
          </w14:textFill>
        </w:rPr>
        <w:t>提升养殖装备效能，</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重点发展抗风浪的新型重力式深水网箱，探索建设大型养殖工船，配备智能化养殖、监控、捕捞、运输装备。</w:t>
      </w:r>
      <w:r>
        <w:rPr>
          <w:rFonts w:hint="eastAsia" w:ascii="仿宋_GB2312" w:hAnsi="仿宋_GB2312" w:cs="仿宋_GB2312"/>
          <w:b/>
          <w:bCs/>
          <w:color w:val="000000" w:themeColor="text1"/>
          <w:kern w:val="2"/>
          <w:sz w:val="32"/>
          <w:szCs w:val="32"/>
          <w:lang w:val="en-US" w:eastAsia="zh-CN" w:bidi="ar"/>
          <w14:textFill>
            <w14:solidFill>
              <w14:schemeClr w14:val="tx1"/>
            </w14:solidFill>
          </w14:textFill>
        </w:rPr>
        <w:t>做强海水产品精深加工</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引育一批水产精深加工企业，深挖惠来鲍鱼等特色水产品加工潜力，开展鲍鱼、牡蛎等特色产品低温保鲜、精深加工及活性肽提取技术研发，生产具有高附加值海洋药品和功能性食品，全力培育“海味”预制菜产业。</w:t>
      </w:r>
      <w:r>
        <w:rPr>
          <w:rFonts w:hint="eastAsia" w:ascii="仿宋_GB2312" w:hAnsi="仿宋_GB2312" w:cs="仿宋_GB2312"/>
          <w:b/>
          <w:bCs/>
          <w:color w:val="000000" w:themeColor="text1"/>
          <w:kern w:val="2"/>
          <w:sz w:val="32"/>
          <w:szCs w:val="32"/>
          <w:lang w:val="en-US" w:eastAsia="zh-CN" w:bidi="ar"/>
          <w14:textFill>
            <w14:solidFill>
              <w14:schemeClr w14:val="tx1"/>
            </w14:solidFill>
          </w14:textFill>
        </w:rPr>
        <w:t>健全冷链物流体系</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，强化天惠冷链物流中心功能，高标准建设冷链物流园，提升水产品集散、仓储保鲜能力。</w:t>
      </w:r>
      <w:r>
        <w:rPr>
          <w:rFonts w:hint="eastAsia" w:ascii="仿宋_GB2312" w:hAnsi="仿宋_GB2312" w:cs="仿宋_GB2312"/>
          <w:b/>
          <w:bCs/>
          <w:color w:val="000000" w:themeColor="text1"/>
          <w:kern w:val="2"/>
          <w:sz w:val="32"/>
          <w:szCs w:val="32"/>
          <w:lang w:val="en-US" w:eastAsia="zh-CN" w:bidi="ar"/>
          <w14:textFill>
            <w14:solidFill>
              <w14:schemeClr w14:val="tx1"/>
            </w14:solidFill>
          </w14:textFill>
        </w:rPr>
        <w:t>拓展市场销售网络</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，举办“惠来五宝”网络节+云展会产销对接活动，大力发展订单渔业、直播电商等新业态，擦亮“惠来鲍鱼”国家地理标志品牌。</w:t>
      </w:r>
      <w:r>
        <w:rPr>
          <w:rFonts w:hint="eastAsia" w:ascii="仿宋_GB2312" w:hAnsi="仿宋_GB2312" w:cs="仿宋_GB2312"/>
          <w:b/>
          <w:bCs/>
          <w:color w:val="000000" w:themeColor="text1"/>
          <w:kern w:val="2"/>
          <w:sz w:val="32"/>
          <w:szCs w:val="32"/>
          <w:lang w:val="en-US" w:eastAsia="zh-CN" w:bidi="ar"/>
          <w14:textFill>
            <w14:solidFill>
              <w14:schemeClr w14:val="tx1"/>
            </w14:solidFill>
          </w14:textFill>
        </w:rPr>
        <w:t>建好神泉渔港经济区</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，培育休闲垂钓、渔家体验、海上观光、渔业科普等休闲业态，带动渔村镇繁荣发展。</w:t>
      </w:r>
      <w:r>
        <w:rPr>
          <w:rFonts w:hint="eastAsia" w:ascii="仿宋_GB2312" w:hAnsi="仿宋_GB2312" w:cs="仿宋_GB2312"/>
          <w:b/>
          <w:bCs/>
          <w:color w:val="000000" w:themeColor="text1"/>
          <w:kern w:val="2"/>
          <w:sz w:val="32"/>
          <w:szCs w:val="32"/>
          <w:lang w:val="en-US" w:eastAsia="zh-CN" w:bidi="ar"/>
          <w14:textFill>
            <w14:solidFill>
              <w14:schemeClr w14:val="tx1"/>
            </w14:solidFill>
          </w14:textFill>
        </w:rPr>
        <w:t>创新“海上风电+海洋牧场”融合发展模式</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，积极布局“风渔游结合”海洋牧场。</w:t>
      </w:r>
      <w:r>
        <w:rPr>
          <w:rFonts w:hint="eastAsia" w:ascii="仿宋_GB2312" w:hAnsi="仿宋_GB2312" w:cs="仿宋_GB2312"/>
          <w:b/>
          <w:bCs/>
          <w:color w:val="000000" w:themeColor="text1"/>
          <w:kern w:val="2"/>
          <w:sz w:val="32"/>
          <w:szCs w:val="32"/>
          <w:lang w:val="en-US" w:eastAsia="zh-CN" w:bidi="ar"/>
          <w14:textFill>
            <w14:solidFill>
              <w14:schemeClr w14:val="tx1"/>
            </w14:solidFill>
          </w14:textFill>
        </w:rPr>
        <w:t>完善渔业管理机制</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，建设涵盖渔政执法、渔获物可追溯、渔船动态监控为一体的渔港综合管理系统。</w:t>
      </w:r>
    </w:p>
    <w:p w14:paraId="3242BA60">
      <w:pPr>
        <w:keepNext w:val="0"/>
        <w:keepLines w:val="0"/>
        <w:widowControl w:val="0"/>
        <w:suppressLineNumbers w:val="0"/>
        <w:autoSpaceDE w:val="0"/>
        <w:autoSpaceDN/>
        <w:adjustRightInd w:val="0"/>
        <w:snapToGrid w:val="0"/>
        <w:spacing w:before="0" w:beforeLines="0" w:beforeAutospacing="0" w:after="0" w:afterLines="0" w:afterAutospacing="0" w:line="580" w:lineRule="exact"/>
        <w:ind w:left="0" w:right="0" w:firstLine="643" w:firstLineChars="200"/>
        <w:jc w:val="both"/>
        <w:outlineLvl w:val="2"/>
        <w:rPr>
          <w:rFonts w:hint="eastAsia" w:ascii="仿宋_GB2312" w:hAnsi="仿宋_GB2312" w:cs="仿宋_GB2312"/>
          <w:b/>
          <w:bCs/>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cs="仿宋_GB2312"/>
          <w:b/>
          <w:bCs/>
          <w:color w:val="000000" w:themeColor="text1"/>
          <w:kern w:val="2"/>
          <w:sz w:val="32"/>
          <w:szCs w:val="32"/>
          <w:highlight w:val="none"/>
          <w:lang w:val="en-US" w:eastAsia="zh-CN" w:bidi="ar"/>
          <w14:textFill>
            <w14:solidFill>
              <w14:schemeClr w14:val="tx1"/>
            </w14:solidFill>
          </w14:textFill>
        </w:rPr>
        <w:t>2.促进临港石化产业高端循环发展</w:t>
      </w:r>
    </w:p>
    <w:p w14:paraId="7D8BF2CC">
      <w:pPr>
        <w:keepNext w:val="0"/>
        <w:keepLines w:val="0"/>
        <w:widowControl w:val="0"/>
        <w:suppressLineNumbers w:val="0"/>
        <w:autoSpaceDE w:val="0"/>
        <w:autoSpaceDN/>
        <w:adjustRightInd w:val="0"/>
        <w:snapToGrid w:val="0"/>
        <w:spacing w:before="0" w:beforeLines="0" w:beforeAutospacing="0" w:after="0" w:afterLines="0" w:afterAutospacing="0" w:line="580" w:lineRule="exact"/>
        <w:ind w:left="0" w:right="0" w:firstLine="643" w:firstLineChars="200"/>
        <w:jc w:val="both"/>
        <w:outlineLvl w:val="2"/>
        <w:rPr>
          <w:rFonts w:hint="default"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仿宋_GB2312" w:cs="仿宋_GB2312"/>
          <w:b/>
          <w:bCs/>
          <w:color w:val="000000" w:themeColor="text1"/>
          <w:kern w:val="2"/>
          <w:sz w:val="32"/>
          <w:szCs w:val="32"/>
          <w:highlight w:val="none"/>
          <w:lang w:val="en-US" w:eastAsia="zh-CN" w:bidi="ar"/>
          <w14:textFill>
            <w14:solidFill>
              <w14:schemeClr w14:val="tx1"/>
            </w14:solidFill>
          </w14:textFill>
        </w:rPr>
        <w:t>着力打造绿色石化产业集群，</w:t>
      </w:r>
      <w:r>
        <w:rPr>
          <w:rFonts w:hint="eastAsia" w:ascii="仿宋_GB2312" w:hAnsi="仿宋_GB2312" w:cs="仿宋_GB2312"/>
          <w:b w:val="0"/>
          <w:bCs w:val="0"/>
          <w:color w:val="000000" w:themeColor="text1"/>
          <w:kern w:val="2"/>
          <w:sz w:val="32"/>
          <w:szCs w:val="32"/>
          <w:highlight w:val="none"/>
          <w:lang w:val="en-US" w:eastAsia="zh-CN" w:bidi="ar"/>
          <w14:textFill>
            <w14:solidFill>
              <w14:schemeClr w14:val="tx1"/>
            </w14:solidFill>
          </w14:textFill>
        </w:rPr>
        <w:t>以大南海石化工业区为主阵地，推动绿色石化延链扩能，形成“炼油—化工材料—新材料—终端产品”完整产业链，推动大南海石化工业区形成“一超多强”产业发展新格局。推动中石油广东石化项目持续释放产能，加快伊斯科、巨正源等项目达效升级；新增引进精细化工、新材料类下游项目，围绕芳烃、烯烃延伸高端产业链，发展海洋工程防腐涂料、船舶与海工装备用高性能树脂、海上风电叶片及海缆护套材料等涉海化工新材料。</w:t>
      </w:r>
      <w:r>
        <w:rPr>
          <w:rFonts w:hint="eastAsia" w:ascii="仿宋_GB2312" w:hAnsi="仿宋_GB2312" w:cs="仿宋_GB2312"/>
          <w:b/>
          <w:bCs/>
          <w:color w:val="000000" w:themeColor="text1"/>
          <w:kern w:val="2"/>
          <w:sz w:val="32"/>
          <w:szCs w:val="32"/>
          <w:highlight w:val="none"/>
          <w:lang w:val="en-US" w:eastAsia="zh-CN" w:bidi="ar"/>
          <w14:textFill>
            <w14:solidFill>
              <w14:schemeClr w14:val="tx1"/>
            </w14:solidFill>
          </w14:textFill>
        </w:rPr>
        <w:t>全力打造零碳产业园区，</w:t>
      </w:r>
      <w:r>
        <w:rPr>
          <w:rFonts w:hint="eastAsia" w:ascii="仿宋_GB2312" w:hAnsi="仿宋_GB2312" w:cs="仿宋_GB2312"/>
          <w:b w:val="0"/>
          <w:bCs w:val="0"/>
          <w:color w:val="000000" w:themeColor="text1"/>
          <w:kern w:val="2"/>
          <w:sz w:val="32"/>
          <w:szCs w:val="32"/>
          <w:highlight w:val="none"/>
          <w:lang w:val="en-US" w:eastAsia="zh-CN" w:bidi="ar"/>
          <w14:textFill>
            <w14:solidFill>
              <w14:schemeClr w14:val="tx1"/>
            </w14:solidFill>
          </w14:textFill>
        </w:rPr>
        <w:t>通过“绿电直连”支撑石化园区生产；拓展海水冷却循环技术在石化领域规模化应用，依托海水淡化配套发展绿电制氢，探索“绿电制氢—炼化用氢”耦合利用模式；完善园区氢气梯级利用体系，助力炼化工艺深度脱碳，培育高附加值涉海石化产品。</w:t>
      </w:r>
      <w:r>
        <w:rPr>
          <w:rFonts w:hint="eastAsia" w:ascii="仿宋_GB2312" w:hAnsi="仿宋_GB2312" w:cs="仿宋_GB2312"/>
          <w:b/>
          <w:bCs/>
          <w:color w:val="000000" w:themeColor="text1"/>
          <w:kern w:val="2"/>
          <w:sz w:val="32"/>
          <w:szCs w:val="32"/>
          <w:highlight w:val="none"/>
          <w:lang w:val="en-US" w:eastAsia="zh-CN" w:bidi="ar"/>
          <w14:textFill>
            <w14:solidFill>
              <w14:schemeClr w14:val="tx1"/>
            </w14:solidFill>
          </w14:textFill>
        </w:rPr>
        <w:t>扛牢向海发展生态环保责任，</w:t>
      </w:r>
      <w:r>
        <w:rPr>
          <w:rFonts w:hint="eastAsia" w:ascii="仿宋_GB2312" w:hAnsi="仿宋_GB2312" w:cs="仿宋_GB2312"/>
          <w:b w:val="0"/>
          <w:bCs w:val="0"/>
          <w:color w:val="000000" w:themeColor="text1"/>
          <w:kern w:val="2"/>
          <w:sz w:val="32"/>
          <w:szCs w:val="32"/>
          <w:highlight w:val="none"/>
          <w:lang w:val="en-US" w:eastAsia="zh-CN" w:bidi="ar"/>
          <w14:textFill>
            <w14:solidFill>
              <w14:schemeClr w14:val="tx1"/>
            </w14:solidFill>
          </w14:textFill>
        </w:rPr>
        <w:t>以广东石化炼化一体化项目为“超级链主”，全面推行清洁生产与节能降碳改造，严控工业废水入海排放强度，确保污染物排放量与近岸海域环境容量动态适配。</w:t>
      </w:r>
    </w:p>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14:paraId="48515766">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outlineLvl w:val="1"/>
        <w:rPr>
          <w:rFonts w:hint="eastAsia" w:ascii="Times New Roman" w:hAnsi="Times New Roman" w:eastAsia="仿宋_GB2312" w:cs="仿宋_GB2312"/>
          <w:b/>
          <w:bCs/>
          <w:color w:val="000000" w:themeColor="text1"/>
          <w:kern w:val="2"/>
          <w:sz w:val="32"/>
          <w:szCs w:val="32"/>
          <w14:textFill>
            <w14:solidFill>
              <w14:schemeClr w14:val="tx1"/>
            </w14:solidFill>
          </w14:textFill>
        </w:rPr>
      </w:pPr>
      <w:bookmarkStart w:id="202" w:name="_Toc12642"/>
      <w:bookmarkStart w:id="203" w:name="_Toc9346"/>
      <w:bookmarkStart w:id="204" w:name="_Toc30296"/>
      <w:bookmarkStart w:id="205" w:name="_Toc2900"/>
      <w:bookmarkStart w:id="206" w:name="_Toc1980"/>
      <w:bookmarkStart w:id="207" w:name="_Toc9031"/>
      <w:bookmarkStart w:id="208" w:name="_Toc14943"/>
      <w:r>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rPr>
        <w:t>（二）培育壮大海洋新兴产业和未来产业</w:t>
      </w:r>
      <w:bookmarkEnd w:id="202"/>
      <w:bookmarkEnd w:id="203"/>
      <w:bookmarkEnd w:id="204"/>
      <w:bookmarkEnd w:id="205"/>
      <w:bookmarkEnd w:id="206"/>
      <w:bookmarkEnd w:id="207"/>
      <w:bookmarkEnd w:id="208"/>
    </w:p>
    <w:p w14:paraId="6B98F815">
      <w:pPr>
        <w:keepNext w:val="0"/>
        <w:keepLines w:val="0"/>
        <w:widowControl w:val="0"/>
        <w:suppressLineNumbers w:val="0"/>
        <w:autoSpaceDE w:val="0"/>
        <w:autoSpaceDN/>
        <w:adjustRightInd w:val="0"/>
        <w:snapToGrid w:val="0"/>
        <w:spacing w:before="0" w:beforeLines="0" w:beforeAutospacing="0" w:after="0" w:afterLines="0" w:afterAutospacing="0" w:line="580" w:lineRule="exact"/>
        <w:ind w:left="0" w:right="0" w:firstLine="643" w:firstLineChars="200"/>
        <w:jc w:val="both"/>
        <w:outlineLvl w:val="2"/>
        <w:rPr>
          <w:rFonts w:hint="eastAsia" w:ascii="仿宋_GB2312" w:hAnsi="仿宋_GB2312" w:eastAsia="仿宋_GB2312" w:cs="仿宋_GB2312"/>
          <w:b/>
          <w:bCs/>
          <w:color w:val="000000" w:themeColor="text1"/>
          <w:kern w:val="2"/>
          <w:sz w:val="32"/>
          <w:szCs w:val="32"/>
          <w:highlight w:val="none"/>
          <w:lang w:bidi="ar"/>
          <w14:textFill>
            <w14:solidFill>
              <w14:schemeClr w14:val="tx1"/>
            </w14:solidFill>
          </w14:textFill>
        </w:rPr>
      </w:pPr>
      <w:r>
        <w:rPr>
          <w:rFonts w:hint="eastAsia" w:ascii="仿宋_GB2312" w:hAnsi="仿宋_GB2312" w:cs="仿宋_GB2312"/>
          <w:b/>
          <w:bCs/>
          <w:color w:val="000000" w:themeColor="text1"/>
          <w:kern w:val="2"/>
          <w:sz w:val="32"/>
          <w:szCs w:val="32"/>
          <w:highlight w:val="none"/>
          <w:lang w:val="en-US" w:eastAsia="zh-CN" w:bidi="ar"/>
          <w14:textFill>
            <w14:solidFill>
              <w14:schemeClr w14:val="tx1"/>
            </w14:solidFill>
          </w14:textFill>
        </w:rPr>
        <w:t>1.</w:t>
      </w:r>
      <w:r>
        <w:rPr>
          <w:rFonts w:hint="eastAsia" w:ascii="仿宋_GB2312" w:hAnsi="仿宋_GB2312" w:eastAsia="仿宋_GB2312" w:cs="仿宋_GB2312"/>
          <w:b/>
          <w:bCs/>
          <w:color w:val="000000" w:themeColor="text1"/>
          <w:kern w:val="2"/>
          <w:sz w:val="32"/>
          <w:szCs w:val="32"/>
          <w:highlight w:val="none"/>
          <w:lang w:val="en-US" w:eastAsia="zh-CN" w:bidi="ar"/>
          <w14:textFill>
            <w14:solidFill>
              <w14:schemeClr w14:val="tx1"/>
            </w14:solidFill>
          </w14:textFill>
        </w:rPr>
        <w:t>有序发展海洋电力业</w:t>
      </w:r>
    </w:p>
    <w:p w14:paraId="3933B89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cs="仿宋_GB2312"/>
          <w:color w:val="000000" w:themeColor="text1"/>
          <w:sz w:val="32"/>
          <w:szCs w:val="32"/>
          <w:lang w:val="en-US" w:eastAsia="zh-CN" w:bidi="ar"/>
          <w14:textFill>
            <w14:solidFill>
              <w14:schemeClr w14:val="tx1"/>
            </w14:solidFill>
          </w14:textFill>
        </w:rPr>
      </w:pPr>
      <w:r>
        <w:rPr>
          <w:rFonts w:hint="eastAsia" w:ascii="仿宋_GB2312" w:hAnsi="仿宋_GB2312" w:cs="仿宋_GB2312"/>
          <w:b/>
          <w:bCs/>
          <w:color w:val="000000" w:themeColor="text1"/>
          <w:kern w:val="2"/>
          <w:sz w:val="32"/>
          <w:szCs w:val="32"/>
          <w:lang w:val="en-US" w:eastAsia="zh-CN" w:bidi="ar"/>
          <w14:textFill>
            <w14:solidFill>
              <w14:schemeClr w14:val="tx1"/>
            </w14:solidFill>
          </w14:textFill>
        </w:rPr>
        <w:t>集群化推进海上风电开发，</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依托优质海洋风能资源优势，</w:t>
      </w:r>
      <w:r>
        <w:rPr>
          <w:rFonts w:hint="eastAsia" w:ascii="仿宋_GB2312" w:hAnsi="仿宋_GB2312" w:eastAsia="仿宋_GB2312" w:cs="仿宋_GB2312"/>
          <w:sz w:val="32"/>
          <w:szCs w:val="32"/>
          <w:lang w:val="en-US" w:eastAsia="zh-CN"/>
        </w:rPr>
        <w:t>实施近海与深远海开发并举战略</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，加快推进国电投靖海海上风电增容等项目建设，全力推动粤东深远海海上风电项目落地。</w:t>
      </w:r>
      <w:r>
        <w:rPr>
          <w:rFonts w:hint="eastAsia" w:ascii="仿宋_GB2312" w:hAnsi="仿宋_GB2312" w:eastAsia="仿宋_GB2312" w:cs="仿宋_GB2312"/>
          <w:b/>
          <w:bCs/>
          <w:sz w:val="32"/>
          <w:szCs w:val="32"/>
          <w:lang w:val="en-US" w:eastAsia="zh-CN"/>
        </w:rPr>
        <w:t>统筹优化海上输电网络</w:t>
      </w:r>
      <w:r>
        <w:rPr>
          <w:rFonts w:hint="eastAsia" w:ascii="仿宋_GB2312" w:hAnsi="仿宋_GB2312" w:eastAsia="仿宋_GB2312" w:cs="仿宋_GB2312"/>
          <w:sz w:val="32"/>
          <w:szCs w:val="32"/>
          <w:lang w:val="en-US" w:eastAsia="zh-CN"/>
        </w:rPr>
        <w:t>，集约化布局海缆廊道和登陆点，探索海上风电基地集中送出模式。</w:t>
      </w:r>
      <w:r>
        <w:rPr>
          <w:rFonts w:hint="eastAsia" w:ascii="仿宋_GB2312" w:hAnsi="仿宋_GB2312" w:cs="仿宋_GB2312"/>
          <w:b/>
          <w:bCs/>
          <w:color w:val="000000" w:themeColor="text1"/>
          <w:sz w:val="32"/>
          <w:szCs w:val="32"/>
          <w:lang w:val="en-US" w:eastAsia="zh-CN" w:bidi="ar"/>
          <w14:textFill>
            <w14:solidFill>
              <w14:schemeClr w14:val="tx1"/>
            </w14:solidFill>
          </w14:textFill>
        </w:rPr>
        <w:t>打造海上风电全产业链基地。</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发挥揭阳市海上风电产业联盟作用，</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推动全产业链集群化</w:t>
      </w:r>
      <w:r>
        <w:rPr>
          <w:rFonts w:hint="eastAsia" w:ascii="仿宋_GB2312" w:hAnsi="仿宋_GB2312" w:cs="仿宋_GB2312"/>
          <w:color w:val="000000" w:themeColor="text1"/>
          <w:sz w:val="32"/>
          <w:szCs w:val="32"/>
          <w:lang w:val="en-US" w:eastAsia="zh-CN" w:bidi="ar"/>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高端化</w:t>
      </w:r>
      <w:r>
        <w:rPr>
          <w:rFonts w:hint="eastAsia" w:ascii="仿宋_GB2312" w:hAnsi="仿宋_GB2312" w:cs="仿宋_GB2312"/>
          <w:color w:val="000000" w:themeColor="text1"/>
          <w:sz w:val="32"/>
          <w:szCs w:val="32"/>
          <w:lang w:val="en-US" w:eastAsia="zh-CN" w:bidi="ar"/>
          <w14:textFill>
            <w14:solidFill>
              <w14:schemeClr w14:val="tx1"/>
            </w14:solidFill>
          </w14:textFill>
        </w:rPr>
        <w:t>布局。</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做强风机整机、叶片、海缆等核心装备制造，引进关键零部件项目补齐产业链短板</w:t>
      </w:r>
      <w:r>
        <w:rPr>
          <w:rFonts w:hint="eastAsia" w:ascii="仿宋_GB2312" w:hAnsi="仿宋_GB2312" w:cs="仿宋_GB2312"/>
          <w:color w:val="000000" w:themeColor="text1"/>
          <w:sz w:val="32"/>
          <w:szCs w:val="32"/>
          <w:lang w:val="en-US" w:eastAsia="zh-CN" w:bidi="ar"/>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bidi="ar"/>
          <w14:textFill>
            <w14:solidFill>
              <w14:schemeClr w14:val="tx1"/>
            </w14:solidFill>
          </w14:textFill>
        </w:rPr>
        <w:t>建设科创运维一体化支撑体系</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，建设粤东海上风电运维母港</w:t>
      </w:r>
      <w:r>
        <w:rPr>
          <w:rFonts w:hint="eastAsia" w:ascii="仿宋_GB2312" w:hAnsi="仿宋_GB2312" w:cs="仿宋_GB2312"/>
          <w:color w:val="000000" w:themeColor="text1"/>
          <w:sz w:val="32"/>
          <w:szCs w:val="32"/>
          <w:lang w:val="en-US" w:eastAsia="zh-CN" w:bidi="ar"/>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bidi="ar"/>
          <w14:textFill>
            <w14:solidFill>
              <w14:schemeClr w14:val="tx1"/>
            </w14:solidFill>
          </w14:textFill>
        </w:rPr>
        <w:t>搭建国家级技术试验验证平台</w:t>
      </w:r>
      <w:r>
        <w:rPr>
          <w:rFonts w:hint="eastAsia" w:ascii="仿宋_GB2312" w:hAnsi="仿宋_GB2312" w:cs="仿宋_GB2312"/>
          <w:color w:val="000000" w:themeColor="text1"/>
          <w:sz w:val="32"/>
          <w:szCs w:val="32"/>
          <w:lang w:val="en-US" w:eastAsia="zh-CN" w:bidi="ar"/>
          <w14:textFill>
            <w14:solidFill>
              <w14:schemeClr w14:val="tx1"/>
            </w14:solidFill>
          </w14:textFill>
        </w:rPr>
        <w:t>。</w:t>
      </w:r>
    </w:p>
    <w:p w14:paraId="322DE135">
      <w:pPr>
        <w:keepNext w:val="0"/>
        <w:keepLines w:val="0"/>
        <w:widowControl w:val="0"/>
        <w:suppressLineNumbers w:val="0"/>
        <w:autoSpaceDE w:val="0"/>
        <w:autoSpaceDN/>
        <w:adjustRightInd w:val="0"/>
        <w:snapToGrid w:val="0"/>
        <w:spacing w:before="0" w:beforeLines="0" w:beforeAutospacing="0" w:after="0" w:afterLines="0" w:afterAutospacing="0" w:line="580" w:lineRule="exact"/>
        <w:ind w:left="0" w:right="0" w:firstLine="643" w:firstLineChars="200"/>
        <w:jc w:val="both"/>
        <w:outlineLvl w:val="2"/>
        <w:rPr>
          <w:rFonts w:hint="eastAsia" w:ascii="仿宋_GB2312" w:hAnsi="仿宋_GB2312" w:cs="仿宋_GB2312"/>
          <w:b/>
          <w:bCs/>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cs="仿宋_GB2312"/>
          <w:b/>
          <w:bCs/>
          <w:color w:val="000000" w:themeColor="text1"/>
          <w:kern w:val="2"/>
          <w:sz w:val="32"/>
          <w:szCs w:val="32"/>
          <w:highlight w:val="none"/>
          <w:lang w:val="en-US" w:eastAsia="zh-CN" w:bidi="ar"/>
          <w14:textFill>
            <w14:solidFill>
              <w14:schemeClr w14:val="tx1"/>
            </w14:solidFill>
          </w14:textFill>
        </w:rPr>
        <w:t>2.培育壮大海洋工程装备制造业</w:t>
      </w:r>
    </w:p>
    <w:p w14:paraId="17F04B4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仿宋_GB2312" w:cs="仿宋_GB2312"/>
          <w:b/>
          <w:bCs/>
          <w:color w:val="000000" w:themeColor="text1"/>
          <w:kern w:val="2"/>
          <w:sz w:val="32"/>
          <w:szCs w:val="32"/>
          <w:lang w:val="en-US" w:eastAsia="zh-CN" w:bidi="ar"/>
          <w14:textFill>
            <w14:solidFill>
              <w14:schemeClr w14:val="tx1"/>
            </w14:solidFill>
          </w14:textFill>
        </w:rPr>
        <w:t>加快形成粤东重要的海洋工程装备制造基地</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，依托揭阳惠来临港产业园平台优势，重点发展以海上风电装备、海洋养殖装备为核心的海洋工程装备制造业，支持龙头企业抢抓订单、扩大产能，力争实现出口量新突破。</w:t>
      </w:r>
      <w:r>
        <w:rPr>
          <w:rFonts w:hint="eastAsia" w:ascii="仿宋_GB2312" w:hAnsi="仿宋_GB2312" w:cs="仿宋_GB2312"/>
          <w:b/>
          <w:bCs/>
          <w:color w:val="000000" w:themeColor="text1"/>
          <w:kern w:val="2"/>
          <w:sz w:val="32"/>
          <w:szCs w:val="32"/>
          <w:lang w:val="en-US" w:eastAsia="zh-CN" w:bidi="ar"/>
          <w14:textFill>
            <w14:solidFill>
              <w14:schemeClr w14:val="tx1"/>
            </w14:solidFill>
          </w14:textFill>
        </w:rPr>
        <w:t>提升海洋工程装备制造业产业链自主可控水平</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，补齐</w:t>
      </w:r>
      <w:r>
        <w:rPr>
          <w:rFonts w:hint="eastAsia" w:ascii="仿宋_GB2312" w:hAnsi="仿宋_GB2312" w:eastAsia="仿宋_GB2312" w:cs="仿宋_GB2312"/>
          <w:color w:val="000000"/>
          <w:sz w:val="32"/>
          <w:lang w:val="en-US" w:eastAsia="zh-CN"/>
        </w:rPr>
        <w:t>海上风电产业链上游原材料及中游关键零部件短板</w:t>
      </w:r>
      <w:r>
        <w:rPr>
          <w:rFonts w:hint="eastAsia" w:ascii="仿宋_GB2312" w:hAnsi="仿宋_GB2312" w:cs="仿宋_GB2312"/>
          <w:color w:val="000000"/>
          <w:sz w:val="32"/>
          <w:lang w:val="en-US" w:eastAsia="zh-CN"/>
        </w:rPr>
        <w:t>，</w:t>
      </w:r>
      <w:r>
        <w:rPr>
          <w:rFonts w:hint="eastAsia" w:ascii="仿宋_GB2312" w:hAnsi="仿宋_GB2312" w:eastAsia="仿宋_GB2312" w:cs="仿宋_GB2312"/>
          <w:color w:val="000000"/>
          <w:sz w:val="32"/>
          <w:lang w:val="en-US" w:eastAsia="zh-CN"/>
        </w:rPr>
        <w:t>推动海上风电装备向下游运维、风能制氢、海上风电母港综合服务等领域延伸</w:t>
      </w:r>
      <w:r>
        <w:rPr>
          <w:rFonts w:hint="eastAsia" w:ascii="仿宋_GB2312" w:hAnsi="仿宋_GB2312" w:cs="仿宋_GB2312"/>
          <w:color w:val="000000"/>
          <w:sz w:val="32"/>
          <w:lang w:val="en-US" w:eastAsia="zh-CN"/>
        </w:rPr>
        <w:t>，</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积极发展抗风浪强的新型桁架类网箱、新型重力式深水网箱</w:t>
      </w:r>
      <w:r>
        <w:rPr>
          <w:rFonts w:hint="eastAsia" w:ascii="仿宋_GB2312" w:hAnsi="仿宋_GB2312" w:cs="仿宋_GB2312"/>
          <w:color w:val="000000"/>
          <w:sz w:val="32"/>
          <w:lang w:val="en-US" w:eastAsia="zh-CN"/>
        </w:rPr>
        <w:t>。</w:t>
      </w:r>
      <w:r>
        <w:rPr>
          <w:rFonts w:hint="eastAsia" w:ascii="仿宋_GB2312" w:hAnsi="仿宋_GB2312" w:cs="仿宋_GB2312"/>
          <w:b/>
          <w:bCs/>
          <w:color w:val="000000" w:themeColor="text1"/>
          <w:kern w:val="2"/>
          <w:sz w:val="32"/>
          <w:szCs w:val="32"/>
          <w:lang w:val="en-US" w:eastAsia="zh-CN" w:bidi="ar"/>
          <w14:textFill>
            <w14:solidFill>
              <w14:schemeClr w14:val="tx1"/>
            </w14:solidFill>
          </w14:textFill>
        </w:rPr>
        <w:t>建设海上风电机组总装基地</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，重点推进广东蓝水海洋工程装备制造基地、亨通集团海缆厂、天顺风能重型风电海工装备智能制造项目。</w:t>
      </w:r>
    </w:p>
    <w:p w14:paraId="290D531B">
      <w:pPr>
        <w:keepNext w:val="0"/>
        <w:keepLines w:val="0"/>
        <w:widowControl w:val="0"/>
        <w:suppressLineNumbers w:val="0"/>
        <w:autoSpaceDE w:val="0"/>
        <w:autoSpaceDN/>
        <w:adjustRightInd w:val="0"/>
        <w:snapToGrid w:val="0"/>
        <w:spacing w:before="0" w:beforeLines="0" w:beforeAutospacing="0" w:after="0" w:afterLines="0" w:afterAutospacing="0" w:line="580" w:lineRule="exact"/>
        <w:ind w:left="0" w:right="0" w:firstLine="643" w:firstLineChars="200"/>
        <w:jc w:val="both"/>
        <w:outlineLvl w:val="2"/>
        <w:rPr>
          <w:rFonts w:hint="eastAsia" w:ascii="仿宋_GB2312" w:hAnsi="仿宋_GB2312" w:cs="仿宋_GB2312"/>
          <w:b/>
          <w:bCs/>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cs="仿宋_GB2312"/>
          <w:b/>
          <w:bCs/>
          <w:color w:val="000000" w:themeColor="text1"/>
          <w:kern w:val="2"/>
          <w:sz w:val="32"/>
          <w:szCs w:val="32"/>
          <w:highlight w:val="none"/>
          <w:lang w:val="en-US" w:eastAsia="zh-CN" w:bidi="ar"/>
          <w14:textFill>
            <w14:solidFill>
              <w14:schemeClr w14:val="tx1"/>
            </w14:solidFill>
          </w14:textFill>
        </w:rPr>
        <w:t>3.推动发展海洋药物和生物制品业</w:t>
      </w:r>
    </w:p>
    <w:p w14:paraId="7E738269">
      <w:pPr>
        <w:keepNext w:val="0"/>
        <w:keepLines w:val="0"/>
        <w:pageBreakBefore w:val="0"/>
        <w:kinsoku/>
        <w:wordWrap/>
        <w:overflowPunct/>
        <w:topLinePunct w:val="0"/>
        <w:autoSpaceDE w:val="0"/>
        <w:autoSpaceDN/>
        <w:bidi w:val="0"/>
        <w:adjustRightInd w:val="0"/>
        <w:snapToGrid w:val="0"/>
        <w:spacing w:before="0" w:beforeLines="0" w:beforeAutospacing="0" w:after="0" w:afterLines="0" w:afterAutospacing="0" w:line="580" w:lineRule="exact"/>
        <w:ind w:left="0" w:firstLine="643" w:firstLineChars="200"/>
        <w:jc w:val="both"/>
        <w:textAlignment w:val="auto"/>
        <w:outlineLvl w:val="9"/>
        <w:rPr>
          <w:rFonts w:hint="eastAsia" w:ascii="仿宋_GB2312" w:hAnsi="仿宋_GB2312" w:cs="仿宋_GB2312"/>
          <w:color w:val="000000" w:themeColor="text1"/>
          <w:kern w:val="2"/>
          <w:sz w:val="32"/>
          <w:szCs w:val="32"/>
          <w:highlight w:val="yellow"/>
          <w:lang w:val="en-US" w:eastAsia="zh-CN" w:bidi="ar"/>
          <w14:textFill>
            <w14:solidFill>
              <w14:schemeClr w14:val="tx1"/>
            </w14:solidFill>
          </w14:textFill>
        </w:rPr>
      </w:pPr>
      <w:r>
        <w:rPr>
          <w:rFonts w:hint="eastAsia" w:ascii="仿宋_GB2312" w:hAnsi="仿宋_GB2312" w:cs="仿宋_GB2312"/>
          <w:b/>
          <w:bCs/>
          <w:color w:val="000000" w:themeColor="text1"/>
          <w:kern w:val="2"/>
          <w:sz w:val="32"/>
          <w:szCs w:val="32"/>
          <w:lang w:val="en-US" w:eastAsia="zh-CN" w:bidi="ar"/>
          <w14:textFill>
            <w14:solidFill>
              <w14:schemeClr w14:val="tx1"/>
            </w14:solidFill>
          </w14:textFill>
        </w:rPr>
        <w:t>优化海洋生物医药发展要素配置，</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深入发掘海洋“蓝色药库”，</w:t>
      </w:r>
      <w:r>
        <w:rPr>
          <w:rFonts w:hint="eastAsia" w:ascii="仿宋_GB2312" w:hAnsi="仿宋_GB2312" w:cs="仿宋_GB2312"/>
          <w:color w:val="auto"/>
          <w:sz w:val="32"/>
          <w:szCs w:val="32"/>
          <w:lang w:bidi="ar"/>
        </w:rPr>
        <w:t>突破海洋药物产品</w:t>
      </w:r>
      <w:r>
        <w:rPr>
          <w:rFonts w:hint="eastAsia" w:ascii="仿宋_GB2312" w:hAnsi="仿宋_GB2312" w:cs="仿宋_GB2312"/>
          <w:color w:val="auto"/>
          <w:sz w:val="32"/>
          <w:szCs w:val="32"/>
          <w:lang w:eastAsia="zh-CN" w:bidi="ar"/>
        </w:rPr>
        <w:t>技术</w:t>
      </w:r>
      <w:r>
        <w:rPr>
          <w:rFonts w:hint="eastAsia" w:ascii="仿宋_GB2312" w:hAnsi="仿宋_GB2312" w:cs="仿宋_GB2312"/>
          <w:color w:val="auto"/>
          <w:sz w:val="32"/>
          <w:szCs w:val="32"/>
          <w:lang w:bidi="ar"/>
        </w:rPr>
        <w:t>，</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扶持壮大更多“链主”企业，推动更多研究成果“就地转化”。</w:t>
      </w:r>
      <w:r>
        <w:rPr>
          <w:rFonts w:hint="eastAsia" w:ascii="仿宋_GB2312" w:hAnsi="仿宋_GB2312" w:cs="仿宋_GB2312"/>
          <w:b/>
          <w:bCs/>
          <w:color w:val="000000" w:themeColor="text1"/>
          <w:kern w:val="2"/>
          <w:sz w:val="32"/>
          <w:szCs w:val="32"/>
          <w:lang w:val="en-US" w:eastAsia="zh-CN" w:bidi="ar"/>
          <w14:textFill>
            <w14:solidFill>
              <w14:schemeClr w14:val="tx1"/>
            </w14:solidFill>
          </w14:textFill>
        </w:rPr>
        <w:t>推动海洋生物医药产业化发展，</w:t>
      </w:r>
      <w:r>
        <w:rPr>
          <w:rFonts w:hint="eastAsia" w:ascii="仿宋_GB2312" w:hAnsi="仿宋_GB2312" w:cs="仿宋_GB2312"/>
          <w:b w:val="0"/>
          <w:bCs w:val="0"/>
          <w:color w:val="000000" w:themeColor="text1"/>
          <w:kern w:val="2"/>
          <w:sz w:val="32"/>
          <w:szCs w:val="32"/>
          <w:highlight w:val="none"/>
          <w:lang w:val="en-US" w:eastAsia="zh-CN" w:bidi="ar"/>
          <w14:textFill>
            <w14:solidFill>
              <w14:schemeClr w14:val="tx1"/>
            </w14:solidFill>
          </w14:textFill>
        </w:rPr>
        <w:t>依托</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普宁康美中药城</w:t>
      </w:r>
      <w:r>
        <w:rPr>
          <w:rFonts w:hint="eastAsia" w:ascii="仿宋_GB2312" w:hAnsi="仿宋_GB2312" w:cs="仿宋_GB2312"/>
          <w:color w:val="000000" w:themeColor="text1"/>
          <w:kern w:val="2"/>
          <w:sz w:val="32"/>
          <w:szCs w:val="32"/>
          <w:lang w:val="en-US" w:eastAsia="zh-CN" w:bidi="ar"/>
          <w14:textFill>
            <w14:solidFill>
              <w14:schemeClr w14:val="tx1"/>
            </w14:solidFill>
          </w14:textFill>
        </w:rPr>
        <w:t>，引导</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康美、利泰等大型骨干企业</w:t>
      </w:r>
      <w:r>
        <w:rPr>
          <w:rFonts w:hint="eastAsia" w:ascii="仿宋_GB2312" w:hAnsi="仿宋_GB2312" w:cs="仿宋_GB2312"/>
          <w:color w:val="000000" w:themeColor="text1"/>
          <w:kern w:val="2"/>
          <w:sz w:val="32"/>
          <w:szCs w:val="32"/>
          <w:lang w:val="en-US" w:eastAsia="zh-CN" w:bidi="ar"/>
          <w14:textFill>
            <w14:solidFill>
              <w14:schemeClr w14:val="tx1"/>
            </w14:solidFill>
          </w14:textFill>
        </w:rPr>
        <w:t>向海发展，发展海藻多糖提取、海洋活性物质研发，</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推动“海洋生物医药+中药”融合</w:t>
      </w:r>
      <w:r>
        <w:rPr>
          <w:rFonts w:hint="eastAsia" w:ascii="仿宋_GB2312" w:hAnsi="仿宋_GB2312" w:cs="仿宋_GB2312"/>
          <w:color w:val="000000" w:themeColor="text1"/>
          <w:kern w:val="2"/>
          <w:sz w:val="32"/>
          <w:szCs w:val="32"/>
          <w:lang w:val="en-US" w:eastAsia="zh-CN" w:bidi="ar"/>
          <w14:textFill>
            <w14:solidFill>
              <w14:schemeClr w14:val="tx1"/>
            </w14:solidFill>
          </w14:textFill>
        </w:rPr>
        <w:t>，</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重点</w:t>
      </w:r>
      <w:r>
        <w:rPr>
          <w:rFonts w:hint="eastAsia" w:ascii="仿宋_GB2312" w:hAnsi="仿宋_GB2312" w:cs="仿宋_GB2312"/>
          <w:color w:val="000000" w:themeColor="text1"/>
          <w:kern w:val="2"/>
          <w:sz w:val="32"/>
          <w:szCs w:val="32"/>
          <w:lang w:val="en-US" w:eastAsia="zh-CN" w:bidi="ar"/>
          <w14:textFill>
            <w14:solidFill>
              <w14:schemeClr w14:val="tx1"/>
            </w14:solidFill>
          </w14:textFill>
        </w:rPr>
        <w:t>开发海洋药物、海洋保健品、海洋</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化妆品等</w:t>
      </w:r>
      <w:r>
        <w:rPr>
          <w:rFonts w:hint="eastAsia" w:ascii="仿宋_GB2312" w:hAnsi="仿宋_GB2312" w:cs="仿宋_GB2312"/>
          <w:color w:val="000000" w:themeColor="text1"/>
          <w:kern w:val="2"/>
          <w:sz w:val="32"/>
          <w:szCs w:val="32"/>
          <w:lang w:val="en-US" w:eastAsia="zh-CN" w:bidi="ar"/>
          <w14:textFill>
            <w14:solidFill>
              <w14:schemeClr w14:val="tx1"/>
            </w14:solidFill>
          </w14:textFill>
        </w:rPr>
        <w:t>高附加值产品，</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打造海洋生物医药与制品产业的高地。</w:t>
      </w:r>
    </w:p>
    <w:p w14:paraId="3BCDB5E1">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outlineLvl w:val="2"/>
        <w:rPr>
          <w:rFonts w:hint="eastAsia" w:ascii="仿宋_GB2312" w:hAnsi="仿宋_GB2312" w:eastAsia="仿宋_GB2312" w:cs="仿宋_GB2312"/>
          <w:b/>
          <w:bCs/>
          <w:color w:val="000000" w:themeColor="text1"/>
          <w:kern w:val="2"/>
          <w:sz w:val="32"/>
          <w:szCs w:val="32"/>
          <w:highlight w:val="none"/>
          <w:lang w:bidi="ar"/>
          <w14:textFill>
            <w14:solidFill>
              <w14:schemeClr w14:val="tx1"/>
            </w14:solidFill>
          </w14:textFill>
        </w:rPr>
      </w:pPr>
      <w:r>
        <w:rPr>
          <w:rFonts w:hint="eastAsia" w:ascii="仿宋_GB2312" w:hAnsi="仿宋_GB2312" w:cs="仿宋_GB2312"/>
          <w:b/>
          <w:bCs/>
          <w:color w:val="000000" w:themeColor="text1"/>
          <w:kern w:val="2"/>
          <w:sz w:val="32"/>
          <w:szCs w:val="32"/>
          <w:highlight w:val="none"/>
          <w:lang w:val="en-US" w:eastAsia="zh-CN" w:bidi="ar"/>
          <w14:textFill>
            <w14:solidFill>
              <w14:schemeClr w14:val="tx1"/>
            </w14:solidFill>
          </w14:textFill>
        </w:rPr>
        <w:t>4.</w:t>
      </w:r>
      <w:r>
        <w:rPr>
          <w:rFonts w:hint="eastAsia" w:ascii="仿宋_GB2312" w:hAnsi="仿宋_GB2312" w:eastAsia="仿宋_GB2312" w:cs="仿宋_GB2312"/>
          <w:b/>
          <w:bCs/>
          <w:color w:val="000000" w:themeColor="text1"/>
          <w:kern w:val="2"/>
          <w:sz w:val="32"/>
          <w:szCs w:val="32"/>
          <w:highlight w:val="none"/>
          <w:lang w:val="en-US" w:eastAsia="zh-CN" w:bidi="ar"/>
          <w14:textFill>
            <w14:solidFill>
              <w14:schemeClr w14:val="tx1"/>
            </w14:solidFill>
          </w14:textFill>
        </w:rPr>
        <w:t>积极发展海水淡化与综合利用业</w:t>
      </w:r>
    </w:p>
    <w:p w14:paraId="67D321CB">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仿宋_GB2312" w:cs="仿宋_GB2312"/>
          <w:b/>
          <w:bCs/>
          <w:color w:val="000000" w:themeColor="text1"/>
          <w:kern w:val="2"/>
          <w:sz w:val="32"/>
          <w:szCs w:val="32"/>
          <w:lang w:val="en-US" w:eastAsia="zh-CN" w:bidi="ar"/>
          <w14:textFill>
            <w14:solidFill>
              <w14:schemeClr w14:val="tx1"/>
            </w14:solidFill>
          </w14:textFill>
        </w:rPr>
        <w:t>推进海水淡化和综合利用产业规模化开发。</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依托临海电厂的余热耦合海水淡化工艺，降低产水能耗，实现能源与水资源协同利用。集中布局惠来电厂、前詹电厂等高耗水企业建设大型海水淡化项目，推动海水冷却循环技术在沿海火电、石化、核电等高用水行业的规模化应用。</w:t>
      </w:r>
    </w:p>
    <w:p w14:paraId="56C6BFE4">
      <w:pPr>
        <w:keepNext w:val="0"/>
        <w:keepLines w:val="0"/>
        <w:widowControl w:val="0"/>
        <w:numPr>
          <w:ilvl w:val="-1"/>
          <w:numId w:val="0"/>
        </w:numPr>
        <w:suppressLineNumbers w:val="0"/>
        <w:autoSpaceDE w:val="0"/>
        <w:autoSpaceDN/>
        <w:spacing w:before="0" w:beforeLines="0" w:beforeAutospacing="0" w:after="0" w:afterLines="0" w:afterAutospacing="0" w:line="580" w:lineRule="exact"/>
        <w:ind w:left="0" w:leftChars="0" w:right="0" w:firstLine="643" w:firstLineChars="200"/>
        <w:jc w:val="both"/>
        <w:outlineLvl w:val="2"/>
        <w:rPr>
          <w:rFonts w:hint="eastAsia" w:ascii="仿宋_GB2312" w:hAnsi="仿宋_GB2312" w:eastAsia="仿宋_GB2312" w:cs="仿宋_GB2312"/>
          <w:b/>
          <w:bCs/>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cs="仿宋_GB2312"/>
          <w:b/>
          <w:bCs/>
          <w:color w:val="000000" w:themeColor="text1"/>
          <w:kern w:val="2"/>
          <w:sz w:val="32"/>
          <w:szCs w:val="32"/>
          <w:highlight w:val="none"/>
          <w:lang w:val="en-US" w:eastAsia="zh-CN" w:bidi="ar"/>
          <w14:textFill>
            <w14:solidFill>
              <w14:schemeClr w14:val="tx1"/>
            </w14:solidFill>
          </w14:textFill>
        </w:rPr>
        <w:t>5.</w:t>
      </w:r>
      <w:r>
        <w:rPr>
          <w:rFonts w:hint="eastAsia" w:ascii="仿宋_GB2312" w:hAnsi="仿宋_GB2312" w:eastAsia="仿宋_GB2312" w:cs="仿宋_GB2312"/>
          <w:b/>
          <w:bCs/>
          <w:color w:val="000000" w:themeColor="text1"/>
          <w:kern w:val="2"/>
          <w:sz w:val="32"/>
          <w:szCs w:val="32"/>
          <w:highlight w:val="none"/>
          <w:lang w:val="en-US" w:eastAsia="zh-CN" w:bidi="ar"/>
          <w14:textFill>
            <w14:solidFill>
              <w14:schemeClr w14:val="tx1"/>
            </w14:solidFill>
          </w14:textFill>
        </w:rPr>
        <w:t>谋划发展海洋未来产业</w:t>
      </w:r>
    </w:p>
    <w:p w14:paraId="3F9F3D5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val="0"/>
          <w:bCs w:val="0"/>
          <w:sz w:val="32"/>
          <w:szCs w:val="22"/>
        </w:rPr>
      </w:pPr>
      <w:bookmarkStart w:id="209" w:name="_Toc24946"/>
      <w:bookmarkStart w:id="210" w:name="_Toc1034"/>
      <w:bookmarkStart w:id="211" w:name="_Toc27838"/>
      <w:bookmarkStart w:id="212" w:name="_Toc21384"/>
      <w:bookmarkStart w:id="213" w:name="_Toc924"/>
      <w:bookmarkStart w:id="214" w:name="_Toc24220"/>
      <w:bookmarkStart w:id="215" w:name="_Toc12038"/>
      <w:bookmarkStart w:id="216" w:name="_Toc22338"/>
      <w:bookmarkStart w:id="217" w:name="_Toc3387"/>
      <w:bookmarkStart w:id="218" w:name="_Toc24806"/>
      <w:bookmarkStart w:id="219" w:name="_Toc12203"/>
      <w:bookmarkStart w:id="220" w:name="_Toc23405"/>
      <w:bookmarkStart w:id="221" w:name="_Toc28822"/>
      <w:bookmarkStart w:id="222" w:name="_Toc26471"/>
      <w:bookmarkStart w:id="223" w:name="_Toc3837"/>
      <w:bookmarkStart w:id="224" w:name="_Toc20129"/>
      <w:bookmarkStart w:id="225" w:name="_Toc32059"/>
      <w:bookmarkStart w:id="226" w:name="_Toc15214"/>
      <w:bookmarkStart w:id="227" w:name="_Toc15471"/>
      <w:bookmarkStart w:id="228" w:name="_Toc8538"/>
      <w:bookmarkStart w:id="229" w:name="_Toc955"/>
      <w:r>
        <w:rPr>
          <w:rFonts w:hint="eastAsia" w:ascii="仿宋_GB2312" w:hAnsi="仿宋_GB2312" w:cs="仿宋_GB2312"/>
          <w:b/>
          <w:bCs/>
          <w:color w:val="000000" w:themeColor="text1"/>
          <w:kern w:val="2"/>
          <w:sz w:val="32"/>
          <w:szCs w:val="32"/>
          <w:lang w:val="en-US" w:eastAsia="zh-CN" w:bidi="ar"/>
          <w14:textFill>
            <w14:solidFill>
              <w14:schemeClr w14:val="tx1"/>
            </w14:solidFill>
          </w14:textFill>
        </w:rPr>
        <w:t>培育壮大氢能储能产业，</w:t>
      </w: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启动建设南网储能电站项目，加快推动国投电力</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惠来</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氢能产业链关键设备制造项目建设。</w:t>
      </w:r>
      <w:r>
        <w:rPr>
          <w:rFonts w:hint="eastAsia" w:ascii="仿宋_GB2312" w:hAnsi="仿宋_GB2312" w:eastAsia="仿宋_GB2312" w:cs="仿宋_GB2312"/>
          <w:sz w:val="32"/>
          <w:szCs w:val="32"/>
          <w:highlight w:val="none"/>
          <w:lang w:val="en-US" w:eastAsia="zh-CN"/>
        </w:rPr>
        <w:t>依托前詹码头海水制氢示范项目，发展风电制氢模式，谋划氢能装备制造基地。</w:t>
      </w: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围绕海上风电建设，探索发展海水直接制氢技术，抢占“海上风电等可再生能源利用</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海水氢能生产”全球新兴战略产业赛道，加快谋划与东方电气共建海水制氢中试基地。</w:t>
      </w:r>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推动资源循环利用，加快推进</w:t>
      </w:r>
      <w:r>
        <w:rPr>
          <w:rFonts w:hint="eastAsia" w:ascii="仿宋_GB2312" w:hAnsi="仿宋_GB2312" w:eastAsia="仿宋_GB2312" w:cs="仿宋_GB2312"/>
          <w:b w:val="0"/>
          <w:bCs w:val="0"/>
          <w:sz w:val="32"/>
          <w:szCs w:val="22"/>
        </w:rPr>
        <w:t>粤东LNG接收站冷能利用示范项目落地，实现能源的梯级和高效利用。</w:t>
      </w:r>
    </w:p>
    <w:p w14:paraId="3E3D31C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val="0"/>
          <w:bCs w:val="0"/>
          <w:sz w:val="32"/>
          <w:szCs w:val="22"/>
          <w:lang w:val="en-US" w:eastAsia="zh-CN"/>
        </w:rPr>
      </w:pPr>
      <w:r>
        <w:rPr>
          <w:rFonts w:hint="eastAsia" w:ascii="仿宋_GB2312" w:hAnsi="仿宋_GB2312" w:cs="仿宋_GB2312"/>
          <w:b/>
          <w:bCs/>
          <w:sz w:val="32"/>
          <w:szCs w:val="22"/>
          <w:lang w:val="en-US" w:eastAsia="zh-CN"/>
        </w:rPr>
        <w:t>抢占“AI+海洋”发展赛道。</w:t>
      </w:r>
      <w:r>
        <w:rPr>
          <w:rFonts w:hint="eastAsia" w:ascii="仿宋_GB2312" w:hAnsi="仿宋_GB2312" w:cs="仿宋_GB2312"/>
          <w:b w:val="0"/>
          <w:bCs w:val="0"/>
          <w:sz w:val="32"/>
          <w:szCs w:val="22"/>
          <w:lang w:val="en-US" w:eastAsia="zh-CN"/>
        </w:rPr>
        <w:t>全面接轨数字化深海典型生境计划，围绕智慧海洋牧场、智慧大港、海洋智能装备制造等具有揭阳比较优势的新兴领域，突破计算机视觉、数字孪生、边缘计算等技术，促进海洋牧场生态底播智能化、智能网箱技术集成化，推动深远海养殖平台“养—捕—加”全流程智能化装备设施研发应用。构建港口运营数字孪生体，实现装卸作业全流程沉浸式优化，加快形成基于机器视觉的智能化装卸船系统研发能力。面向复杂极端海底环境，推动形成具备复杂海洋环境下的精确环境感知与复杂任务下的高效自主决策控制水下无人救援机器人、深海无人艇等研制能力。</w:t>
      </w:r>
    </w:p>
    <w:p w14:paraId="2605F19D">
      <w:pPr>
        <w:keepNext w:val="0"/>
        <w:keepLines w:val="0"/>
        <w:pageBreakBefore w:val="0"/>
        <w:widowControl w:val="0"/>
        <w:kinsoku/>
        <w:wordWrap/>
        <w:overflowPunct/>
        <w:topLinePunct w:val="0"/>
        <w:autoSpaceDE w:val="0"/>
        <w:autoSpaceDN/>
        <w:bidi w:val="0"/>
        <w:adjustRightInd/>
        <w:snapToGrid/>
        <w:spacing w:beforeLines="0" w:afterLines="0" w:line="580" w:lineRule="exact"/>
        <w:ind w:firstLine="643" w:firstLineChars="200"/>
        <w:textAlignment w:val="auto"/>
        <w:outlineLvl w:val="1"/>
        <w:rPr>
          <w:rFonts w:hint="eastAsia" w:ascii="Times New Roman" w:hAnsi="Times New Roman" w:eastAsia="仿宋_GB2312" w:cs="仿宋_GB2312"/>
          <w:b w:val="0"/>
          <w:bCs w:val="0"/>
          <w:color w:val="000000" w:themeColor="text1"/>
          <w:sz w:val="32"/>
          <w:szCs w:val="32"/>
          <w:u w:val="none"/>
          <w14:textFill>
            <w14:solidFill>
              <w14:schemeClr w14:val="tx1"/>
            </w14:solidFill>
          </w14:textFill>
        </w:rPr>
      </w:pPr>
      <w:bookmarkStart w:id="230" w:name="_Toc14427"/>
      <w:bookmarkStart w:id="231" w:name="_Toc24821"/>
      <w:bookmarkStart w:id="232" w:name="_Toc10228"/>
      <w:bookmarkStart w:id="233" w:name="_Toc19384"/>
      <w:bookmarkStart w:id="234" w:name="_Toc23904"/>
      <w:bookmarkStart w:id="235" w:name="_Toc23184"/>
      <w:bookmarkStart w:id="236" w:name="_Toc24083"/>
      <w:bookmarkStart w:id="237" w:name="_Toc20958"/>
      <w:r>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rPr>
        <w:t>（三）提升现代海洋服务业能级</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14:paraId="6AA386F9">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outlineLvl w:val="2"/>
        <w:rPr>
          <w:rFonts w:hint="eastAsia" w:ascii="仿宋_GB2312" w:hAnsi="仿宋_GB2312" w:eastAsia="仿宋_GB2312" w:cs="仿宋_GB2312"/>
          <w:b/>
          <w:bCs/>
          <w:color w:val="000000" w:themeColor="text1"/>
          <w:kern w:val="2"/>
          <w:sz w:val="32"/>
          <w:szCs w:val="32"/>
          <w:highlight w:val="none"/>
          <w:lang w:val="en-US" w:eastAsia="zh-CN" w:bidi="ar"/>
          <w14:textFill>
            <w14:solidFill>
              <w14:schemeClr w14:val="tx1"/>
            </w14:solidFill>
          </w14:textFill>
        </w:rPr>
      </w:pPr>
      <w:bookmarkStart w:id="238" w:name="_Toc30837"/>
      <w:bookmarkStart w:id="239" w:name="_Toc26925"/>
      <w:bookmarkStart w:id="240" w:name="_Toc32377"/>
      <w:bookmarkStart w:id="241" w:name="_Toc8018"/>
      <w:bookmarkStart w:id="242" w:name="_Toc31894"/>
      <w:bookmarkStart w:id="243" w:name="_Toc30787"/>
      <w:bookmarkStart w:id="244" w:name="_Toc15344"/>
      <w:bookmarkStart w:id="245" w:name="_Toc13362"/>
      <w:bookmarkStart w:id="246" w:name="_Toc5127"/>
      <w:bookmarkStart w:id="247" w:name="_Toc13033"/>
      <w:bookmarkStart w:id="248" w:name="_Toc20006"/>
      <w:bookmarkStart w:id="249" w:name="_Toc32747"/>
      <w:bookmarkStart w:id="250" w:name="_Toc28454"/>
      <w:bookmarkStart w:id="251" w:name="_Toc16221"/>
      <w:bookmarkStart w:id="252" w:name="_Toc18282"/>
      <w:bookmarkStart w:id="253" w:name="_Toc9252"/>
      <w:bookmarkStart w:id="254" w:name="_Toc15387"/>
      <w:bookmarkStart w:id="255" w:name="_Toc14386"/>
      <w:r>
        <w:rPr>
          <w:rFonts w:hint="eastAsia" w:ascii="仿宋_GB2312" w:hAnsi="仿宋_GB2312" w:eastAsia="仿宋_GB2312" w:cs="仿宋_GB2312"/>
          <w:b/>
          <w:bCs/>
          <w:color w:val="000000" w:themeColor="text1"/>
          <w:kern w:val="2"/>
          <w:sz w:val="32"/>
          <w:szCs w:val="32"/>
          <w:highlight w:val="none"/>
          <w:lang w:val="en-US" w:eastAsia="zh-CN" w:bidi="ar"/>
          <w14:textFill>
            <w14:solidFill>
              <w14:schemeClr w14:val="tx1"/>
            </w14:solidFill>
          </w14:textFill>
        </w:rPr>
        <w:t>1.优化提升海洋交通运输业</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21D60D15">
      <w:pPr>
        <w:spacing w:line="560" w:lineRule="exact"/>
        <w:ind w:firstLine="643"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cs="仿宋_GB2312"/>
          <w:b/>
          <w:bCs/>
          <w:color w:val="000000" w:themeColor="text1"/>
          <w:sz w:val="32"/>
          <w:szCs w:val="32"/>
          <w:highlight w:val="none"/>
          <w:lang w:val="en-US" w:eastAsia="zh-CN"/>
          <w14:textFill>
            <w14:solidFill>
              <w14:schemeClr w14:val="tx1"/>
            </w14:solidFill>
          </w14:textFill>
        </w:rPr>
        <w:t>提速建设亿吨大港，</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着力完善惠来沿海港区基础设施</w:t>
      </w:r>
      <w:r>
        <w:rPr>
          <w:rFonts w:hint="eastAsia" w:ascii="仿宋_GB2312" w:hAnsi="仿宋_GB2312" w:cs="仿宋_GB2312"/>
          <w:color w:val="000000" w:themeColor="text1"/>
          <w:sz w:val="32"/>
          <w:szCs w:val="32"/>
          <w:highlight w:val="none"/>
          <w:lang w:val="en-US" w:eastAsia="zh-CN"/>
          <w14:textFill>
            <w14:solidFill>
              <w14:schemeClr w14:val="tx1"/>
            </w14:solidFill>
          </w14:textFill>
        </w:rPr>
        <w:t>，推动港口向深水化发展，加快推进</w:t>
      </w:r>
      <w:r>
        <w:rPr>
          <w:rFonts w:hint="eastAsia" w:ascii="仿宋_GB2312" w:hAnsi="仿宋_GB2312" w:eastAsia="仿宋_GB2312" w:cs="仿宋_GB2312"/>
          <w:sz w:val="32"/>
          <w:szCs w:val="32"/>
        </w:rPr>
        <w:t>南海作业区通用码头、LPG码头、液体散货码头，资深作业区520万方原油商业储备库配套码头等一批港口码头项目建设</w:t>
      </w:r>
      <w:r>
        <w:rPr>
          <w:rFonts w:hint="eastAsia" w:ascii="仿宋_GB2312" w:hAnsi="仿宋_GB2312" w:cs="仿宋_GB2312"/>
          <w:sz w:val="32"/>
          <w:szCs w:val="32"/>
          <w:lang w:val="en-US" w:eastAsia="zh-CN"/>
        </w:rPr>
        <w:t>。</w:t>
      </w:r>
      <w:r>
        <w:rPr>
          <w:rFonts w:hint="eastAsia" w:ascii="仿宋_GB2312" w:hAnsi="仿宋_GB2312" w:cs="仿宋_GB2312"/>
          <w:b w:val="0"/>
          <w:bCs w:val="0"/>
          <w:color w:val="auto"/>
          <w:sz w:val="32"/>
          <w:szCs w:val="32"/>
          <w:highlight w:val="none"/>
          <w:lang w:val="en-US" w:eastAsia="zh-CN"/>
        </w:rPr>
        <w:t>提升榕江港区规模化、专业化</w:t>
      </w:r>
      <w:r>
        <w:rPr>
          <w:rFonts w:hint="eastAsia" w:ascii="仿宋_GB2312" w:hAnsi="仿宋_GB2312" w:cs="仿宋_GB2312"/>
          <w:b w:val="0"/>
          <w:bCs w:val="0"/>
          <w:sz w:val="32"/>
          <w:szCs w:val="32"/>
          <w:lang w:val="en-US" w:eastAsia="zh-CN"/>
        </w:rPr>
        <w:t>营运</w:t>
      </w:r>
      <w:r>
        <w:rPr>
          <w:rFonts w:hint="eastAsia" w:ascii="仿宋_GB2312" w:hAnsi="仿宋_GB2312" w:cs="仿宋_GB2312"/>
          <w:b w:val="0"/>
          <w:bCs w:val="0"/>
          <w:color w:val="auto"/>
          <w:sz w:val="32"/>
          <w:szCs w:val="32"/>
          <w:highlight w:val="none"/>
          <w:lang w:val="en-US" w:eastAsia="zh-CN"/>
        </w:rPr>
        <w:t>水平，</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加</w:t>
      </w:r>
      <w:r>
        <w:rPr>
          <w:rFonts w:hint="eastAsia" w:ascii="仿宋_GB2312" w:hAnsi="仿宋_GB2312" w:cs="仿宋_GB2312"/>
          <w:color w:val="000000" w:themeColor="text1"/>
          <w:sz w:val="32"/>
          <w:szCs w:val="32"/>
          <w:highlight w:val="none"/>
          <w:lang w:val="en-US" w:eastAsia="zh-CN"/>
          <w14:textFill>
            <w14:solidFill>
              <w14:schemeClr w14:val="tx1"/>
            </w14:solidFill>
          </w14:textFill>
        </w:rPr>
        <w:t>快推进榕江航道通航能力提升，满足万吨级货船全天候通航要求，</w:t>
      </w:r>
      <w:r>
        <w:rPr>
          <w:rFonts w:hint="eastAsia" w:ascii="仿宋_GB2312" w:hAnsi="仿宋_GB2312" w:cs="仿宋_GB2312"/>
          <w:color w:val="auto"/>
          <w:sz w:val="32"/>
          <w:szCs w:val="32"/>
          <w:highlight w:val="none"/>
          <w:lang w:val="en-US" w:eastAsia="zh-CN"/>
        </w:rPr>
        <w:t>推动康达化工码头、国鑫货运码头、仙六货运码头等一批码头升级改造。</w:t>
      </w:r>
      <w:r>
        <w:rPr>
          <w:rFonts w:hint="eastAsia" w:ascii="仿宋_GB2312" w:hAnsi="仿宋_GB2312" w:cs="仿宋_GB2312"/>
          <w:b/>
          <w:bCs/>
          <w:color w:val="000000" w:themeColor="text1"/>
          <w:sz w:val="32"/>
          <w:szCs w:val="32"/>
          <w:highlight w:val="none"/>
          <w:lang w:val="en-US" w:eastAsia="zh-CN"/>
          <w14:textFill>
            <w14:solidFill>
              <w14:schemeClr w14:val="tx1"/>
            </w14:solidFill>
          </w14:textFill>
        </w:rPr>
        <w:t>推动港口智能化发展</w:t>
      </w:r>
      <w:r>
        <w:rPr>
          <w:rFonts w:hint="eastAsia" w:ascii="仿宋_GB2312" w:hAnsi="仿宋_GB2312" w:cs="仿宋_GB2312"/>
          <w:color w:val="000000" w:themeColor="text1"/>
          <w:sz w:val="32"/>
          <w:szCs w:val="32"/>
          <w:highlight w:val="none"/>
          <w:lang w:val="en-US" w:eastAsia="zh-CN"/>
          <w14:textFill>
            <w14:solidFill>
              <w14:schemeClr w14:val="tx1"/>
            </w14:solidFill>
          </w14:textFill>
        </w:rPr>
        <w:t>，启动</w:t>
      </w:r>
      <w:r>
        <w:rPr>
          <w:rFonts w:hint="eastAsia" w:ascii="仿宋_GB2312" w:hAnsi="仿宋_GB2312" w:eastAsia="仿宋_GB2312" w:cs="仿宋_GB2312"/>
          <w:color w:val="000000" w:themeColor="text1"/>
          <w:sz w:val="32"/>
          <w:szCs w:val="32"/>
          <w:highlight w:val="none"/>
          <w14:textFill>
            <w14:solidFill>
              <w14:schemeClr w14:val="tx1"/>
            </w14:solidFill>
          </w14:textFill>
        </w:rPr>
        <w:t>港口码头自动化改造，推广使用船舶智能监管、智能船舶自主航行等系统。</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提升港口多式联运能力</w:t>
      </w:r>
      <w:r>
        <w:rPr>
          <w:rFonts w:hint="eastAsia" w:ascii="仿宋_GB2312" w:hAnsi="仿宋_GB2312" w:cs="仿宋_GB2312"/>
          <w:b w:val="0"/>
          <w:bCs w:val="0"/>
          <w:color w:val="000000" w:themeColor="text1"/>
          <w:sz w:val="32"/>
          <w:szCs w:val="32"/>
          <w:highlight w:val="none"/>
          <w:lang w:eastAsia="zh-CN"/>
          <w14:textFill>
            <w14:solidFill>
              <w14:schemeClr w14:val="tx1"/>
            </w14:solidFill>
          </w14:textFill>
        </w:rPr>
        <w:t>，积极引导大宗货物、集装箱和中长途货物运输“公转铁”“公转水”，加快建设市域铁路出海大通道，推动铁路专用线“进港区、进园区、进厂区”，</w:t>
      </w:r>
      <w:r>
        <w:rPr>
          <w:rFonts w:hint="eastAsia" w:ascii="仿宋_GB2312" w:hAnsi="仿宋_GB2312" w:eastAsia="仿宋_GB2312" w:cs="仿宋_GB2312"/>
          <w:color w:val="000000" w:themeColor="text1"/>
          <w:sz w:val="32"/>
          <w:szCs w:val="32"/>
          <w:highlight w:val="none"/>
          <w14:textFill>
            <w14:solidFill>
              <w14:schemeClr w14:val="tx1"/>
            </w14:solidFill>
          </w14:textFill>
        </w:rPr>
        <w:t>加快完善港口集疏运公路网络，推进陆河至惠来高速、揭惠至揭普惠高速联络线、国道G238线、G228线改建等项目</w:t>
      </w:r>
      <w:r>
        <w:rPr>
          <w:rFonts w:hint="eastAsia" w:ascii="仿宋_GB2312" w:hAnsi="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cs="仿宋_GB2312"/>
          <w:b w:val="0"/>
          <w:bCs w:val="0"/>
          <w:color w:val="000000" w:themeColor="text1"/>
          <w:sz w:val="32"/>
          <w:szCs w:val="32"/>
          <w:highlight w:val="none"/>
          <w:lang w:val="en-US" w:eastAsia="zh-CN"/>
          <w14:textFill>
            <w14:solidFill>
              <w14:schemeClr w14:val="tx1"/>
            </w14:solidFill>
          </w14:textFill>
        </w:rPr>
        <w:t>提速</w:t>
      </w:r>
      <w:r>
        <w:rPr>
          <w:rFonts w:hint="eastAsia" w:ascii="仿宋_GB2312" w:hAnsi="仿宋_GB2312" w:cs="仿宋_GB2312"/>
          <w:sz w:val="32"/>
          <w:szCs w:val="32"/>
        </w:rPr>
        <w:t>揭惠铁路、大南海通用码头专用线、中石油广东石化专用线建设</w:t>
      </w:r>
      <w:r>
        <w:rPr>
          <w:rFonts w:hint="eastAsia" w:ascii="仿宋_GB2312" w:hAnsi="仿宋_GB2312" w:cs="仿宋_GB2312"/>
          <w:sz w:val="32"/>
          <w:szCs w:val="32"/>
          <w:lang w:val="en-US" w:eastAsia="zh-CN"/>
        </w:rPr>
        <w:t>进程</w:t>
      </w:r>
      <w:r>
        <w:rPr>
          <w:rFonts w:hint="eastAsia" w:ascii="仿宋_GB2312" w:hAnsi="仿宋_GB2312" w:cs="仿宋_GB2312"/>
          <w:sz w:val="32"/>
          <w:szCs w:val="32"/>
        </w:rPr>
        <w:t>。搭建空水联运物流体系</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谋划建设</w:t>
      </w:r>
      <w:r>
        <w:rPr>
          <w:rFonts w:hint="eastAsia" w:ascii="仿宋_GB2312" w:hAnsi="仿宋_GB2312" w:eastAsia="仿宋_GB2312" w:cs="仿宋_GB2312"/>
          <w:sz w:val="32"/>
          <w:szCs w:val="32"/>
        </w:rPr>
        <w:t>临港临空物流园区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联动发展跨境货运</w:t>
      </w:r>
      <w:r>
        <w:rPr>
          <w:rFonts w:hint="eastAsia" w:ascii="仿宋_GB2312" w:hAnsi="仿宋_GB2312" w:eastAsia="仿宋_GB2312" w:cs="仿宋_GB2312"/>
          <w:sz w:val="32"/>
          <w:szCs w:val="32"/>
          <w:lang w:eastAsia="zh-CN"/>
        </w:rPr>
        <w:t>。</w:t>
      </w:r>
      <w:r>
        <w:rPr>
          <w:rFonts w:hint="eastAsia" w:ascii="仿宋_GB2312" w:hAnsi="仿宋_GB2312" w:cs="仿宋_GB2312"/>
          <w:b/>
          <w:bCs/>
          <w:sz w:val="32"/>
          <w:szCs w:val="32"/>
        </w:rPr>
        <w:t>推动区域港口群融合发展</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支持揭阳港与汕头港、潮州港共建粤东港口群，推动与厦门港、泉州港、梅州国际无水港联动发展</w:t>
      </w:r>
      <w:r>
        <w:rPr>
          <w:rFonts w:hint="eastAsia" w:ascii="仿宋_GB2312" w:hAnsi="仿宋_GB2312" w:eastAsia="仿宋_GB2312" w:cs="仿宋_GB2312"/>
          <w:sz w:val="32"/>
          <w:szCs w:val="32"/>
          <w:lang w:eastAsia="zh-CN"/>
        </w:rPr>
        <w:t>，</w:t>
      </w:r>
      <w:r>
        <w:rPr>
          <w:rFonts w:hint="eastAsia" w:ascii="仿宋_GB2312" w:hAnsi="仿宋_GB2312" w:cs="仿宋_GB2312"/>
          <w:color w:val="000000" w:themeColor="text1"/>
          <w:sz w:val="32"/>
          <w:szCs w:val="32"/>
          <w:highlight w:val="none"/>
          <w:lang w:val="en-US" w:eastAsia="zh-CN"/>
          <w14:textFill>
            <w14:solidFill>
              <w14:schemeClr w14:val="tx1"/>
            </w14:solidFill>
          </w14:textFill>
        </w:rPr>
        <w:t>推进揭阳港积极对接融入粤港澳大湾区世界级港口群，做大做强海洋工程建筑和大宗散货等运输业务。</w:t>
      </w:r>
      <w:r>
        <w:rPr>
          <w:rFonts w:hint="eastAsia" w:ascii="仿宋_GB2312" w:hAnsi="仿宋_GB2312" w:cs="仿宋_GB2312"/>
          <w:b/>
          <w:bCs/>
          <w:color w:val="000000" w:themeColor="text1"/>
          <w:sz w:val="32"/>
          <w:szCs w:val="32"/>
          <w:highlight w:val="none"/>
          <w:lang w:val="en-US" w:eastAsia="zh-CN"/>
          <w14:textFill>
            <w14:solidFill>
              <w14:schemeClr w14:val="tx1"/>
            </w14:solidFill>
          </w14:textFill>
        </w:rPr>
        <w:t>提升港口综合服务与通航保障能力</w:t>
      </w:r>
      <w:r>
        <w:rPr>
          <w:rFonts w:hint="eastAsia" w:ascii="仿宋_GB2312" w:hAnsi="仿宋_GB2312" w:cs="仿宋_GB2312"/>
          <w:color w:val="000000" w:themeColor="text1"/>
          <w:sz w:val="32"/>
          <w:szCs w:val="32"/>
          <w:highlight w:val="none"/>
          <w:lang w:val="en-US" w:eastAsia="zh-CN"/>
          <w14:textFill>
            <w14:solidFill>
              <w14:schemeClr w14:val="tx1"/>
            </w14:solidFill>
          </w14:textFill>
        </w:rPr>
        <w:t>，建立健全安全高效的引航服务体系，提升对LNG、LPG、风电装备、石化原料等重点物资运输船舶的引航保障水平。</w:t>
      </w:r>
    </w:p>
    <w:p w14:paraId="34E65150">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outlineLvl w:val="2"/>
        <w:rPr>
          <w:rFonts w:hint="eastAsia" w:ascii="仿宋_GB2312" w:hAnsi="仿宋_GB2312" w:eastAsia="仿宋_GB2312" w:cs="仿宋_GB2312"/>
          <w:b/>
          <w:bCs/>
          <w:color w:val="000000" w:themeColor="text1"/>
          <w:kern w:val="2"/>
          <w:sz w:val="32"/>
          <w:szCs w:val="32"/>
          <w:highlight w:val="none"/>
          <w:lang w:bidi="ar"/>
          <w14:textFill>
            <w14:solidFill>
              <w14:schemeClr w14:val="tx1"/>
            </w14:solidFill>
          </w14:textFill>
        </w:rPr>
      </w:pPr>
      <w:bookmarkStart w:id="256" w:name="_Toc2549"/>
      <w:bookmarkStart w:id="257" w:name="_Toc32397"/>
      <w:bookmarkStart w:id="258" w:name="_Toc12223"/>
      <w:bookmarkStart w:id="259" w:name="_Toc3538"/>
      <w:bookmarkStart w:id="260" w:name="_Toc13705"/>
      <w:bookmarkStart w:id="261" w:name="_Toc22707"/>
      <w:bookmarkStart w:id="262" w:name="_Toc21472"/>
      <w:bookmarkStart w:id="263" w:name="_Toc32635"/>
      <w:bookmarkStart w:id="264" w:name="_Toc20947"/>
      <w:bookmarkStart w:id="265" w:name="_Toc23720"/>
      <w:bookmarkStart w:id="266" w:name="_Toc11105"/>
      <w:bookmarkStart w:id="267" w:name="_Toc27519"/>
      <w:bookmarkStart w:id="268" w:name="_Toc6819"/>
      <w:bookmarkStart w:id="269" w:name="_Toc4066"/>
      <w:bookmarkStart w:id="270" w:name="_Toc23448"/>
      <w:bookmarkStart w:id="271" w:name="_Toc17238"/>
      <w:bookmarkStart w:id="272" w:name="_Toc17405"/>
      <w:bookmarkStart w:id="273" w:name="_Toc15082"/>
      <w:r>
        <w:rPr>
          <w:rFonts w:hint="eastAsia" w:ascii="仿宋_GB2312" w:hAnsi="仿宋_GB2312" w:cs="仿宋_GB2312"/>
          <w:b/>
          <w:bCs/>
          <w:color w:val="000000" w:themeColor="text1"/>
          <w:kern w:val="2"/>
          <w:sz w:val="32"/>
          <w:szCs w:val="32"/>
          <w:highlight w:val="none"/>
          <w:lang w:val="en-US" w:eastAsia="zh-CN" w:bidi="ar"/>
          <w14:textFill>
            <w14:solidFill>
              <w14:schemeClr w14:val="tx1"/>
            </w14:solidFill>
          </w14:textFill>
        </w:rPr>
        <w:t>2.</w:t>
      </w:r>
      <w:r>
        <w:rPr>
          <w:rFonts w:hint="eastAsia" w:ascii="仿宋_GB2312" w:hAnsi="仿宋_GB2312" w:eastAsia="仿宋_GB2312" w:cs="仿宋_GB2312"/>
          <w:b/>
          <w:bCs/>
          <w:color w:val="000000" w:themeColor="text1"/>
          <w:kern w:val="2"/>
          <w:sz w:val="32"/>
          <w:szCs w:val="32"/>
          <w:highlight w:val="none"/>
          <w:lang w:val="en-US" w:eastAsia="zh-CN" w:bidi="ar"/>
          <w14:textFill>
            <w14:solidFill>
              <w14:schemeClr w14:val="tx1"/>
            </w14:solidFill>
          </w14:textFill>
        </w:rPr>
        <w:t>深度融合海洋文旅产业</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14:paraId="141E9FB7">
      <w:pPr>
        <w:keepNext w:val="0"/>
        <w:keepLines w:val="0"/>
        <w:pageBreakBefore w:val="0"/>
        <w:widowControl w:val="0"/>
        <w:suppressLineNumbers w:val="0"/>
        <w:kinsoku/>
        <w:wordWrap/>
        <w:overflowPunct/>
        <w:topLinePunct w:val="0"/>
        <w:autoSpaceDE w:val="0"/>
        <w:autoSpaceDN/>
        <w:bidi w:val="0"/>
        <w:adjustRightInd/>
        <w:snapToGrid/>
        <w:spacing w:before="0" w:beforeLines="0" w:beforeAutospacing="0" w:after="0" w:afterLines="0" w:afterAutospacing="0" w:line="580" w:lineRule="exact"/>
        <w:ind w:left="0" w:right="0" w:firstLine="640" w:firstLineChars="200"/>
        <w:jc w:val="both"/>
        <w:textAlignment w:val="auto"/>
        <w:outlineLvl w:val="9"/>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pPr>
      <w:bookmarkStart w:id="274" w:name="_Toc26802"/>
      <w:bookmarkStart w:id="275" w:name="_Toc10711"/>
      <w:bookmarkStart w:id="276" w:name="_Toc1935"/>
      <w:bookmarkStart w:id="277" w:name="_Toc16762"/>
      <w:bookmarkStart w:id="278" w:name="_Toc18939"/>
      <w:bookmarkStart w:id="279" w:name="_Toc28457"/>
      <w:bookmarkStart w:id="280" w:name="_Toc24088"/>
      <w:bookmarkStart w:id="281" w:name="_Toc4701"/>
      <w:bookmarkStart w:id="282" w:name="_Toc25348"/>
      <w:bookmarkStart w:id="283" w:name="_Toc28017"/>
      <w:bookmarkStart w:id="284" w:name="_Toc11110"/>
      <w:bookmarkStart w:id="285" w:name="_Toc25713"/>
      <w:bookmarkStart w:id="286" w:name="_Toc21366"/>
      <w:bookmarkStart w:id="287" w:name="_Toc9065"/>
      <w:bookmarkStart w:id="288" w:name="_Toc31264"/>
      <w:bookmarkStart w:id="289" w:name="_Toc20084"/>
      <w:bookmarkStart w:id="290" w:name="_Toc3243"/>
      <w:bookmarkStart w:id="291" w:name="_Toc24294"/>
      <w:r>
        <w:rPr>
          <w:rFonts w:hint="eastAsia" w:ascii="仿宋_GB2312" w:hAnsi="仿宋_GB2312" w:cs="仿宋_GB2312"/>
          <w:b w:val="0"/>
          <w:bCs w:val="0"/>
          <w:color w:val="000000" w:themeColor="text1"/>
          <w:kern w:val="2"/>
          <w:sz w:val="32"/>
          <w:szCs w:val="32"/>
          <w:lang w:val="en-US" w:eastAsia="zh-CN" w:bidi="ar"/>
          <w14:textFill>
            <w14:solidFill>
              <w14:schemeClr w14:val="tx1"/>
            </w14:solidFill>
          </w14:textFill>
        </w:rPr>
        <w:t>推动《揭阳滨海重点区域概念规划和核心区城市设计》落地实施，突出山海水域风情特征，谋划建设粤东新城神泉风情民宿岛、神泉小镇、黄金沙滩等一批文旅项目，打造滨海文化旅游度假区。加快推动惠来客鸟尾滨海旅游景区等项目建设，抓好靖海古城等海丝遗迹及大南山革命红色资源保护活化，提升惠来县石碑山角领海基点主题公园管理服务水平，不断丰富滨海旅游产品供给。策划推广滨海旅游自驾游线路和美食线路，举办惠来海洋（开渔）、“惠来五宝”等特色活动，打造“赏海景、洗海浴、吃海鲜、买海货”滨海旅游胜地。谋划开通滨海旅游等特色公交专线，满足游客多元化、个性化出行需求。</w:t>
      </w:r>
    </w:p>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14:paraId="72412DB5">
      <w:pPr>
        <w:keepNext w:val="0"/>
        <w:keepLines w:val="0"/>
        <w:widowControl w:val="0"/>
        <w:suppressLineNumbers w:val="0"/>
        <w:autoSpaceDE/>
        <w:autoSpaceDN/>
        <w:spacing w:before="0" w:beforeLines="0" w:beforeAutospacing="0" w:after="0" w:afterLines="0" w:afterAutospacing="0" w:line="580" w:lineRule="exact"/>
        <w:ind w:left="0" w:right="0" w:firstLine="643" w:firstLineChars="200"/>
        <w:jc w:val="both"/>
        <w:outlineLvl w:val="2"/>
        <w:rPr>
          <w:rFonts w:hint="eastAsia" w:ascii="仿宋_GB2312" w:hAnsi="仿宋_GB2312" w:eastAsia="仿宋_GB2312" w:cs="仿宋_GB2312"/>
          <w:b/>
          <w:bCs/>
          <w:color w:val="000000" w:themeColor="text1"/>
          <w:kern w:val="2"/>
          <w:sz w:val="32"/>
          <w:szCs w:val="32"/>
          <w:highlight w:val="none"/>
          <w:lang w:bidi="ar"/>
          <w14:textFill>
            <w14:solidFill>
              <w14:schemeClr w14:val="tx1"/>
            </w14:solidFill>
          </w14:textFill>
        </w:rPr>
      </w:pPr>
      <w:bookmarkStart w:id="292" w:name="_Toc2118"/>
      <w:bookmarkStart w:id="293" w:name="_Toc26494"/>
      <w:bookmarkStart w:id="294" w:name="_Toc4148"/>
      <w:bookmarkStart w:id="295" w:name="_Toc32403"/>
      <w:bookmarkStart w:id="296" w:name="_Toc9503"/>
      <w:bookmarkStart w:id="297" w:name="_Toc29567"/>
      <w:bookmarkStart w:id="298" w:name="_Toc11946"/>
      <w:bookmarkStart w:id="299" w:name="_Toc19970"/>
      <w:bookmarkStart w:id="300" w:name="_Toc23862"/>
      <w:bookmarkStart w:id="301" w:name="_Toc25224"/>
      <w:bookmarkStart w:id="302" w:name="_Toc26008"/>
      <w:bookmarkStart w:id="303" w:name="_Toc21932"/>
      <w:bookmarkStart w:id="304" w:name="_Toc10128"/>
      <w:bookmarkStart w:id="305" w:name="_Toc9983"/>
      <w:bookmarkStart w:id="306" w:name="_Toc8910"/>
      <w:bookmarkStart w:id="307" w:name="_Toc29254"/>
      <w:bookmarkStart w:id="308" w:name="_Toc26302"/>
      <w:bookmarkStart w:id="309" w:name="_Toc15749"/>
      <w:r>
        <w:rPr>
          <w:rFonts w:hint="eastAsia" w:ascii="仿宋_GB2312" w:hAnsi="仿宋_GB2312" w:cs="仿宋_GB2312"/>
          <w:b/>
          <w:bCs/>
          <w:color w:val="000000" w:themeColor="text1"/>
          <w:kern w:val="2"/>
          <w:sz w:val="32"/>
          <w:szCs w:val="32"/>
          <w:highlight w:val="none"/>
          <w:lang w:val="en-US" w:eastAsia="zh-CN" w:bidi="ar"/>
          <w14:textFill>
            <w14:solidFill>
              <w14:schemeClr w14:val="tx1"/>
            </w14:solidFill>
          </w14:textFill>
        </w:rPr>
        <w:t>3.</w:t>
      </w:r>
      <w:r>
        <w:rPr>
          <w:rFonts w:hint="eastAsia" w:ascii="仿宋_GB2312" w:hAnsi="仿宋_GB2312" w:eastAsia="仿宋_GB2312" w:cs="仿宋_GB2312"/>
          <w:b/>
          <w:bCs/>
          <w:color w:val="000000" w:themeColor="text1"/>
          <w:kern w:val="2"/>
          <w:sz w:val="32"/>
          <w:szCs w:val="32"/>
          <w:highlight w:val="none"/>
          <w:lang w:val="en-US" w:eastAsia="zh-CN" w:bidi="ar"/>
          <w14:textFill>
            <w14:solidFill>
              <w14:schemeClr w14:val="tx1"/>
            </w14:solidFill>
          </w14:textFill>
        </w:rPr>
        <w:t>提质发展涉海金融服务业</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1CE8CBCA">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pPr>
      <w:r>
        <w:rPr>
          <w:rFonts w:hint="eastAsia" w:ascii="仿宋_GB2312" w:hAnsi="仿宋_GB2312" w:eastAsia="仿宋_GB2312" w:cs="仿宋_GB2312"/>
          <w:b/>
          <w:bCs/>
          <w:color w:val="242424"/>
          <w:sz w:val="32"/>
          <w:lang w:val="en-US" w:eastAsia="zh-CN"/>
        </w:rPr>
        <w:t>进一步完善</w:t>
      </w:r>
      <w:r>
        <w:rPr>
          <w:rFonts w:hint="eastAsia" w:ascii="仿宋_GB2312" w:hAnsi="仿宋_GB2312" w:cs="仿宋_GB2312"/>
          <w:b/>
          <w:bCs/>
          <w:color w:val="242424"/>
          <w:sz w:val="32"/>
          <w:lang w:val="en-US" w:eastAsia="zh-CN"/>
        </w:rPr>
        <w:t>海洋牧场、海工装备等产业</w:t>
      </w:r>
      <w:r>
        <w:rPr>
          <w:rFonts w:hint="eastAsia" w:ascii="仿宋_GB2312" w:hAnsi="仿宋_GB2312" w:eastAsia="仿宋_GB2312" w:cs="仿宋_GB2312"/>
          <w:b/>
          <w:bCs/>
          <w:color w:val="242424"/>
          <w:sz w:val="32"/>
          <w:lang w:val="en-US" w:eastAsia="zh-CN"/>
        </w:rPr>
        <w:t>信贷融资支持体系</w:t>
      </w:r>
      <w:r>
        <w:rPr>
          <w:rFonts w:hint="eastAsia" w:ascii="仿宋_GB2312" w:hAnsi="仿宋_GB2312" w:eastAsia="仿宋_GB2312" w:cs="仿宋_GB2312"/>
          <w:color w:val="242424"/>
          <w:sz w:val="32"/>
          <w:lang w:val="en-US" w:eastAsia="zh-CN"/>
        </w:rPr>
        <w:t>，确定合理的授信权限和审批流程等一揽子综合金融服务。鼓励引导</w:t>
      </w:r>
      <w:r>
        <w:rPr>
          <w:rFonts w:hint="eastAsia" w:ascii="仿宋_GB2312" w:hAnsi="仿宋_GB2312" w:cs="仿宋_GB2312"/>
          <w:color w:val="242424"/>
          <w:sz w:val="32"/>
          <w:lang w:eastAsia="zh-CN"/>
        </w:rPr>
        <w:t>银行业金融机构</w:t>
      </w:r>
      <w:r>
        <w:rPr>
          <w:rFonts w:hint="eastAsia" w:ascii="仿宋_GB2312" w:hAnsi="仿宋_GB2312" w:eastAsia="仿宋_GB2312" w:cs="仿宋_GB2312"/>
          <w:color w:val="242424"/>
          <w:sz w:val="32"/>
          <w:lang w:eastAsia="zh-CN"/>
        </w:rPr>
        <w:t>试点推动设施设备交易流转和抵押、质押融资。</w:t>
      </w:r>
      <w:r>
        <w:rPr>
          <w:rFonts w:hint="eastAsia" w:ascii="仿宋_GB2312" w:hAnsi="仿宋_GB2312" w:eastAsia="仿宋_GB2312" w:cs="仿宋_GB2312"/>
          <w:color w:val="242424"/>
          <w:sz w:val="32"/>
        </w:rPr>
        <w:t>支持将海域使用不动产权证、水域滩涂养殖证等生产经营要素纳入银行业抵（质）押担保机制。推进现代化海洋牧场基础设施资产证券化融资，鼓励发行海洋牧场资产证券化产品。不断完善渔业互助保险，试点开展现代化海洋牧场政策性保险。支持开发商业性险种，拓展</w:t>
      </w:r>
      <w:r>
        <w:rPr>
          <w:rFonts w:hint="eastAsia" w:ascii="仿宋_GB2312" w:hAnsi="仿宋_GB2312" w:eastAsia="仿宋_GB2312" w:cs="仿宋_GB2312"/>
          <w:color w:val="242424"/>
          <w:sz w:val="32"/>
          <w:lang w:eastAsia="zh-CN"/>
        </w:rPr>
        <w:t>海洋牧场</w:t>
      </w:r>
      <w:r>
        <w:rPr>
          <w:rFonts w:hint="eastAsia" w:ascii="仿宋_GB2312" w:hAnsi="仿宋_GB2312" w:eastAsia="仿宋_GB2312" w:cs="仿宋_GB2312"/>
          <w:color w:val="242424"/>
          <w:sz w:val="32"/>
        </w:rPr>
        <w:t>全产业链保险服务，推广</w:t>
      </w:r>
      <w:r>
        <w:rPr>
          <w:rFonts w:hint="eastAsia" w:ascii="仿宋_GB2312" w:hAnsi="仿宋_GB2312" w:eastAsia="仿宋_GB2312" w:cs="仿宋_GB2312"/>
          <w:color w:val="242424"/>
          <w:sz w:val="32"/>
          <w:lang w:eastAsia="zh-CN"/>
        </w:rPr>
        <w:t>“</w:t>
      </w:r>
      <w:r>
        <w:rPr>
          <w:rFonts w:hint="eastAsia" w:ascii="仿宋_GB2312" w:hAnsi="仿宋_GB2312" w:eastAsia="仿宋_GB2312" w:cs="仿宋_GB2312"/>
          <w:color w:val="242424"/>
          <w:sz w:val="32"/>
        </w:rPr>
        <w:t>保险+科技</w:t>
      </w:r>
      <w:r>
        <w:rPr>
          <w:rFonts w:hint="eastAsia" w:ascii="仿宋_GB2312" w:hAnsi="仿宋_GB2312" w:eastAsia="仿宋_GB2312" w:cs="仿宋_GB2312"/>
          <w:color w:val="242424"/>
          <w:sz w:val="32"/>
          <w:lang w:eastAsia="zh-CN"/>
        </w:rPr>
        <w:t>”</w:t>
      </w:r>
      <w:r>
        <w:rPr>
          <w:rFonts w:hint="eastAsia" w:ascii="仿宋_GB2312" w:hAnsi="仿宋_GB2312" w:eastAsia="仿宋_GB2312" w:cs="仿宋_GB2312"/>
          <w:color w:val="242424"/>
          <w:sz w:val="32"/>
        </w:rPr>
        <w:t>防灾减损模式。</w:t>
      </w:r>
    </w:p>
    <w:p w14:paraId="40A34D79">
      <w:pPr>
        <w:keepNext w:val="0"/>
        <w:keepLines w:val="0"/>
        <w:pageBreakBefore w:val="0"/>
        <w:widowControl/>
        <w:kinsoku/>
        <w:wordWrap/>
        <w:overflowPunct/>
        <w:topLinePunct w:val="0"/>
        <w:autoSpaceDE/>
        <w:autoSpaceDN/>
        <w:bidi w:val="0"/>
        <w:adjustRightInd w:val="0"/>
        <w:snapToGrid/>
        <w:spacing w:beforeLines="0" w:after="0" w:afterLines="0" w:line="580" w:lineRule="exact"/>
        <w:ind w:firstLine="640" w:firstLineChars="200"/>
        <w:jc w:val="both"/>
        <w:textAlignment w:val="auto"/>
        <w:outlineLvl w:val="0"/>
        <w:rPr>
          <w:rFonts w:hint="eastAsia" w:ascii="Times New Roman" w:hAnsi="Times New Roman" w:eastAsia="黑体" w:cs="Times New Roman"/>
          <w:b w:val="0"/>
          <w:bCs w:val="0"/>
          <w:color w:val="auto"/>
          <w:spacing w:val="0"/>
          <w:sz w:val="32"/>
          <w:szCs w:val="32"/>
          <w:highlight w:val="none"/>
          <w:u w:val="none"/>
          <w:lang w:val="en-US" w:eastAsia="zh-CN"/>
        </w:rPr>
      </w:pPr>
      <w:bookmarkStart w:id="310" w:name="_Toc30480"/>
      <w:bookmarkStart w:id="311" w:name="_Toc15314"/>
      <w:bookmarkStart w:id="312" w:name="_Toc21925"/>
      <w:bookmarkStart w:id="313" w:name="_Toc22428"/>
      <w:bookmarkStart w:id="314" w:name="_Toc19543"/>
      <w:bookmarkStart w:id="315" w:name="_Toc21886"/>
      <w:bookmarkStart w:id="316" w:name="_Toc7679"/>
      <w:bookmarkStart w:id="317" w:name="_Toc28110"/>
      <w:bookmarkStart w:id="318" w:name="_Toc2702"/>
      <w:bookmarkStart w:id="319" w:name="_Toc14321"/>
      <w:bookmarkStart w:id="320" w:name="_Toc21480"/>
      <w:bookmarkStart w:id="321" w:name="_Toc17204"/>
      <w:bookmarkStart w:id="322" w:name="_Toc24426"/>
      <w:bookmarkStart w:id="323" w:name="_Toc23711"/>
      <w:bookmarkStart w:id="324" w:name="_Toc18688"/>
      <w:bookmarkStart w:id="325" w:name="_Toc3091"/>
      <w:bookmarkStart w:id="326" w:name="_Toc25321"/>
      <w:bookmarkStart w:id="327" w:name="_Toc22900"/>
      <w:bookmarkStart w:id="328" w:name="_Toc11869"/>
      <w:bookmarkStart w:id="329" w:name="_Toc19365"/>
      <w:bookmarkStart w:id="330" w:name="_Toc24619"/>
      <w:bookmarkStart w:id="331" w:name="_Toc20605"/>
      <w:bookmarkStart w:id="332" w:name="_Toc21479"/>
      <w:bookmarkStart w:id="333" w:name="_Toc6657"/>
      <w:bookmarkStart w:id="334" w:name="_Toc20762"/>
      <w:bookmarkStart w:id="335" w:name="_Toc18012"/>
      <w:bookmarkStart w:id="336" w:name="_Toc29273"/>
      <w:bookmarkStart w:id="337" w:name="_Toc3254"/>
      <w:bookmarkStart w:id="338" w:name="_Toc2765"/>
      <w:r>
        <w:rPr>
          <w:rFonts w:hint="eastAsia" w:eastAsia="黑体" w:cs="Times New Roman"/>
          <w:b w:val="0"/>
          <w:bCs w:val="0"/>
          <w:color w:val="auto"/>
          <w:spacing w:val="0"/>
          <w:sz w:val="32"/>
          <w:szCs w:val="32"/>
          <w:highlight w:val="none"/>
          <w:u w:val="none"/>
          <w:lang w:val="en-US" w:eastAsia="zh-CN"/>
        </w:rPr>
        <w:t>四、做强蓝色引擎，建设粤东海洋科技创新高地</w:t>
      </w:r>
      <w:bookmarkEnd w:id="310"/>
      <w:bookmarkEnd w:id="311"/>
    </w:p>
    <w:p w14:paraId="58D2582A">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outlineLvl w:val="1"/>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woUserID w:val="0"/>
        </w:rPr>
      </w:pPr>
      <w:bookmarkStart w:id="339" w:name="_Toc12887"/>
      <w:bookmarkStart w:id="340" w:name="_Toc19192"/>
      <w:r>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woUserID w:val="0"/>
        </w:rPr>
        <w:t>（一）加强海洋科技创新平台建设</w:t>
      </w:r>
      <w:bookmarkEnd w:id="339"/>
      <w:bookmarkEnd w:id="340"/>
    </w:p>
    <w:p w14:paraId="5EC2CF11">
      <w:pPr>
        <w:autoSpaceDE w:val="0"/>
        <w:spacing w:beforeLines="0" w:after="0" w:afterLines="0" w:line="580" w:lineRule="exact"/>
        <w:ind w:firstLine="643" w:firstLineChars="200"/>
        <w:outlineLvl w:val="9"/>
        <w:rPr>
          <w:rFonts w:hint="eastAsia" w:ascii="Times New Roman" w:hAnsi="Times New Roman" w:cs="仿宋_GB2312"/>
          <w:b w:val="0"/>
          <w:bCs w:val="0"/>
          <w:color w:val="000000" w:themeColor="text1"/>
          <w:kern w:val="2"/>
          <w:sz w:val="32"/>
          <w:szCs w:val="32"/>
          <w:lang w:val="en-US" w:eastAsia="zh-CN" w:bidi="ar"/>
          <w14:textFill>
            <w14:solidFill>
              <w14:schemeClr w14:val="tx1"/>
            </w14:solidFill>
          </w14:textFill>
          <w:woUserID w:val="0"/>
        </w:rPr>
      </w:pPr>
      <w:r>
        <w:rPr>
          <w:rFonts w:hint="eastAsia" w:ascii="Times New Roman" w:hAnsi="Times New Roman" w:cs="仿宋_GB2312"/>
          <w:b/>
          <w:bCs/>
          <w:color w:val="000000" w:themeColor="text1"/>
          <w:kern w:val="2"/>
          <w:sz w:val="32"/>
          <w:szCs w:val="32"/>
          <w:lang w:val="en-US" w:eastAsia="zh-CN" w:bidi="ar"/>
          <w14:textFill>
            <w14:solidFill>
              <w14:schemeClr w14:val="tx1"/>
            </w14:solidFill>
          </w14:textFill>
          <w:woUserID w:val="0"/>
        </w:rPr>
        <w:t>聚力打造多层次高能级海洋科创载体。</w:t>
      </w:r>
      <w:r>
        <w:rPr>
          <w:rFonts w:hint="eastAsia" w:ascii="Times New Roman" w:hAnsi="Times New Roman" w:cs="仿宋_GB2312"/>
          <w:b w:val="0"/>
          <w:bCs w:val="0"/>
          <w:color w:val="000000" w:themeColor="text1"/>
          <w:kern w:val="2"/>
          <w:sz w:val="32"/>
          <w:szCs w:val="32"/>
          <w:lang w:val="en-US" w:eastAsia="zh-CN" w:bidi="ar"/>
          <w14:textFill>
            <w14:solidFill>
              <w14:schemeClr w14:val="tx1"/>
            </w14:solidFill>
          </w14:textFill>
          <w:woUserID w:val="0"/>
        </w:rPr>
        <w:t>发挥</w:t>
      </w:r>
      <w:r>
        <w:rPr>
          <w:rFonts w:hint="eastAsia" w:ascii="Times New Roman" w:hAnsi="Times New Roman" w:cs="仿宋_GB2312"/>
          <w:b w:val="0"/>
          <w:bCs w:val="0"/>
          <w:color w:val="000000" w:themeColor="text1"/>
          <w:sz w:val="32"/>
          <w:szCs w:val="32"/>
          <w:highlight w:val="none"/>
          <w:lang w:val="en-US" w:eastAsia="zh-CN"/>
          <w14:textFill>
            <w14:solidFill>
              <w14:schemeClr w14:val="tx1"/>
            </w14:solidFill>
          </w14:textFill>
        </w:rPr>
        <w:t>榕江实验室、</w:t>
      </w:r>
      <w:r>
        <w:rPr>
          <w:rFonts w:hint="eastAsia" w:ascii="Times New Roman" w:hAnsi="Times New Roman" w:cs="仿宋_GB2312"/>
          <w:b w:val="0"/>
          <w:bCs w:val="0"/>
          <w:color w:val="000000" w:themeColor="text1"/>
          <w:kern w:val="2"/>
          <w:sz w:val="32"/>
          <w:szCs w:val="32"/>
          <w:lang w:val="en-US" w:eastAsia="zh-CN" w:bidi="ar"/>
          <w14:textFill>
            <w14:solidFill>
              <w14:schemeClr w14:val="tx1"/>
            </w14:solidFill>
          </w14:textFill>
          <w:woUserID w:val="0"/>
        </w:rPr>
        <w:t>市海洋产业协同创新中心作用，</w:t>
      </w:r>
      <w:r>
        <w:rPr>
          <w:rFonts w:hint="eastAsia" w:ascii="Times New Roman" w:hAnsi="Times New Roman" w:cs="仿宋_GB2312"/>
          <w:b w:val="0"/>
          <w:bCs w:val="0"/>
          <w:color w:val="000000" w:themeColor="text1"/>
          <w:sz w:val="32"/>
          <w:szCs w:val="32"/>
          <w:highlight w:val="none"/>
          <w:lang w:val="en-US" w:eastAsia="zh-CN"/>
          <w14:textFill>
            <w14:solidFill>
              <w14:schemeClr w14:val="tx1"/>
            </w14:solidFill>
          </w14:textFill>
        </w:rPr>
        <w:t>培育海洋领域协同研发能力，</w:t>
      </w:r>
      <w:r>
        <w:rPr>
          <w:rFonts w:hint="eastAsia" w:cs="仿宋_GB2312"/>
          <w:b w:val="0"/>
          <w:bCs w:val="0"/>
          <w:color w:val="000000" w:themeColor="text1"/>
          <w:sz w:val="32"/>
          <w:szCs w:val="32"/>
          <w:highlight w:val="none"/>
          <w:lang w:val="en-US" w:eastAsia="zh-CN"/>
          <w14:textFill>
            <w14:solidFill>
              <w14:schemeClr w14:val="tx1"/>
            </w14:solidFill>
          </w14:textFill>
        </w:rPr>
        <w:t>助力</w:t>
      </w:r>
      <w:r>
        <w:rPr>
          <w:rFonts w:hint="eastAsia" w:ascii="Times New Roman" w:hAnsi="Times New Roman" w:cs="仿宋_GB2312"/>
          <w:b w:val="0"/>
          <w:bCs w:val="0"/>
          <w:color w:val="000000" w:themeColor="text1"/>
          <w:sz w:val="32"/>
          <w:szCs w:val="32"/>
          <w:highlight w:val="none"/>
          <w:lang w:val="en-US" w:eastAsia="zh-CN"/>
          <w14:textFill>
            <w14:solidFill>
              <w14:schemeClr w14:val="tx1"/>
            </w14:solidFill>
          </w14:textFill>
        </w:rPr>
        <w:t>科技成果</w:t>
      </w:r>
      <w:r>
        <w:rPr>
          <w:rFonts w:hint="eastAsia" w:cs="仿宋_GB2312"/>
          <w:b w:val="0"/>
          <w:bCs w:val="0"/>
          <w:color w:val="000000" w:themeColor="text1"/>
          <w:sz w:val="32"/>
          <w:szCs w:val="32"/>
          <w:highlight w:val="none"/>
          <w:lang w:val="en-US" w:eastAsia="zh-CN"/>
          <w14:textFill>
            <w14:solidFill>
              <w14:schemeClr w14:val="tx1"/>
            </w14:solidFill>
          </w14:textFill>
        </w:rPr>
        <w:t>快速转化</w:t>
      </w:r>
      <w:r>
        <w:rPr>
          <w:rFonts w:hint="eastAsia" w:ascii="Times New Roman" w:hAnsi="Times New Roman" w:cs="仿宋_GB2312"/>
          <w:b w:val="0"/>
          <w:bCs w:val="0"/>
          <w:color w:val="000000" w:themeColor="text1"/>
          <w:kern w:val="2"/>
          <w:sz w:val="32"/>
          <w:szCs w:val="32"/>
          <w:lang w:val="en-US" w:eastAsia="zh-CN" w:bidi="ar"/>
          <w14:textFill>
            <w14:solidFill>
              <w14:schemeClr w14:val="tx1"/>
            </w14:solidFill>
          </w14:textFill>
          <w:woUserID w:val="0"/>
        </w:rPr>
        <w:t>。</w:t>
      </w:r>
      <w:r>
        <w:rPr>
          <w:rFonts w:hint="eastAsia" w:ascii="Times New Roman" w:hAnsi="Times New Roman" w:eastAsia="仿宋_GB2312" w:cs="仿宋_GB2312"/>
          <w:b w:val="0"/>
          <w:bCs w:val="0"/>
          <w:color w:val="000000" w:themeColor="text1"/>
          <w:kern w:val="2"/>
          <w:sz w:val="32"/>
          <w:szCs w:val="32"/>
          <w:lang w:val="en-US" w:eastAsia="zh-CN" w:bidi="ar"/>
          <w14:textFill>
            <w14:solidFill>
              <w14:schemeClr w14:val="tx1"/>
            </w14:solidFill>
          </w14:textFill>
          <w:woUserID w:val="0"/>
        </w:rPr>
        <w:t>推动榕江实验室</w:t>
      </w:r>
      <w:r>
        <w:rPr>
          <w:rFonts w:hint="eastAsia" w:cs="仿宋_GB2312"/>
          <w:b w:val="0"/>
          <w:bCs w:val="0"/>
          <w:color w:val="000000" w:themeColor="text1"/>
          <w:kern w:val="2"/>
          <w:sz w:val="32"/>
          <w:szCs w:val="32"/>
          <w:lang w:val="en-US" w:eastAsia="zh-CN" w:bidi="ar"/>
          <w14:textFill>
            <w14:solidFill>
              <w14:schemeClr w14:val="tx1"/>
            </w14:solidFill>
          </w14:textFill>
          <w:woUserID w:val="0"/>
        </w:rPr>
        <w:t>做强</w:t>
      </w:r>
      <w:r>
        <w:rPr>
          <w:rFonts w:hint="eastAsia" w:ascii="Times New Roman" w:hAnsi="Times New Roman" w:eastAsia="仿宋_GB2312" w:cs="仿宋_GB2312"/>
          <w:b w:val="0"/>
          <w:bCs w:val="0"/>
          <w:color w:val="000000" w:themeColor="text1"/>
          <w:kern w:val="2"/>
          <w:sz w:val="32"/>
          <w:szCs w:val="32"/>
          <w:lang w:val="en-US" w:eastAsia="zh-CN" w:bidi="ar"/>
          <w14:textFill>
            <w14:solidFill>
              <w14:schemeClr w14:val="tx1"/>
            </w14:solidFill>
          </w14:textFill>
          <w:woUserID w:val="0"/>
        </w:rPr>
        <w:t>精细化工，推进“新材料加工应用中试基地”功能优化和高效运营</w:t>
      </w:r>
      <w:r>
        <w:rPr>
          <w:rFonts w:hint="eastAsia" w:cs="仿宋_GB2312"/>
          <w:b w:val="0"/>
          <w:bCs w:val="0"/>
          <w:color w:val="000000" w:themeColor="text1"/>
          <w:kern w:val="2"/>
          <w:sz w:val="32"/>
          <w:szCs w:val="32"/>
          <w:lang w:val="en-US" w:eastAsia="zh-CN" w:bidi="ar"/>
          <w14:textFill>
            <w14:solidFill>
              <w14:schemeClr w14:val="tx1"/>
            </w14:solidFill>
          </w14:textFill>
          <w:woUserID w:val="0"/>
        </w:rPr>
        <w:t>。</w:t>
      </w:r>
      <w:r>
        <w:rPr>
          <w:rFonts w:hint="eastAsia" w:ascii="Times New Roman" w:hAnsi="Times New Roman" w:eastAsia="仿宋_GB2312" w:cs="仿宋_GB2312"/>
          <w:b w:val="0"/>
          <w:bCs w:val="0"/>
          <w:color w:val="000000" w:themeColor="text1"/>
          <w:kern w:val="2"/>
          <w:sz w:val="32"/>
          <w:szCs w:val="32"/>
          <w:lang w:val="en-US" w:eastAsia="zh-CN" w:bidi="ar"/>
          <w14:textFill>
            <w14:solidFill>
              <w14:schemeClr w14:val="tx1"/>
            </w14:solidFill>
          </w14:textFill>
          <w:woUserID w:val="0"/>
        </w:rPr>
        <w:t>支持</w:t>
      </w:r>
      <w:r>
        <w:rPr>
          <w:rFonts w:hint="eastAsia" w:cs="仿宋_GB2312"/>
          <w:b w:val="0"/>
          <w:bCs w:val="0"/>
          <w:color w:val="000000" w:themeColor="text1"/>
          <w:kern w:val="2"/>
          <w:sz w:val="32"/>
          <w:szCs w:val="32"/>
          <w:lang w:val="en-US" w:eastAsia="zh-CN" w:bidi="ar"/>
          <w14:textFill>
            <w14:solidFill>
              <w14:schemeClr w14:val="tx1"/>
            </w14:solidFill>
          </w14:textFill>
          <w:woUserID w:val="0"/>
        </w:rPr>
        <w:t>市</w:t>
      </w:r>
      <w:r>
        <w:rPr>
          <w:rFonts w:hint="eastAsia" w:ascii="Times New Roman" w:hAnsi="Times New Roman" w:eastAsia="仿宋_GB2312" w:cs="仿宋_GB2312"/>
          <w:b w:val="0"/>
          <w:bCs w:val="0"/>
          <w:color w:val="000000" w:themeColor="text1"/>
          <w:kern w:val="2"/>
          <w:sz w:val="32"/>
          <w:szCs w:val="32"/>
          <w:lang w:val="en-US" w:eastAsia="zh-CN" w:bidi="ar"/>
          <w14:textFill>
            <w14:solidFill>
              <w14:schemeClr w14:val="tx1"/>
            </w14:solidFill>
          </w14:textFill>
          <w:woUserID w:val="0"/>
        </w:rPr>
        <w:t>协同创新中心吸引和集聚更多海洋领域的创新资源和科研成果在揭阳落地转化</w:t>
      </w:r>
      <w:r>
        <w:rPr>
          <w:rFonts w:hint="eastAsia" w:cs="仿宋_GB2312"/>
          <w:b w:val="0"/>
          <w:bCs w:val="0"/>
          <w:color w:val="000000" w:themeColor="text1"/>
          <w:kern w:val="2"/>
          <w:sz w:val="32"/>
          <w:szCs w:val="32"/>
          <w:lang w:val="en-US" w:eastAsia="zh-CN" w:bidi="ar"/>
          <w14:textFill>
            <w14:solidFill>
              <w14:schemeClr w14:val="tx1"/>
            </w14:solidFill>
          </w14:textFill>
          <w:woUserID w:val="0"/>
        </w:rPr>
        <w:t>。</w:t>
      </w:r>
      <w:r>
        <w:rPr>
          <w:rFonts w:hint="eastAsia" w:ascii="Times New Roman" w:hAnsi="Times New Roman" w:eastAsia="仿宋_GB2312" w:cs="仿宋_GB2312"/>
          <w:b w:val="0"/>
          <w:bCs w:val="0"/>
          <w:color w:val="000000" w:themeColor="text1"/>
          <w:kern w:val="2"/>
          <w:sz w:val="32"/>
          <w:szCs w:val="32"/>
          <w:lang w:val="en-US" w:eastAsia="zh-CN" w:bidi="ar"/>
          <w14:textFill>
            <w14:solidFill>
              <w14:schemeClr w14:val="tx1"/>
            </w14:solidFill>
          </w14:textFill>
          <w:woUserID w:val="0"/>
        </w:rPr>
        <w:t>支持国电投揭阳前詹风电有限公司建设技术监督实验室</w:t>
      </w:r>
      <w:r>
        <w:rPr>
          <w:rFonts w:hint="eastAsia" w:ascii="Times New Roman" w:hAnsi="Times New Roman" w:cs="仿宋_GB2312"/>
          <w:b w:val="0"/>
          <w:bCs w:val="0"/>
          <w:color w:val="000000" w:themeColor="text1"/>
          <w:kern w:val="2"/>
          <w:sz w:val="32"/>
          <w:szCs w:val="32"/>
          <w:lang w:val="en-US" w:eastAsia="zh-CN" w:bidi="ar"/>
          <w14:textFill>
            <w14:solidFill>
              <w14:schemeClr w14:val="tx1"/>
            </w14:solidFill>
          </w14:textFill>
          <w:woUserID w:val="0"/>
        </w:rPr>
        <w:t>。积极争取</w:t>
      </w:r>
      <w:r>
        <w:rPr>
          <w:rFonts w:hint="eastAsia" w:cs="仿宋_GB2312"/>
          <w:b w:val="0"/>
          <w:bCs w:val="0"/>
          <w:color w:val="000000" w:themeColor="text1"/>
          <w:kern w:val="2"/>
          <w:sz w:val="32"/>
          <w:szCs w:val="32"/>
          <w:lang w:val="en-US" w:eastAsia="zh-CN" w:bidi="ar"/>
          <w14:textFill>
            <w14:solidFill>
              <w14:schemeClr w14:val="tx1"/>
            </w14:solidFill>
          </w14:textFill>
          <w:woUserID w:val="0"/>
        </w:rPr>
        <w:t>中国科学院</w:t>
      </w:r>
      <w:r>
        <w:rPr>
          <w:rFonts w:hint="eastAsia" w:ascii="Times New Roman" w:hAnsi="Times New Roman" w:cs="仿宋_GB2312"/>
          <w:b w:val="0"/>
          <w:bCs w:val="0"/>
          <w:color w:val="000000" w:themeColor="text1"/>
          <w:kern w:val="2"/>
          <w:sz w:val="32"/>
          <w:szCs w:val="32"/>
          <w:lang w:val="en-US" w:eastAsia="zh-CN" w:bidi="ar"/>
          <w14:textFill>
            <w14:solidFill>
              <w14:schemeClr w14:val="tx1"/>
            </w14:solidFill>
          </w14:textFill>
          <w:woUserID w:val="0"/>
        </w:rPr>
        <w:t>海洋大科学研究中心、国家深海基地等国家级平台在揭阳设立分支机构。用好高新区“两院两园”，打造共享式海洋中试与公共技术平台，降低涉海企业创新成本。推广政校企多方共建模式，围绕海上风电、海工装备等赛道完善概念验证、中试验证平台，打通实验室研发到产业化链路。</w:t>
      </w:r>
      <w:bookmarkStart w:id="341" w:name="_Toc15111"/>
    </w:p>
    <w:bookmarkEnd w:id="341"/>
    <w:p w14:paraId="33769CAB">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outlineLvl w:val="1"/>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woUserID w:val="0"/>
        </w:rPr>
      </w:pPr>
      <w:bookmarkStart w:id="342" w:name="_Toc8313"/>
      <w:bookmarkStart w:id="343" w:name="_Toc23609"/>
      <w:r>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woUserID w:val="0"/>
        </w:rPr>
        <w:t>（二）推动涉海科技成果转移转化</w:t>
      </w:r>
      <w:bookmarkEnd w:id="342"/>
    </w:p>
    <w:p w14:paraId="3BBB3485">
      <w:pPr>
        <w:autoSpaceDE w:val="0"/>
        <w:spacing w:beforeLines="0" w:after="0" w:afterLines="0" w:line="580" w:lineRule="exact"/>
        <w:ind w:firstLine="640" w:firstLineChars="200"/>
        <w:outlineLvl w:val="9"/>
        <w:rPr>
          <w:rFonts w:hint="default" w:ascii="Times New Roman" w:hAnsi="Times New Roman" w:cs="仿宋_GB2312"/>
          <w:b w:val="0"/>
          <w:bCs w:val="0"/>
          <w:color w:val="000000" w:themeColor="text1"/>
          <w:kern w:val="2"/>
          <w:sz w:val="32"/>
          <w:szCs w:val="32"/>
          <w:lang w:val="en-US" w:eastAsia="zh-CN" w:bidi="ar"/>
          <w14:textFill>
            <w14:solidFill>
              <w14:schemeClr w14:val="tx1"/>
            </w14:solidFill>
          </w14:textFill>
          <w:woUserID w:val="0"/>
        </w:rPr>
      </w:pPr>
      <w:r>
        <w:rPr>
          <w:rFonts w:hint="eastAsia" w:ascii="Times New Roman" w:hAnsi="Times New Roman" w:eastAsia="仿宋_GB2312" w:cs="仿宋_GB2312"/>
          <w:b w:val="0"/>
          <w:bCs w:val="0"/>
          <w:color w:val="000000" w:themeColor="text1"/>
          <w:kern w:val="2"/>
          <w:sz w:val="32"/>
          <w:szCs w:val="32"/>
          <w:lang w:val="en-US" w:eastAsia="zh-CN" w:bidi="ar"/>
          <w14:textFill>
            <w14:solidFill>
              <w14:schemeClr w14:val="tx1"/>
            </w14:solidFill>
          </w14:textFill>
          <w:woUserID w:val="0"/>
        </w:rPr>
        <w:t>加快构建专业化、全链条技术转移服务体系。聚焦海上风电、海洋牧场、海工装备、海水制氢等海洋重点产业，布局概念验证、中试验证、应用验证平台。依托榕江实验室等科创平台共享高端科研设备</w:t>
      </w:r>
      <w:r>
        <w:rPr>
          <w:rFonts w:hint="eastAsia" w:cs="仿宋_GB2312"/>
          <w:b w:val="0"/>
          <w:bCs w:val="0"/>
          <w:color w:val="000000" w:themeColor="text1"/>
          <w:kern w:val="2"/>
          <w:sz w:val="32"/>
          <w:szCs w:val="32"/>
          <w:lang w:val="en-US" w:eastAsia="zh-CN" w:bidi="ar"/>
          <w14:textFill>
            <w14:solidFill>
              <w14:schemeClr w14:val="tx1"/>
            </w14:solidFill>
          </w14:textFill>
          <w:woUserID w:val="0"/>
        </w:rPr>
        <w:t>，</w:t>
      </w:r>
      <w:r>
        <w:rPr>
          <w:rFonts w:hint="eastAsia" w:ascii="Times New Roman" w:hAnsi="Times New Roman" w:eastAsia="仿宋_GB2312" w:cs="仿宋_GB2312"/>
          <w:b w:val="0"/>
          <w:bCs w:val="0"/>
          <w:color w:val="000000" w:themeColor="text1"/>
          <w:kern w:val="2"/>
          <w:sz w:val="32"/>
          <w:szCs w:val="32"/>
          <w:lang w:val="en-US" w:eastAsia="zh-CN" w:bidi="ar"/>
          <w14:textFill>
            <w14:solidFill>
              <w14:schemeClr w14:val="tx1"/>
            </w14:solidFill>
          </w14:textFill>
          <w:woUserID w:val="0"/>
        </w:rPr>
        <w:t>降低涉海企业成果转化成本。</w:t>
      </w:r>
      <w:r>
        <w:rPr>
          <w:rFonts w:hint="eastAsia" w:cs="仿宋_GB2312"/>
          <w:b w:val="0"/>
          <w:bCs w:val="0"/>
          <w:color w:val="000000" w:themeColor="text1"/>
          <w:kern w:val="2"/>
          <w:sz w:val="32"/>
          <w:szCs w:val="32"/>
          <w:lang w:val="en-US" w:eastAsia="zh-CN" w:bidi="ar"/>
          <w14:textFill>
            <w14:solidFill>
              <w14:schemeClr w14:val="tx1"/>
            </w14:solidFill>
          </w14:textFill>
          <w:woUserID w:val="0"/>
        </w:rPr>
        <w:t>支持</w:t>
      </w:r>
      <w:r>
        <w:rPr>
          <w:rFonts w:hint="eastAsia" w:ascii="Times New Roman" w:hAnsi="Times New Roman" w:eastAsia="仿宋_GB2312" w:cs="仿宋_GB2312"/>
          <w:b w:val="0"/>
          <w:bCs w:val="0"/>
          <w:color w:val="000000" w:themeColor="text1"/>
          <w:kern w:val="2"/>
          <w:sz w:val="32"/>
          <w:szCs w:val="32"/>
          <w:lang w:val="en-US" w:eastAsia="zh-CN" w:bidi="ar"/>
          <w14:textFill>
            <w14:solidFill>
              <w14:schemeClr w14:val="tx1"/>
            </w14:solidFill>
          </w14:textFill>
          <w:woUserID w:val="0"/>
        </w:rPr>
        <w:t>科研机构通过转让许可、作价入股、先使用后付费等多元方式，推动海洋科创成果</w:t>
      </w:r>
      <w:r>
        <w:rPr>
          <w:rFonts w:hint="eastAsia" w:cs="仿宋_GB2312"/>
          <w:b w:val="0"/>
          <w:bCs w:val="0"/>
          <w:color w:val="000000" w:themeColor="text1"/>
          <w:kern w:val="2"/>
          <w:sz w:val="32"/>
          <w:szCs w:val="32"/>
          <w:lang w:val="en-US" w:eastAsia="zh-CN" w:bidi="ar"/>
          <w14:textFill>
            <w14:solidFill>
              <w14:schemeClr w14:val="tx1"/>
            </w14:solidFill>
          </w14:textFill>
          <w:woUserID w:val="0"/>
        </w:rPr>
        <w:t>在本地</w:t>
      </w:r>
      <w:r>
        <w:rPr>
          <w:rFonts w:hint="eastAsia" w:ascii="Times New Roman" w:hAnsi="Times New Roman" w:eastAsia="仿宋_GB2312" w:cs="仿宋_GB2312"/>
          <w:b w:val="0"/>
          <w:bCs w:val="0"/>
          <w:color w:val="000000" w:themeColor="text1"/>
          <w:kern w:val="2"/>
          <w:sz w:val="32"/>
          <w:szCs w:val="32"/>
          <w:lang w:val="en-US" w:eastAsia="zh-CN" w:bidi="ar"/>
          <w14:textFill>
            <w14:solidFill>
              <w14:schemeClr w14:val="tx1"/>
            </w14:solidFill>
          </w14:textFill>
          <w:woUserID w:val="0"/>
        </w:rPr>
        <w:t>产业化。常态化发布应用场景清单，积极承接大湾区优质海洋科创资源，鼓励海洋新技术、新产品在揭阳首发首用，全力打造粤东海洋科技试验应用与产业化发展首选地。</w:t>
      </w:r>
    </w:p>
    <w:p w14:paraId="1FDFD06F">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outlineLvl w:val="1"/>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woUserID w:val="0"/>
        </w:rPr>
      </w:pPr>
      <w:bookmarkStart w:id="344" w:name="_Toc9137"/>
      <w:r>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woUserID w:val="0"/>
        </w:rPr>
        <w:t>（三）提高涉海企业自主创新能力</w:t>
      </w:r>
      <w:bookmarkEnd w:id="344"/>
    </w:p>
    <w:p w14:paraId="4DCE1F9D">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Times New Roman" w:hAnsi="Times New Roman" w:eastAsia="楷体" w:cs="楷体"/>
          <w:b/>
          <w:bCs/>
          <w:sz w:val="32"/>
          <w:szCs w:val="32"/>
          <w:lang w:val="en-US" w:eastAsia="zh-CN"/>
        </w:rPr>
      </w:pPr>
      <w:r>
        <w:rPr>
          <w:rFonts w:hint="eastAsia" w:ascii="Times New Roman" w:hAnsi="Times New Roman" w:eastAsia="仿宋_GB2312" w:cs="仿宋_GB2312"/>
          <w:b w:val="0"/>
          <w:bCs w:val="0"/>
          <w:color w:val="000000" w:themeColor="text1"/>
          <w:kern w:val="2"/>
          <w:sz w:val="32"/>
          <w:szCs w:val="32"/>
          <w:lang w:val="en-US" w:eastAsia="zh-CN" w:bidi="ar"/>
          <w14:textFill>
            <w14:solidFill>
              <w14:schemeClr w14:val="tx1"/>
            </w14:solidFill>
          </w14:textFill>
          <w:woUserID w:val="0"/>
        </w:rPr>
        <w:t>持续完善涉海领域技术创新市场导向机制，引导人才、技术、资金等各类创新要素向涉海企业集聚，加大财政对海洋科研领域的扶持投入。构建涉海科技企业梯度培育体系，健全科技型中小企业、高新技术企业、瞪羚和独角兽企业全链条培育机制，建立涉海创新企业培育库，推行全周期保姆式服务，助力涉海企业梯级成长、规模提质。重点培育海洋领域专精特新“小巨人”与细分领域隐形冠军，带动中小涉海企业深耕创新发展路径</w:t>
      </w:r>
      <w:r>
        <w:rPr>
          <w:rFonts w:hint="eastAsia" w:cs="仿宋_GB2312"/>
          <w:b w:val="0"/>
          <w:bCs w:val="0"/>
          <w:color w:val="000000" w:themeColor="text1"/>
          <w:kern w:val="2"/>
          <w:sz w:val="32"/>
          <w:szCs w:val="32"/>
          <w:lang w:val="en-US" w:eastAsia="zh-CN" w:bidi="ar"/>
          <w14:textFill>
            <w14:solidFill>
              <w14:schemeClr w14:val="tx1"/>
            </w14:solidFill>
          </w14:textFill>
          <w:woUserID w:val="0"/>
        </w:rPr>
        <w:t>。</w:t>
      </w:r>
    </w:p>
    <w:bookmarkEnd w:id="343"/>
    <w:p w14:paraId="76EDE99E">
      <w:pPr>
        <w:keepNext w:val="0"/>
        <w:keepLines w:val="0"/>
        <w:pageBreakBefore w:val="0"/>
        <w:widowControl/>
        <w:kinsoku/>
        <w:wordWrap/>
        <w:overflowPunct/>
        <w:topLinePunct w:val="0"/>
        <w:autoSpaceDE/>
        <w:autoSpaceDN/>
        <w:bidi w:val="0"/>
        <w:adjustRightInd w:val="0"/>
        <w:snapToGrid/>
        <w:spacing w:beforeLines="0" w:after="0" w:afterLines="0" w:line="580" w:lineRule="exact"/>
        <w:ind w:firstLine="640" w:firstLineChars="200"/>
        <w:jc w:val="both"/>
        <w:textAlignment w:val="auto"/>
        <w:outlineLvl w:val="0"/>
        <w:rPr>
          <w:rFonts w:hint="eastAsia" w:ascii="Times New Roman" w:hAnsi="Times New Roman" w:eastAsia="黑体" w:cs="Times New Roman"/>
          <w:b w:val="0"/>
          <w:bCs w:val="0"/>
          <w:color w:val="auto"/>
          <w:spacing w:val="0"/>
          <w:sz w:val="32"/>
          <w:szCs w:val="32"/>
          <w:highlight w:val="none"/>
          <w:u w:val="none"/>
          <w:lang w:val="en-US" w:eastAsia="zh-CN"/>
        </w:rPr>
      </w:pPr>
      <w:bookmarkStart w:id="345" w:name="_Toc18034"/>
      <w:bookmarkStart w:id="346" w:name="_Toc10530"/>
      <w:r>
        <w:rPr>
          <w:rFonts w:hint="eastAsia" w:eastAsia="黑体" w:cs="Times New Roman"/>
          <w:b w:val="0"/>
          <w:bCs w:val="0"/>
          <w:color w:val="auto"/>
          <w:spacing w:val="0"/>
          <w:sz w:val="32"/>
          <w:szCs w:val="32"/>
          <w:highlight w:val="none"/>
          <w:u w:val="none"/>
          <w:lang w:val="en-US" w:eastAsia="zh-CN"/>
        </w:rPr>
        <w:t>五</w:t>
      </w:r>
      <w:r>
        <w:rPr>
          <w:rFonts w:hint="eastAsia" w:ascii="Times New Roman" w:hAnsi="Times New Roman" w:eastAsia="黑体" w:cs="Times New Roman"/>
          <w:b w:val="0"/>
          <w:bCs w:val="0"/>
          <w:color w:val="auto"/>
          <w:spacing w:val="0"/>
          <w:sz w:val="32"/>
          <w:szCs w:val="32"/>
          <w:highlight w:val="none"/>
          <w:u w:val="none"/>
          <w:lang w:val="en-US" w:eastAsia="zh-CN"/>
        </w:rPr>
        <w:t>、</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Fonts w:hint="eastAsia" w:ascii="Times New Roman" w:hAnsi="Times New Roman" w:eastAsia="黑体" w:cs="Times New Roman"/>
          <w:b w:val="0"/>
          <w:bCs w:val="0"/>
          <w:color w:val="auto"/>
          <w:spacing w:val="0"/>
          <w:sz w:val="32"/>
          <w:szCs w:val="32"/>
          <w:highlight w:val="none"/>
          <w:u w:val="none"/>
          <w:lang w:val="en-US" w:eastAsia="zh-CN"/>
        </w:rPr>
        <w:t>守护</w:t>
      </w:r>
      <w:r>
        <w:rPr>
          <w:rFonts w:hint="eastAsia" w:eastAsia="黑体" w:cs="Times New Roman"/>
          <w:b w:val="0"/>
          <w:bCs w:val="0"/>
          <w:color w:val="auto"/>
          <w:spacing w:val="0"/>
          <w:sz w:val="32"/>
          <w:szCs w:val="32"/>
          <w:highlight w:val="none"/>
          <w:u w:val="none"/>
          <w:lang w:val="en-US" w:eastAsia="zh-CN"/>
        </w:rPr>
        <w:t>“蓝色家园”</w:t>
      </w:r>
      <w:r>
        <w:rPr>
          <w:rFonts w:hint="eastAsia" w:ascii="Times New Roman" w:hAnsi="Times New Roman" w:eastAsia="黑体" w:cs="Times New Roman"/>
          <w:b w:val="0"/>
          <w:bCs w:val="0"/>
          <w:color w:val="auto"/>
          <w:spacing w:val="0"/>
          <w:sz w:val="32"/>
          <w:szCs w:val="32"/>
          <w:highlight w:val="none"/>
          <w:u w:val="none"/>
          <w:lang w:val="en-US" w:eastAsia="zh-CN"/>
        </w:rPr>
        <w:t>，绘就人海和谐美丽海湾新画卷</w:t>
      </w:r>
      <w:bookmarkEnd w:id="345"/>
      <w:bookmarkEnd w:id="346"/>
    </w:p>
    <w:p w14:paraId="2841373A">
      <w:pPr>
        <w:keepNext w:val="0"/>
        <w:keepLines w:val="0"/>
        <w:widowControl w:val="0"/>
        <w:suppressLineNumbers w:val="0"/>
        <w:autoSpaceDE w:val="0"/>
        <w:spacing w:beforeLines="0" w:afterLines="0" w:line="580" w:lineRule="exact"/>
        <w:ind w:firstLine="643" w:firstLineChars="200"/>
        <w:jc w:val="both"/>
        <w:outlineLvl w:val="1"/>
        <w:rPr>
          <w:rFonts w:hint="eastAsia" w:ascii="方正楷体_GB2312" w:hAnsi="方正楷体_GB2312" w:eastAsia="方正楷体_GB2312" w:cs="方正楷体_GB2312"/>
          <w:b/>
          <w:bCs/>
          <w:color w:val="000000" w:themeColor="text1"/>
          <w:sz w:val="32"/>
          <w:szCs w:val="32"/>
          <w:lang w:eastAsia="zh-CN" w:bidi="ar"/>
          <w14:textFill>
            <w14:solidFill>
              <w14:schemeClr w14:val="tx1"/>
            </w14:solidFill>
          </w14:textFill>
          <w:woUserID w:val="0"/>
        </w:rPr>
      </w:pPr>
      <w:bookmarkStart w:id="347" w:name="_Toc17332"/>
      <w:r>
        <w:rPr>
          <w:rFonts w:hint="eastAsia" w:ascii="方正楷体_GB2312" w:hAnsi="方正楷体_GB2312" w:eastAsia="方正楷体_GB2312" w:cs="方正楷体_GB2312"/>
          <w:b/>
          <w:bCs/>
          <w:color w:val="000000" w:themeColor="text1"/>
          <w:sz w:val="32"/>
          <w:szCs w:val="32"/>
          <w:lang w:eastAsia="zh-CN" w:bidi="ar"/>
          <w14:textFill>
            <w14:solidFill>
              <w14:schemeClr w14:val="tx1"/>
            </w14:solidFill>
          </w14:textFill>
          <w:woUserID w:val="0"/>
        </w:rPr>
        <w:t>（一）加强海洋</w:t>
      </w:r>
      <w:r>
        <w:rPr>
          <w:rFonts w:hint="eastAsia" w:ascii="方正楷体_GB2312" w:hAnsi="方正楷体_GB2312" w:eastAsia="方正楷体_GB2312" w:cs="方正楷体_GB2312"/>
          <w:b/>
          <w:bCs/>
          <w:color w:val="000000" w:themeColor="text1"/>
          <w:sz w:val="32"/>
          <w:szCs w:val="32"/>
          <w:lang w:val="en-US" w:eastAsia="zh-CN" w:bidi="ar"/>
          <w14:textFill>
            <w14:solidFill>
              <w14:schemeClr w14:val="tx1"/>
            </w14:solidFill>
          </w14:textFill>
          <w:woUserID w:val="0"/>
        </w:rPr>
        <w:t>生态环境</w:t>
      </w:r>
      <w:r>
        <w:rPr>
          <w:rFonts w:hint="eastAsia" w:ascii="方正楷体_GB2312" w:hAnsi="方正楷体_GB2312" w:eastAsia="方正楷体_GB2312" w:cs="方正楷体_GB2312"/>
          <w:b/>
          <w:bCs/>
          <w:color w:val="000000" w:themeColor="text1"/>
          <w:sz w:val="32"/>
          <w:szCs w:val="32"/>
          <w:lang w:eastAsia="zh-CN" w:bidi="ar"/>
          <w14:textFill>
            <w14:solidFill>
              <w14:schemeClr w14:val="tx1"/>
            </w14:solidFill>
          </w14:textFill>
          <w:woUserID w:val="0"/>
        </w:rPr>
        <w:t>综合治理</w:t>
      </w:r>
      <w:bookmarkEnd w:id="347"/>
      <w:r>
        <w:rPr>
          <w:rFonts w:hint="eastAsia" w:ascii="方正楷体_GB2312" w:hAnsi="方正楷体_GB2312" w:eastAsia="方正楷体_GB2312" w:cs="方正楷体_GB2312"/>
          <w:b/>
          <w:bCs/>
          <w:color w:val="000000" w:themeColor="text1"/>
          <w:sz w:val="32"/>
          <w:szCs w:val="32"/>
          <w:lang w:eastAsia="zh-CN" w:bidi="ar"/>
          <w14:textFill>
            <w14:solidFill>
              <w14:schemeClr w14:val="tx1"/>
            </w14:solidFill>
          </w14:textFill>
          <w:woUserID w:val="0"/>
        </w:rPr>
        <w:tab/>
      </w:r>
    </w:p>
    <w:p w14:paraId="3B2CC5AF">
      <w:pPr>
        <w:keepNext w:val="0"/>
        <w:keepLines w:val="0"/>
        <w:widowControl w:val="0"/>
        <w:suppressLineNumbers w:val="0"/>
        <w:spacing w:beforeLines="0" w:afterLines="0" w:line="580" w:lineRule="exact"/>
        <w:ind w:firstLine="643" w:firstLineChars="200"/>
        <w:jc w:val="left"/>
        <w:outlineLvl w:val="9"/>
        <w:rPr>
          <w:rFonts w:hint="eastAsia" w:ascii="仿宋_GB2312" w:hAnsi="仿宋_GB2312" w:cs="仿宋_GB2312"/>
          <w:b w:val="0"/>
          <w:bCs w:val="0"/>
          <w:color w:val="000000" w:themeColor="text1"/>
          <w:sz w:val="32"/>
          <w:szCs w:val="32"/>
          <w:lang w:val="en-US" w:eastAsia="zh-CN"/>
          <w14:textFill>
            <w14:solidFill>
              <w14:schemeClr w14:val="tx1"/>
            </w14:solidFill>
          </w14:textFill>
          <w:woUserID w:val="0"/>
        </w:rPr>
      </w:pPr>
      <w:r>
        <w:rPr>
          <w:rFonts w:hint="eastAsia" w:ascii="仿宋_GB2312" w:hAnsi="仿宋_GB2312" w:cs="仿宋_GB2312"/>
          <w:b/>
          <w:bCs/>
          <w:color w:val="000000" w:themeColor="text1"/>
          <w:sz w:val="32"/>
          <w:szCs w:val="32"/>
          <w:lang w:val="en-US" w:eastAsia="zh-CN"/>
          <w14:textFill>
            <w14:solidFill>
              <w14:schemeClr w14:val="tx1"/>
            </w14:solidFill>
          </w14:textFill>
          <w:woUserID w:val="0"/>
        </w:rPr>
        <w:t>深化陆海污染协同治理</w:t>
      </w:r>
      <w:r>
        <w:rPr>
          <w:rFonts w:hint="eastAsia" w:ascii="仿宋_GB2312" w:hAnsi="仿宋_GB2312" w:cs="仿宋_GB2312"/>
          <w:b w:val="0"/>
          <w:bCs w:val="0"/>
          <w:color w:val="000000" w:themeColor="text1"/>
          <w:sz w:val="32"/>
          <w:szCs w:val="32"/>
          <w:lang w:val="en-US" w:eastAsia="zh-CN"/>
          <w14:textFill>
            <w14:solidFill>
              <w14:schemeClr w14:val="tx1"/>
            </w14:solidFill>
          </w14:textFill>
          <w:woUserID w:val="0"/>
        </w:rPr>
        <w:t>，深入落实“河长制”工作，巩固水质已达标的国控及以下河流入海断面治理成效，进一步推进榕江、龙江等国控河流入海断面和重点河流入海断面水质达标攻坚。</w:t>
      </w:r>
      <w:r>
        <w:rPr>
          <w:rFonts w:hint="eastAsia" w:ascii="仿宋_GB2312" w:hAnsi="仿宋_GB2312" w:cs="仿宋_GB2312"/>
          <w:b/>
          <w:bCs/>
          <w:color w:val="000000" w:themeColor="text1"/>
          <w:sz w:val="32"/>
          <w:szCs w:val="32"/>
          <w:lang w:val="en-US" w:eastAsia="zh-CN"/>
          <w14:textFill>
            <w14:solidFill>
              <w14:schemeClr w14:val="tx1"/>
            </w14:solidFill>
          </w14:textFill>
          <w:woUserID w:val="0"/>
        </w:rPr>
        <w:t>加强海水养殖污染防治</w:t>
      </w:r>
      <w:r>
        <w:rPr>
          <w:rFonts w:hint="eastAsia" w:ascii="仿宋_GB2312" w:hAnsi="仿宋_GB2312" w:cs="仿宋_GB2312"/>
          <w:b w:val="0"/>
          <w:bCs w:val="0"/>
          <w:color w:val="000000" w:themeColor="text1"/>
          <w:sz w:val="32"/>
          <w:szCs w:val="32"/>
          <w:lang w:val="en-US" w:eastAsia="zh-CN"/>
          <w14:textFill>
            <w14:solidFill>
              <w14:schemeClr w14:val="tx1"/>
            </w14:solidFill>
          </w14:textFill>
          <w:woUserID w:val="0"/>
        </w:rPr>
        <w:t>，优化近海绿色养殖布局，推进海水养殖产业结构调整，严厉打击违法养殖活动；加大海水养殖尾水治理和监测力度，推动达标排放或资源化综合利用。</w:t>
      </w:r>
    </w:p>
    <w:p w14:paraId="42D832B1">
      <w:pPr>
        <w:keepNext w:val="0"/>
        <w:keepLines w:val="0"/>
        <w:widowControl w:val="0"/>
        <w:suppressLineNumbers w:val="0"/>
        <w:spacing w:beforeLines="0" w:afterLines="0" w:line="580" w:lineRule="exact"/>
        <w:ind w:firstLine="0" w:firstLineChars="0"/>
        <w:jc w:val="left"/>
        <w:outlineLvl w:val="9"/>
        <w:rPr>
          <w:rFonts w:hint="eastAsia" w:ascii="仿宋_GB2312" w:hAnsi="仿宋_GB2312" w:cs="仿宋_GB2312"/>
          <w:b w:val="0"/>
          <w:bCs w:val="0"/>
          <w:color w:val="000000" w:themeColor="text1"/>
          <w:sz w:val="32"/>
          <w:szCs w:val="32"/>
          <w:lang w:eastAsia="zh-CN"/>
          <w14:textFill>
            <w14:solidFill>
              <w14:schemeClr w14:val="tx1"/>
            </w14:solidFill>
          </w14:textFill>
          <w:woUserID w:val="0"/>
        </w:rPr>
      </w:pPr>
      <w:r>
        <w:rPr>
          <w:rFonts w:hint="eastAsia" w:ascii="仿宋_GB2312" w:hAnsi="仿宋_GB2312" w:cs="仿宋_GB2312"/>
          <w:b/>
          <w:bCs/>
          <w:color w:val="000000" w:themeColor="text1"/>
          <w:sz w:val="32"/>
          <w:szCs w:val="32"/>
          <w:lang w:val="en-US" w:eastAsia="zh-CN"/>
          <w14:textFill>
            <w14:solidFill>
              <w14:schemeClr w14:val="tx1"/>
            </w14:solidFill>
          </w14:textFill>
          <w:woUserID w:val="0"/>
        </w:rPr>
        <w:t>深入推进城镇生活及生产污水治理，</w:t>
      </w:r>
      <w:r>
        <w:rPr>
          <w:rFonts w:hint="eastAsia" w:ascii="仿宋_GB2312" w:hAnsi="仿宋_GB2312" w:cs="仿宋_GB2312"/>
          <w:b w:val="0"/>
          <w:bCs w:val="0"/>
          <w:color w:val="000000" w:themeColor="text1"/>
          <w:sz w:val="32"/>
          <w:szCs w:val="32"/>
          <w:lang w:val="en-US" w:eastAsia="zh-CN"/>
          <w14:textFill>
            <w14:solidFill>
              <w14:schemeClr w14:val="tx1"/>
            </w14:solidFill>
          </w14:textFill>
          <w:woUserID w:val="0"/>
        </w:rPr>
        <w:t>提升沿海城镇生活污水处理效能，强化大南海石化工业区、惠来临港产业园等工业集聚区工业废水处理。</w:t>
      </w:r>
      <w:r>
        <w:rPr>
          <w:rFonts w:hint="eastAsia" w:ascii="仿宋_GB2312" w:hAnsi="仿宋_GB2312" w:cs="仿宋_GB2312"/>
          <w:b/>
          <w:bCs/>
          <w:color w:val="000000" w:themeColor="text1"/>
          <w:sz w:val="32"/>
          <w:szCs w:val="32"/>
          <w:lang w:val="en-US" w:eastAsia="zh-CN"/>
          <w14:textFill>
            <w14:solidFill>
              <w14:schemeClr w14:val="tx1"/>
            </w14:solidFill>
          </w14:textFill>
          <w:woUserID w:val="0"/>
        </w:rPr>
        <w:t>全面开展入海排污口排查整治</w:t>
      </w:r>
      <w:r>
        <w:rPr>
          <w:rFonts w:hint="eastAsia" w:ascii="仿宋_GB2312" w:hAnsi="仿宋_GB2312" w:cs="仿宋_GB2312"/>
          <w:b w:val="0"/>
          <w:bCs w:val="0"/>
          <w:color w:val="000000" w:themeColor="text1"/>
          <w:sz w:val="32"/>
          <w:szCs w:val="32"/>
          <w:lang w:val="en-US" w:eastAsia="zh-CN"/>
          <w14:textFill>
            <w14:solidFill>
              <w14:schemeClr w14:val="tx1"/>
            </w14:solidFill>
          </w14:textFill>
          <w:woUserID w:val="0"/>
        </w:rPr>
        <w:t>，完善和规范入海排污口备案制度，建立健全入海排污口的分类监管体系。</w:t>
      </w:r>
      <w:r>
        <w:rPr>
          <w:rFonts w:hint="eastAsia" w:ascii="仿宋_GB2312" w:hAnsi="仿宋_GB2312" w:cs="仿宋_GB2312"/>
          <w:b/>
          <w:bCs/>
          <w:color w:val="000000" w:themeColor="text1"/>
          <w:sz w:val="32"/>
          <w:szCs w:val="32"/>
          <w:lang w:eastAsia="zh-CN"/>
          <w14:textFill>
            <w14:solidFill>
              <w14:schemeClr w14:val="tx1"/>
            </w14:solidFill>
          </w14:textFill>
          <w:woUserID w:val="0"/>
        </w:rPr>
        <w:t>提升</w:t>
      </w:r>
      <w:r>
        <w:rPr>
          <w:rFonts w:hint="eastAsia" w:ascii="仿宋_GB2312" w:hAnsi="仿宋_GB2312" w:cs="仿宋_GB2312"/>
          <w:b/>
          <w:bCs/>
          <w:color w:val="000000" w:themeColor="text1"/>
          <w:sz w:val="32"/>
          <w:szCs w:val="32"/>
          <w:lang w:val="en-US" w:eastAsia="zh-CN"/>
          <w14:textFill>
            <w14:solidFill>
              <w14:schemeClr w14:val="tx1"/>
            </w14:solidFill>
          </w14:textFill>
          <w:woUserID w:val="0"/>
        </w:rPr>
        <w:t>重点产业园区的</w:t>
      </w:r>
      <w:r>
        <w:rPr>
          <w:rFonts w:hint="eastAsia" w:ascii="仿宋_GB2312" w:hAnsi="仿宋_GB2312" w:cs="仿宋_GB2312"/>
          <w:b/>
          <w:bCs/>
          <w:color w:val="000000" w:themeColor="text1"/>
          <w:sz w:val="32"/>
          <w:szCs w:val="32"/>
          <w:lang w:eastAsia="zh-CN"/>
          <w14:textFill>
            <w14:solidFill>
              <w14:schemeClr w14:val="tx1"/>
            </w14:solidFill>
          </w14:textFill>
          <w:woUserID w:val="0"/>
        </w:rPr>
        <w:t>海洋污染防御水平</w:t>
      </w:r>
      <w:r>
        <w:rPr>
          <w:rFonts w:hint="eastAsia" w:ascii="仿宋_GB2312" w:hAnsi="仿宋_GB2312" w:cs="仿宋_GB2312"/>
          <w:b w:val="0"/>
          <w:bCs w:val="0"/>
          <w:color w:val="000000" w:themeColor="text1"/>
          <w:sz w:val="32"/>
          <w:szCs w:val="32"/>
          <w:lang w:eastAsia="zh-CN"/>
          <w14:textFill>
            <w14:solidFill>
              <w14:schemeClr w14:val="tx1"/>
            </w14:solidFill>
          </w14:textFill>
          <w:woUserID w:val="0"/>
        </w:rPr>
        <w:t>，强化突发性海洋污染事故风险防范与应急处置能力，守牢海洋环境安全底线。</w:t>
      </w:r>
    </w:p>
    <w:p w14:paraId="2316DC6E">
      <w:pPr>
        <w:keepNext w:val="0"/>
        <w:keepLines w:val="0"/>
        <w:widowControl w:val="0"/>
        <w:suppressLineNumbers w:val="0"/>
        <w:autoSpaceDE w:val="0"/>
        <w:spacing w:beforeLines="0" w:afterLines="0" w:line="580" w:lineRule="exact"/>
        <w:ind w:firstLine="643" w:firstLineChars="200"/>
        <w:jc w:val="both"/>
        <w:outlineLvl w:val="1"/>
        <w:rPr>
          <w:rFonts w:hint="eastAsia" w:ascii="方正楷体_GB2312" w:hAnsi="方正楷体_GB2312" w:eastAsia="方正楷体_GB2312" w:cs="方正楷体_GB2312"/>
          <w:b/>
          <w:bCs/>
          <w:color w:val="000000" w:themeColor="text1"/>
          <w:sz w:val="32"/>
          <w:szCs w:val="32"/>
          <w:lang w:eastAsia="zh-CN" w:bidi="ar"/>
          <w14:textFill>
            <w14:solidFill>
              <w14:schemeClr w14:val="tx1"/>
            </w14:solidFill>
          </w14:textFill>
          <w:woUserID w:val="0"/>
        </w:rPr>
      </w:pPr>
      <w:bookmarkStart w:id="348" w:name="_Toc10939"/>
      <w:r>
        <w:rPr>
          <w:rFonts w:hint="eastAsia" w:ascii="方正楷体_GB2312" w:hAnsi="方正楷体_GB2312" w:eastAsia="方正楷体_GB2312" w:cs="方正楷体_GB2312"/>
          <w:b/>
          <w:bCs/>
          <w:color w:val="000000" w:themeColor="text1"/>
          <w:sz w:val="32"/>
          <w:szCs w:val="32"/>
          <w:lang w:eastAsia="zh-CN" w:bidi="ar"/>
          <w14:textFill>
            <w14:solidFill>
              <w14:schemeClr w14:val="tx1"/>
            </w14:solidFill>
          </w14:textFill>
          <w:woUserID w:val="0"/>
        </w:rPr>
        <w:t>（二）实施海洋生态环境保护修复</w:t>
      </w:r>
      <w:bookmarkEnd w:id="348"/>
    </w:p>
    <w:p w14:paraId="7B56B9E8">
      <w:pPr>
        <w:keepNext w:val="0"/>
        <w:keepLines w:val="0"/>
        <w:widowControl w:val="0"/>
        <w:suppressLineNumbers w:val="0"/>
        <w:spacing w:beforeLines="0" w:afterLines="0" w:line="580" w:lineRule="exact"/>
        <w:ind w:firstLine="643" w:firstLineChars="200"/>
        <w:jc w:val="left"/>
        <w:outlineLvl w:val="9"/>
        <w:rPr>
          <w:rFonts w:hint="eastAsia" w:ascii="仿宋_GB2312" w:hAnsi="仿宋_GB2312" w:cs="仿宋_GB2312"/>
          <w:b w:val="0"/>
          <w:bCs w:val="0"/>
          <w:color w:val="000000" w:themeColor="text1"/>
          <w:sz w:val="32"/>
          <w:szCs w:val="32"/>
          <w:lang w:eastAsia="zh-CN"/>
          <w14:textFill>
            <w14:solidFill>
              <w14:schemeClr w14:val="tx1"/>
            </w14:solidFill>
          </w14:textFill>
          <w:woUserID w:val="0"/>
        </w:rPr>
      </w:pPr>
      <w:r>
        <w:rPr>
          <w:rFonts w:hint="eastAsia" w:ascii="仿宋_GB2312" w:hAnsi="仿宋_GB2312" w:cs="仿宋_GB2312"/>
          <w:b/>
          <w:bCs/>
          <w:color w:val="000000" w:themeColor="text1"/>
          <w:sz w:val="32"/>
          <w:szCs w:val="32"/>
          <w:lang w:eastAsia="zh-CN"/>
          <w14:textFill>
            <w14:solidFill>
              <w14:schemeClr w14:val="tx1"/>
            </w14:solidFill>
          </w14:textFill>
          <w:woUserID w:val="0"/>
        </w:rPr>
        <w:t>深入推进美丽海湾、</w:t>
      </w:r>
      <w:r>
        <w:rPr>
          <w:rFonts w:hint="eastAsia" w:ascii="仿宋_GB2312" w:hAnsi="仿宋_GB2312" w:cs="仿宋_GB2312"/>
          <w:b/>
          <w:bCs/>
          <w:color w:val="000000" w:themeColor="text1"/>
          <w:sz w:val="32"/>
          <w:szCs w:val="32"/>
          <w:lang w:val="en-US" w:eastAsia="zh-CN"/>
          <w14:textFill>
            <w14:solidFill>
              <w14:schemeClr w14:val="tx1"/>
            </w14:solidFill>
          </w14:textFill>
          <w:woUserID w:val="0"/>
        </w:rPr>
        <w:t>和美海岛</w:t>
      </w:r>
      <w:r>
        <w:rPr>
          <w:rFonts w:hint="eastAsia" w:ascii="仿宋_GB2312" w:hAnsi="仿宋_GB2312" w:cs="仿宋_GB2312"/>
          <w:b/>
          <w:bCs/>
          <w:color w:val="000000" w:themeColor="text1"/>
          <w:sz w:val="32"/>
          <w:szCs w:val="32"/>
          <w:lang w:eastAsia="zh-CN"/>
          <w14:textFill>
            <w14:solidFill>
              <w14:schemeClr w14:val="tx1"/>
            </w14:solidFill>
          </w14:textFill>
          <w:woUserID w:val="0"/>
        </w:rPr>
        <w:t>建设行动</w:t>
      </w:r>
      <w:r>
        <w:rPr>
          <w:rFonts w:hint="eastAsia" w:ascii="仿宋_GB2312" w:hAnsi="仿宋_GB2312" w:cs="仿宋_GB2312"/>
          <w:b w:val="0"/>
          <w:bCs w:val="0"/>
          <w:color w:val="000000" w:themeColor="text1"/>
          <w:sz w:val="32"/>
          <w:szCs w:val="32"/>
          <w:lang w:eastAsia="zh-CN"/>
          <w14:textFill>
            <w14:solidFill>
              <w14:schemeClr w14:val="tx1"/>
            </w14:solidFill>
          </w14:textFill>
          <w:woUserID w:val="0"/>
        </w:rPr>
        <w:t>，以“水清滩净、鱼鸥翔集、人海和谐”为目标，坚持“一湾一策”，分类打造生态型、旅游型美丽海湾。实施“美丽海岸”“蓝色海湾”“生态海岛”等滨海生态治理修复工程，强化龙江入海河口、靖海湾滩涂湿地、榕城区地都片区与惠来神泉片区红树林、近岸礁盘等典型海洋生态系统保护修复，保障靖海湾等岸段沙滩环境稳定。</w:t>
      </w:r>
      <w:r>
        <w:rPr>
          <w:rFonts w:hint="eastAsia" w:ascii="仿宋_GB2312" w:hAnsi="仿宋_GB2312" w:cs="仿宋_GB2312"/>
          <w:b/>
          <w:bCs/>
          <w:color w:val="000000" w:themeColor="text1"/>
          <w:sz w:val="32"/>
          <w:szCs w:val="32"/>
          <w:lang w:eastAsia="zh-CN"/>
          <w14:textFill>
            <w14:solidFill>
              <w14:schemeClr w14:val="tx1"/>
            </w14:solidFill>
          </w14:textFill>
          <w:woUserID w:val="0"/>
        </w:rPr>
        <w:t>加强自然岸线保护</w:t>
      </w:r>
      <w:r>
        <w:rPr>
          <w:rFonts w:hint="eastAsia" w:ascii="仿宋_GB2312" w:hAnsi="仿宋_GB2312" w:cs="仿宋_GB2312"/>
          <w:b w:val="0"/>
          <w:bCs w:val="0"/>
          <w:color w:val="000000" w:themeColor="text1"/>
          <w:sz w:val="32"/>
          <w:szCs w:val="32"/>
          <w:lang w:eastAsia="zh-CN"/>
          <w14:textFill>
            <w14:solidFill>
              <w14:schemeClr w14:val="tx1"/>
            </w14:solidFill>
          </w14:textFill>
          <w:woUserID w:val="0"/>
        </w:rPr>
        <w:t>，明确岸线功能定位，强化“三场一通道”生态廊道保护，建设陆海缓冲区域生态保护带。用好专项资金，推进惠来县靖海港、神泉港、海门湾的海洋垃圾整治项目。</w:t>
      </w:r>
    </w:p>
    <w:p w14:paraId="63C8989B">
      <w:pPr>
        <w:keepNext w:val="0"/>
        <w:keepLines w:val="0"/>
        <w:widowControl w:val="0"/>
        <w:suppressLineNumbers w:val="0"/>
        <w:autoSpaceDE w:val="0"/>
        <w:spacing w:beforeLines="0" w:afterLines="0" w:line="580" w:lineRule="exact"/>
        <w:ind w:firstLine="643" w:firstLineChars="200"/>
        <w:jc w:val="both"/>
        <w:outlineLvl w:val="1"/>
        <w:rPr>
          <w:rFonts w:hint="eastAsia" w:ascii="方正楷体_GB2312" w:hAnsi="方正楷体_GB2312" w:eastAsia="方正楷体_GB2312" w:cs="方正楷体_GB2312"/>
          <w:b/>
          <w:bCs/>
          <w:color w:val="000000" w:themeColor="text1"/>
          <w:sz w:val="32"/>
          <w:szCs w:val="32"/>
          <w:lang w:eastAsia="zh-CN" w:bidi="ar"/>
          <w14:textFill>
            <w14:solidFill>
              <w14:schemeClr w14:val="tx1"/>
            </w14:solidFill>
          </w14:textFill>
          <w:woUserID w:val="0"/>
        </w:rPr>
      </w:pPr>
      <w:bookmarkStart w:id="349" w:name="_Toc27430"/>
      <w:r>
        <w:rPr>
          <w:rFonts w:hint="eastAsia" w:ascii="方正楷体_GB2312" w:hAnsi="方正楷体_GB2312" w:eastAsia="方正楷体_GB2312" w:cs="方正楷体_GB2312"/>
          <w:b/>
          <w:bCs/>
          <w:color w:val="000000" w:themeColor="text1"/>
          <w:sz w:val="32"/>
          <w:szCs w:val="32"/>
          <w:lang w:eastAsia="zh-CN" w:bidi="ar"/>
          <w14:textFill>
            <w14:solidFill>
              <w14:schemeClr w14:val="tx1"/>
            </w14:solidFill>
          </w14:textFill>
          <w:woUserID w:val="0"/>
        </w:rPr>
        <w:t>（三）</w:t>
      </w:r>
      <w:bookmarkEnd w:id="349"/>
      <w:bookmarkStart w:id="350" w:name="_Toc15445"/>
      <w:r>
        <w:rPr>
          <w:rFonts w:hint="eastAsia" w:ascii="方正楷体_GB2312" w:hAnsi="方正楷体_GB2312" w:eastAsia="方正楷体_GB2312" w:cs="方正楷体_GB2312"/>
          <w:b/>
          <w:bCs/>
          <w:color w:val="000000" w:themeColor="text1"/>
          <w:sz w:val="32"/>
          <w:szCs w:val="32"/>
          <w:lang w:eastAsia="zh-CN" w:bidi="ar"/>
          <w14:textFill>
            <w14:solidFill>
              <w14:schemeClr w14:val="tx1"/>
            </w14:solidFill>
          </w14:textFill>
          <w:woUserID w:val="0"/>
        </w:rPr>
        <w:t>加快推进海洋生态价值转化</w:t>
      </w:r>
      <w:bookmarkEnd w:id="350"/>
    </w:p>
    <w:p w14:paraId="3862EE0A">
      <w:pPr>
        <w:keepNext w:val="0"/>
        <w:keepLines w:val="0"/>
        <w:widowControl w:val="0"/>
        <w:suppressLineNumbers w:val="0"/>
        <w:spacing w:beforeLines="0" w:afterLines="0" w:line="580" w:lineRule="exact"/>
        <w:ind w:firstLine="643" w:firstLineChars="200"/>
        <w:jc w:val="left"/>
        <w:outlineLvl w:val="9"/>
        <w:rPr>
          <w:rFonts w:hint="eastAsia" w:ascii="仿宋_GB2312" w:hAnsi="仿宋_GB2312" w:cs="仿宋_GB2312"/>
          <w:b w:val="0"/>
          <w:bCs w:val="0"/>
          <w:color w:val="000000" w:themeColor="text1"/>
          <w:sz w:val="32"/>
          <w:szCs w:val="32"/>
          <w:lang w:eastAsia="zh-CN"/>
          <w14:textFill>
            <w14:solidFill>
              <w14:schemeClr w14:val="tx1"/>
            </w14:solidFill>
          </w14:textFill>
          <w:woUserID w:val="0"/>
        </w:rPr>
      </w:pPr>
      <w:r>
        <w:rPr>
          <w:rFonts w:hint="eastAsia" w:ascii="仿宋_GB2312" w:hAnsi="仿宋_GB2312" w:cs="仿宋_GB2312"/>
          <w:b/>
          <w:bCs/>
          <w:color w:val="000000" w:themeColor="text1"/>
          <w:sz w:val="32"/>
          <w:szCs w:val="32"/>
          <w:lang w:eastAsia="zh-CN"/>
          <w14:textFill>
            <w14:solidFill>
              <w14:schemeClr w14:val="tx1"/>
            </w14:solidFill>
          </w14:textFill>
          <w:woUserID w:val="0"/>
        </w:rPr>
        <w:t>健全生态产品价值实现机制，</w:t>
      </w:r>
      <w:r>
        <w:rPr>
          <w:rFonts w:hint="eastAsia" w:ascii="仿宋_GB2312" w:hAnsi="仿宋_GB2312" w:cs="仿宋_GB2312"/>
          <w:b w:val="0"/>
          <w:bCs w:val="0"/>
          <w:color w:val="000000" w:themeColor="text1"/>
          <w:sz w:val="32"/>
          <w:szCs w:val="32"/>
          <w:lang w:eastAsia="zh-CN"/>
          <w14:textFill>
            <w14:solidFill>
              <w14:schemeClr w14:val="tx1"/>
            </w14:solidFill>
          </w14:textFill>
          <w:woUserID w:val="0"/>
        </w:rPr>
        <w:t>夯实海洋生态物质供给服务基础，打造粤东“蓝色粮仓”，壮大海味预制菜产业链，推进生态养殖和绿色海产品认证与标识体系建设，持续擦亮“惠来鲍鱼”金色招牌，提升“南有惠来鲍”全国美誉度，推动优质海产品增值溢价。</w:t>
      </w:r>
      <w:r>
        <w:rPr>
          <w:rFonts w:hint="eastAsia" w:ascii="仿宋_GB2312" w:hAnsi="仿宋_GB2312" w:cs="仿宋_GB2312"/>
          <w:b/>
          <w:bCs/>
          <w:color w:val="000000" w:themeColor="text1"/>
          <w:sz w:val="32"/>
          <w:szCs w:val="32"/>
          <w:lang w:eastAsia="zh-CN"/>
          <w14:textFill>
            <w14:solidFill>
              <w14:schemeClr w14:val="tx1"/>
            </w14:solidFill>
          </w14:textFill>
          <w:woUserID w:val="0"/>
        </w:rPr>
        <w:t>挖掘海洋生态调节服务价值</w:t>
      </w:r>
      <w:r>
        <w:rPr>
          <w:rFonts w:hint="eastAsia" w:ascii="仿宋_GB2312" w:hAnsi="仿宋_GB2312" w:cs="仿宋_GB2312"/>
          <w:b w:val="0"/>
          <w:bCs w:val="0"/>
          <w:color w:val="000000" w:themeColor="text1"/>
          <w:sz w:val="32"/>
          <w:szCs w:val="32"/>
          <w:lang w:eastAsia="zh-CN"/>
          <w14:textFill>
            <w14:solidFill>
              <w14:schemeClr w14:val="tx1"/>
            </w14:solidFill>
          </w14:textFill>
          <w:woUserID w:val="0"/>
        </w:rPr>
        <w:t>，重点开展惠来沿海红树林、滨海湿地等蓝碳资源本底调查，摸清碳储量与碳汇能力，建立蓝碳资源台账，探索蓝碳交易，支持符合条件的项目参与省级碳普惠和碳中和消纳。</w:t>
      </w:r>
    </w:p>
    <w:p w14:paraId="068A8C07">
      <w:pPr>
        <w:keepNext w:val="0"/>
        <w:keepLines w:val="0"/>
        <w:pageBreakBefore w:val="0"/>
        <w:widowControl/>
        <w:kinsoku/>
        <w:wordWrap/>
        <w:overflowPunct/>
        <w:topLinePunct w:val="0"/>
        <w:autoSpaceDE/>
        <w:autoSpaceDN/>
        <w:bidi w:val="0"/>
        <w:adjustRightInd w:val="0"/>
        <w:snapToGrid/>
        <w:spacing w:before="0" w:beforeLines="0" w:after="0" w:afterLines="0" w:line="580" w:lineRule="exact"/>
        <w:ind w:firstLine="640" w:firstLineChars="200"/>
        <w:jc w:val="both"/>
        <w:textAlignment w:val="auto"/>
        <w:outlineLvl w:val="0"/>
        <w:rPr>
          <w:rFonts w:hint="eastAsia" w:ascii="Times New Roman" w:hAnsi="Times New Roman" w:eastAsia="黑体" w:cs="Times New Roman"/>
          <w:b w:val="0"/>
          <w:bCs w:val="0"/>
          <w:color w:val="auto"/>
          <w:spacing w:val="0"/>
          <w:sz w:val="32"/>
          <w:szCs w:val="40"/>
          <w:highlight w:val="none"/>
          <w:u w:val="none"/>
          <w:lang w:val="en-US" w:eastAsia="zh-CN"/>
        </w:rPr>
      </w:pPr>
      <w:bookmarkStart w:id="351" w:name="_Toc9380"/>
      <w:bookmarkStart w:id="352" w:name="_Toc3402"/>
      <w:bookmarkStart w:id="353" w:name="_Toc4986"/>
      <w:bookmarkStart w:id="354" w:name="_Toc12212"/>
      <w:bookmarkStart w:id="355" w:name="_Toc30709"/>
      <w:bookmarkStart w:id="356" w:name="_Toc7847"/>
      <w:bookmarkStart w:id="357" w:name="_Toc12602"/>
      <w:bookmarkStart w:id="358" w:name="_Toc30887"/>
      <w:bookmarkStart w:id="359" w:name="_Toc28771"/>
      <w:bookmarkStart w:id="360" w:name="_Toc26417"/>
      <w:bookmarkStart w:id="361" w:name="_Toc18748"/>
      <w:bookmarkStart w:id="362" w:name="_Toc30587"/>
      <w:bookmarkStart w:id="363" w:name="_Toc10040"/>
      <w:bookmarkStart w:id="364" w:name="_Toc19865"/>
      <w:bookmarkStart w:id="365" w:name="_Toc4760"/>
      <w:bookmarkStart w:id="366" w:name="_Toc28716"/>
      <w:bookmarkStart w:id="367" w:name="_Toc19696"/>
      <w:bookmarkStart w:id="368" w:name="_Toc10627"/>
      <w:bookmarkStart w:id="369" w:name="_Toc8059"/>
      <w:bookmarkStart w:id="370" w:name="_Toc23747"/>
      <w:bookmarkStart w:id="371" w:name="_Toc6472"/>
      <w:bookmarkStart w:id="372" w:name="_Toc18457"/>
      <w:bookmarkStart w:id="373" w:name="_Toc9292"/>
      <w:bookmarkStart w:id="374" w:name="_Toc9706"/>
      <w:bookmarkStart w:id="375" w:name="_Toc14475"/>
      <w:bookmarkStart w:id="376" w:name="_Toc13262"/>
      <w:bookmarkStart w:id="377" w:name="_Toc14851"/>
      <w:bookmarkStart w:id="378" w:name="_Toc24500"/>
      <w:bookmarkStart w:id="379" w:name="_Toc11259"/>
      <w:bookmarkStart w:id="380" w:name="_Toc2937"/>
      <w:bookmarkStart w:id="381" w:name="_Toc13201"/>
      <w:bookmarkStart w:id="382" w:name="_Toc25665"/>
      <w:bookmarkStart w:id="383" w:name="_Toc28987"/>
      <w:bookmarkStart w:id="384" w:name="_Toc16494"/>
      <w:r>
        <w:rPr>
          <w:rFonts w:hint="eastAsia" w:ascii="Times New Roman" w:hAnsi="Times New Roman" w:eastAsia="黑体" w:cs="Times New Roman"/>
          <w:b w:val="0"/>
          <w:bCs w:val="0"/>
          <w:color w:val="auto"/>
          <w:spacing w:val="0"/>
          <w:sz w:val="32"/>
          <w:szCs w:val="40"/>
          <w:highlight w:val="none"/>
          <w:u w:val="none"/>
          <w:lang w:val="en-US" w:eastAsia="zh"/>
        </w:rPr>
        <w:t>六</w:t>
      </w:r>
      <w:r>
        <w:rPr>
          <w:rFonts w:hint="eastAsia" w:ascii="Times New Roman" w:hAnsi="Times New Roman" w:eastAsia="黑体" w:cs="Times New Roman"/>
          <w:b w:val="0"/>
          <w:bCs w:val="0"/>
          <w:color w:val="auto"/>
          <w:spacing w:val="0"/>
          <w:sz w:val="32"/>
          <w:szCs w:val="40"/>
          <w:highlight w:val="none"/>
          <w:u w:val="none"/>
          <w:lang w:val="en-US" w:eastAsia="zh-CN"/>
        </w:rPr>
        <w:t>、坚持扩大开放，深化海洋经济领域合作</w:t>
      </w:r>
      <w:bookmarkEnd w:id="351"/>
      <w:bookmarkEnd w:id="352"/>
      <w:bookmarkEnd w:id="353"/>
      <w:bookmarkEnd w:id="354"/>
      <w:bookmarkEnd w:id="355"/>
      <w:bookmarkEnd w:id="356"/>
      <w:bookmarkEnd w:id="357"/>
      <w:bookmarkEnd w:id="358"/>
      <w:bookmarkEnd w:id="359"/>
    </w:p>
    <w:p w14:paraId="26C29944">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outlineLvl w:val="1"/>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rPr>
      </w:pPr>
      <w:bookmarkStart w:id="385" w:name="_Toc16002"/>
      <w:r>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rPr>
        <w:t>（一）构建区域协同发展新格局</w:t>
      </w:r>
      <w:bookmarkEnd w:id="385"/>
    </w:p>
    <w:p w14:paraId="21B5C8A5">
      <w:pPr>
        <w:numPr>
          <w:ilvl w:val="0"/>
          <w:numId w:val="0"/>
        </w:numPr>
        <w:autoSpaceDE/>
        <w:autoSpaceDN/>
        <w:snapToGrid/>
        <w:spacing w:beforeLines="0" w:afterLines="0" w:line="600" w:lineRule="exact"/>
        <w:ind w:firstLine="643" w:firstLineChars="200"/>
        <w:jc w:val="both"/>
        <w:outlineLvl w:val="9"/>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pPr>
      <w:r>
        <w:rPr>
          <w:rFonts w:hint="default" w:ascii="仿宋_GB2312" w:hAnsi="仿宋_GB2312" w:eastAsia="仿宋_GB2312" w:cs="仿宋_GB2312"/>
          <w:b/>
          <w:bCs/>
          <w:color w:val="000000" w:themeColor="text1"/>
          <w:kern w:val="2"/>
          <w:sz w:val="32"/>
          <w:szCs w:val="32"/>
          <w:lang w:val="en-US" w:eastAsia="zh-CN" w:bidi="ar"/>
          <w14:textFill>
            <w14:solidFill>
              <w14:schemeClr w14:val="tx1"/>
            </w14:solidFill>
          </w14:textFill>
        </w:rPr>
        <w:t>推进汕潮揭都市圈协同发展</w:t>
      </w:r>
      <w: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t>，加快空铁港基础设施互联互通，提升揭阳潮汕国际机场辐射效能，推动三港联动打造粤东一体化港口集群。盘活广东工业大学揭阳校区、汕头大学涉海科研力量，共建粤东海洋创新走廊。</w:t>
      </w:r>
      <w:r>
        <w:rPr>
          <w:rFonts w:hint="default" w:ascii="仿宋_GB2312" w:hAnsi="仿宋_GB2312" w:eastAsia="仿宋_GB2312" w:cs="仿宋_GB2312"/>
          <w:b/>
          <w:bCs/>
          <w:color w:val="000000" w:themeColor="text1"/>
          <w:kern w:val="2"/>
          <w:sz w:val="32"/>
          <w:szCs w:val="32"/>
          <w:lang w:val="en-US" w:eastAsia="zh-CN" w:bidi="ar"/>
          <w14:textFill>
            <w14:solidFill>
              <w14:schemeClr w14:val="tx1"/>
            </w14:solidFill>
          </w14:textFill>
        </w:rPr>
        <w:t>深度参与粤港澳大湾区建设</w:t>
      </w:r>
      <w: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t>，出台参与大湾区建设与深化莞揭对口协作实施方案，滚动梳理涉海领域重大事项、平台与项目清单。健全“湾区总部—揭阳基地”等分工协作机制，支持临港海洋企业对接大湾区资本市场，在港口“大通关”、海洋产业标准方面先行先试，推动海洋石化、海上风电提质增效。对接横琴、前海、南沙、河套重大合作平台，加强海洋科创、临港产业、海洋金融、人才、滨海环保协同联动。依托中石油广东石化、GE海上风机总装基地，集聚海洋装备、临港运维、石化配套资源，探索发展“飞地经济”</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w:t>
      </w:r>
      <w: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t>承接港澳海洋及战略性新兴产业转移。</w:t>
      </w:r>
    </w:p>
    <w:p w14:paraId="51ECBA1E">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outlineLvl w:val="1"/>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rPr>
      </w:pPr>
      <w:bookmarkStart w:id="386" w:name="_Toc7471"/>
      <w:r>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rPr>
        <w:t>（二）拓展海洋开放合作新高地</w:t>
      </w:r>
      <w:bookmarkEnd w:id="386"/>
    </w:p>
    <w:p w14:paraId="236F22FE">
      <w:pPr>
        <w:numPr>
          <w:ilvl w:val="0"/>
          <w:numId w:val="0"/>
        </w:numPr>
        <w:autoSpaceDE/>
        <w:autoSpaceDN/>
        <w:snapToGrid/>
        <w:spacing w:beforeLines="0" w:afterLines="0" w:line="600" w:lineRule="exact"/>
        <w:ind w:firstLine="643" w:firstLineChars="200"/>
        <w:jc w:val="both"/>
        <w:outlineLvl w:val="9"/>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pPr>
      <w:r>
        <w:rPr>
          <w:rFonts w:hint="default" w:ascii="仿宋_GB2312" w:hAnsi="仿宋_GB2312" w:eastAsia="仿宋_GB2312" w:cs="仿宋_GB2312"/>
          <w:b/>
          <w:bCs/>
          <w:color w:val="000000" w:themeColor="text1"/>
          <w:kern w:val="2"/>
          <w:sz w:val="32"/>
          <w:szCs w:val="32"/>
          <w:lang w:val="en-US" w:eastAsia="zh-CN" w:bidi="ar"/>
          <w14:textFill>
            <w14:solidFill>
              <w14:schemeClr w14:val="tx1"/>
            </w14:solidFill>
          </w14:textFill>
        </w:rPr>
        <w:t>打造高能级海洋开放平台，</w:t>
      </w:r>
      <w: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t>复制推广自贸区改革经验，争取设立中国(广东)自由贸易试验区揭阳片区</w:t>
      </w:r>
      <w:bookmarkStart w:id="440" w:name="_GoBack"/>
      <w:bookmarkEnd w:id="440"/>
      <w: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t>或联动创新区，推行国际贸易“单一窗口”，实现关、港、贸、税、金一体化运作，推进揭东国家级经开区扩区，构筑海洋领域对外开放窗口。</w:t>
      </w:r>
      <w:r>
        <w:rPr>
          <w:rFonts w:hint="default" w:ascii="仿宋_GB2312" w:hAnsi="仿宋_GB2312" w:eastAsia="仿宋_GB2312" w:cs="仿宋_GB2312"/>
          <w:b/>
          <w:bCs/>
          <w:color w:val="000000" w:themeColor="text1"/>
          <w:kern w:val="2"/>
          <w:sz w:val="32"/>
          <w:szCs w:val="32"/>
          <w:lang w:val="en-US" w:eastAsia="zh-CN" w:bidi="ar"/>
          <w14:textFill>
            <w14:solidFill>
              <w14:schemeClr w14:val="tx1"/>
            </w14:solidFill>
          </w14:textFill>
        </w:rPr>
        <w:t>高质量推进国际海洋经贸合作</w:t>
      </w:r>
      <w: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t>，深度服务共建“一带一路”，用好RCEP多边经贸规则，围绕高端制造、精细化工、海洋可再生能源、海洋科技创新，深化与东盟等地区经贸和产业合作。</w:t>
      </w:r>
      <w:r>
        <w:rPr>
          <w:rFonts w:hint="default" w:ascii="仿宋_GB2312" w:hAnsi="仿宋_GB2312" w:eastAsia="仿宋_GB2312" w:cs="仿宋_GB2312"/>
          <w:b/>
          <w:bCs/>
          <w:color w:val="000000" w:themeColor="text1"/>
          <w:kern w:val="2"/>
          <w:sz w:val="32"/>
          <w:szCs w:val="32"/>
          <w:lang w:val="en-US" w:eastAsia="zh-CN" w:bidi="ar"/>
          <w14:textFill>
            <w14:solidFill>
              <w14:schemeClr w14:val="tx1"/>
            </w14:solidFill>
          </w14:textFill>
        </w:rPr>
        <w:t>落实“一带一路”倡议</w:t>
      </w:r>
      <w: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t>，支持行业机构举办石化新材料、现代海洋技术国际交流活动。</w:t>
      </w:r>
    </w:p>
    <w:p w14:paraId="5FB67164">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outlineLvl w:val="1"/>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rPr>
      </w:pPr>
      <w:bookmarkStart w:id="387" w:name="_Toc20059"/>
      <w:r>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rPr>
        <w:t>（三）提升本土海洋文化国际影响力</w:t>
      </w:r>
      <w:bookmarkEnd w:id="387"/>
    </w:p>
    <w:p w14:paraId="262ACD62">
      <w:pPr>
        <w:numPr>
          <w:ilvl w:val="0"/>
          <w:numId w:val="0"/>
        </w:numPr>
        <w:autoSpaceDE/>
        <w:autoSpaceDN/>
        <w:snapToGrid/>
        <w:spacing w:beforeLines="0" w:afterLines="0" w:line="600" w:lineRule="exact"/>
        <w:ind w:firstLine="643" w:firstLineChars="200"/>
        <w:jc w:val="both"/>
        <w:outlineLvl w:val="9"/>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pPr>
      <w:r>
        <w:rPr>
          <w:rFonts w:hint="default" w:ascii="仿宋_GB2312" w:hAnsi="仿宋_GB2312" w:eastAsia="仿宋_GB2312" w:cs="仿宋_GB2312"/>
          <w:b/>
          <w:bCs/>
          <w:color w:val="000000" w:themeColor="text1"/>
          <w:kern w:val="2"/>
          <w:sz w:val="32"/>
          <w:szCs w:val="32"/>
          <w:lang w:val="en-US" w:eastAsia="zh-CN" w:bidi="ar"/>
          <w14:textFill>
            <w14:solidFill>
              <w14:schemeClr w14:val="tx1"/>
            </w14:solidFill>
          </w14:textFill>
        </w:rPr>
        <w:t>深挖揭阳滨海渔耕、海防历史、海洋非遗本土资源</w:t>
      </w:r>
      <w: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t>，整合惠来滨海渔俗、渔家技艺、沿海海防及红色文化，培育辨识度突出的揭阳海洋文化IP。</w:t>
      </w:r>
      <w:r>
        <w:rPr>
          <w:rFonts w:hint="default" w:ascii="仿宋_GB2312" w:hAnsi="仿宋_GB2312" w:eastAsia="仿宋_GB2312" w:cs="仿宋_GB2312"/>
          <w:b/>
          <w:bCs/>
          <w:color w:val="000000" w:themeColor="text1"/>
          <w:kern w:val="2"/>
          <w:sz w:val="32"/>
          <w:szCs w:val="32"/>
          <w:lang w:val="en-US" w:eastAsia="zh-CN" w:bidi="ar"/>
          <w14:textFill>
            <w14:solidFill>
              <w14:schemeClr w14:val="tx1"/>
            </w14:solidFill>
          </w14:textFill>
        </w:rPr>
        <w:t>创新文化交流与贸易模式</w:t>
      </w:r>
      <w: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t>，积极参与国内外文博会、旅博会等展会，推动海洋主题文化产品服务“走出去”。支持英歌舞、青狮、潮剧等非遗项目海外展演，提升揭阳文化国际传播力。用“政府统筹+侨胞共建”模式</w:t>
      </w:r>
      <w:r>
        <w:rPr>
          <w:rFonts w:hint="eastAsia" w:ascii="仿宋_GB2312" w:hAnsi="仿宋_GB2312" w:cs="仿宋_GB2312"/>
          <w:color w:val="000000" w:themeColor="text1"/>
          <w:kern w:val="2"/>
          <w:sz w:val="32"/>
          <w:szCs w:val="32"/>
          <w:lang w:val="en-US" w:eastAsia="zh-CN" w:bidi="ar"/>
          <w14:textFill>
            <w14:solidFill>
              <w14:schemeClr w14:val="tx1"/>
            </w14:solidFill>
          </w14:textFill>
        </w:rPr>
        <w:t>打造</w:t>
      </w:r>
      <w: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t>“潮侨坊、潮侨堂”，筑牢海外侨胞精神家园。依托共建“一带一路”、RCEP平台办好滨海文旅推介、海洋主题展览、渔耕文化交流等活动。发挥三山国王祖庙海峡两岸交流基地作用，深化揭台海洋民俗同源交往，持续扩大揭阳海洋文化国际知名度与影响力。</w:t>
      </w:r>
    </w:p>
    <w:p w14:paraId="3EB2C1D5">
      <w:pPr>
        <w:keepNext w:val="0"/>
        <w:keepLines w:val="0"/>
        <w:pageBreakBefore w:val="0"/>
        <w:widowControl/>
        <w:kinsoku/>
        <w:wordWrap/>
        <w:overflowPunct/>
        <w:topLinePunct w:val="0"/>
        <w:autoSpaceDE/>
        <w:autoSpaceDN/>
        <w:bidi w:val="0"/>
        <w:adjustRightInd w:val="0"/>
        <w:snapToGrid/>
        <w:spacing w:before="0" w:beforeLines="0" w:after="0" w:afterLines="0" w:line="580" w:lineRule="exact"/>
        <w:ind w:firstLine="640" w:firstLineChars="200"/>
        <w:jc w:val="both"/>
        <w:textAlignment w:val="auto"/>
        <w:outlineLvl w:val="0"/>
        <w:rPr>
          <w:rFonts w:hint="eastAsia" w:ascii="Times New Roman" w:hAnsi="Times New Roman" w:eastAsia="黑体" w:cs="Times New Roman"/>
          <w:b w:val="0"/>
          <w:bCs w:val="0"/>
          <w:color w:val="auto"/>
          <w:spacing w:val="0"/>
          <w:sz w:val="32"/>
          <w:szCs w:val="40"/>
          <w:highlight w:val="none"/>
          <w:u w:val="none"/>
          <w:lang w:val="en-US" w:eastAsia="zh-CN"/>
        </w:rPr>
      </w:pPr>
      <w:bookmarkStart w:id="388" w:name="_Toc6737"/>
      <w:bookmarkStart w:id="389" w:name="_Toc633"/>
      <w:bookmarkStart w:id="390" w:name="_Toc24020"/>
      <w:bookmarkStart w:id="391" w:name="_Toc23663"/>
      <w:bookmarkStart w:id="392" w:name="_Toc29460"/>
      <w:bookmarkStart w:id="393" w:name="_Toc21001"/>
      <w:bookmarkStart w:id="394" w:name="_Toc21153"/>
      <w:bookmarkStart w:id="395" w:name="_Toc2769"/>
      <w:bookmarkStart w:id="396" w:name="_Toc7936"/>
      <w:bookmarkStart w:id="397" w:name="_Toc275"/>
      <w:bookmarkStart w:id="398" w:name="_Toc802"/>
      <w:bookmarkStart w:id="399" w:name="_Toc6181"/>
      <w:bookmarkStart w:id="400" w:name="_Toc16839"/>
      <w:bookmarkStart w:id="401" w:name="_Toc5765"/>
      <w:bookmarkStart w:id="402" w:name="_Toc25795"/>
      <w:bookmarkStart w:id="403" w:name="_Toc31679"/>
      <w:bookmarkStart w:id="404" w:name="_Toc5439"/>
      <w:bookmarkStart w:id="405" w:name="_Toc13499"/>
      <w:bookmarkStart w:id="406" w:name="_Toc11284"/>
      <w:bookmarkStart w:id="407" w:name="_Toc30106"/>
      <w:bookmarkStart w:id="408" w:name="_Toc9304"/>
      <w:bookmarkStart w:id="409" w:name="_Toc797"/>
      <w:bookmarkStart w:id="410" w:name="_Toc9773"/>
      <w:bookmarkStart w:id="411" w:name="_Toc25759"/>
      <w:bookmarkStart w:id="412" w:name="_Toc31084"/>
      <w:r>
        <w:rPr>
          <w:rFonts w:hint="eastAsia" w:ascii="Times New Roman" w:hAnsi="Times New Roman" w:eastAsia="黑体" w:cs="Times New Roman"/>
          <w:b w:val="0"/>
          <w:bCs w:val="0"/>
          <w:color w:val="auto"/>
          <w:spacing w:val="0"/>
          <w:sz w:val="32"/>
          <w:szCs w:val="40"/>
          <w:highlight w:val="none"/>
          <w:u w:val="none"/>
          <w:lang w:val="en-US" w:eastAsia="zh-CN"/>
        </w:rPr>
        <w:t>七、</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Fonts w:hint="eastAsia" w:ascii="Times New Roman" w:hAnsi="Times New Roman" w:eastAsia="黑体" w:cs="Times New Roman"/>
          <w:b w:val="0"/>
          <w:bCs w:val="0"/>
          <w:color w:val="auto"/>
          <w:spacing w:val="0"/>
          <w:sz w:val="32"/>
          <w:szCs w:val="40"/>
          <w:highlight w:val="none"/>
          <w:u w:val="none"/>
          <w:lang w:val="en-US" w:eastAsia="zh-CN"/>
        </w:rPr>
        <w:t>筑牢</w:t>
      </w:r>
      <w:r>
        <w:rPr>
          <w:rFonts w:hint="eastAsia" w:eastAsia="黑体" w:cs="Times New Roman"/>
          <w:b w:val="0"/>
          <w:bCs w:val="0"/>
          <w:color w:val="auto"/>
          <w:spacing w:val="0"/>
          <w:sz w:val="32"/>
          <w:szCs w:val="40"/>
          <w:highlight w:val="none"/>
          <w:u w:val="none"/>
          <w:lang w:val="en-US" w:eastAsia="zh-CN"/>
        </w:rPr>
        <w:t>“蓝色防线”</w:t>
      </w:r>
      <w:r>
        <w:rPr>
          <w:rFonts w:hint="eastAsia" w:ascii="Times New Roman" w:hAnsi="Times New Roman" w:eastAsia="黑体" w:cs="Times New Roman"/>
          <w:b w:val="0"/>
          <w:bCs w:val="0"/>
          <w:color w:val="auto"/>
          <w:spacing w:val="0"/>
          <w:sz w:val="32"/>
          <w:szCs w:val="40"/>
          <w:highlight w:val="none"/>
          <w:u w:val="none"/>
          <w:lang w:val="en-US" w:eastAsia="zh-CN"/>
        </w:rPr>
        <w:t>，共建平安揭阳滨海新家园</w:t>
      </w:r>
      <w:bookmarkEnd w:id="412"/>
    </w:p>
    <w:p w14:paraId="3A89A906">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outlineLvl w:val="1"/>
        <w:rPr>
          <w:rFonts w:hint="eastAsia" w:ascii="方正楷体_GB2312" w:hAnsi="方正楷体_GB2312" w:eastAsia="方正楷体_GB2312" w:cs="方正楷体_GB2312"/>
          <w:b/>
          <w:bCs/>
          <w:color w:val="000000" w:themeColor="text1"/>
          <w:kern w:val="2"/>
          <w:sz w:val="32"/>
          <w:szCs w:val="32"/>
          <w:lang w:bidi="ar"/>
          <w14:textFill>
            <w14:solidFill>
              <w14:schemeClr w14:val="tx1"/>
            </w14:solidFill>
          </w14:textFill>
          <w:woUserID w:val="0"/>
        </w:rPr>
      </w:pPr>
      <w:bookmarkStart w:id="413" w:name="_Toc3028"/>
      <w:bookmarkStart w:id="414" w:name="_Toc2540"/>
      <w:bookmarkStart w:id="415" w:name="_Toc3855"/>
      <w:bookmarkStart w:id="416" w:name="_Toc13768"/>
      <w:bookmarkStart w:id="417" w:name="_Toc30460"/>
      <w:bookmarkStart w:id="418" w:name="_Toc8675"/>
      <w:bookmarkStart w:id="419" w:name="_Toc10200"/>
      <w:r>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woUserID w:val="0"/>
        </w:rPr>
        <w:t>（一）筑牢海洋安全屏障</w:t>
      </w:r>
      <w:bookmarkEnd w:id="413"/>
      <w:bookmarkEnd w:id="414"/>
      <w:bookmarkEnd w:id="415"/>
      <w:bookmarkEnd w:id="416"/>
      <w:bookmarkEnd w:id="417"/>
      <w:bookmarkEnd w:id="418"/>
      <w:bookmarkEnd w:id="419"/>
    </w:p>
    <w:p w14:paraId="379CCEA9">
      <w:pPr>
        <w:numPr>
          <w:ilvl w:val="0"/>
          <w:numId w:val="0"/>
        </w:numPr>
        <w:autoSpaceDE/>
        <w:autoSpaceDN/>
        <w:snapToGrid/>
        <w:spacing w:beforeLines="0" w:afterLines="0" w:line="600" w:lineRule="exact"/>
        <w:ind w:firstLine="643" w:firstLineChars="200"/>
        <w:jc w:val="both"/>
        <w:outlineLvl w:val="9"/>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pPr>
      <w:r>
        <w:rPr>
          <w:rFonts w:hint="default" w:ascii="仿宋_GB2312" w:hAnsi="仿宋_GB2312" w:eastAsia="仿宋_GB2312" w:cs="仿宋_GB2312"/>
          <w:b/>
          <w:bCs/>
          <w:color w:val="000000" w:themeColor="text1"/>
          <w:kern w:val="2"/>
          <w:sz w:val="32"/>
          <w:szCs w:val="32"/>
          <w:lang w:val="en-US" w:eastAsia="zh-CN" w:bidi="ar"/>
          <w14:textFill>
            <w14:solidFill>
              <w14:schemeClr w14:val="tx1"/>
            </w14:solidFill>
          </w14:textFill>
        </w:rPr>
        <w:t>严格落实海岸线管控</w:t>
      </w:r>
      <w: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t>，严守海洋生态保护红线，加强海湾、河口、滨海湿地保护修复，推进海岸带综合整治修复工程，提升海岸自然防护能力。健全海洋灾害监测预警体系，完善风暴潮、海浪、海啸等海洋灾害监测站点布局，推动海洋预警监测与气象、水利、应急部门数据共享、信息互通，构建陆海协同的灾害预警发布机制，提升灾害预报预警精准度与时效性。</w:t>
      </w:r>
      <w:r>
        <w:rPr>
          <w:rFonts w:hint="default" w:ascii="仿宋_GB2312" w:hAnsi="仿宋_GB2312" w:eastAsia="仿宋_GB2312" w:cs="仿宋_GB2312"/>
          <w:b/>
          <w:bCs/>
          <w:color w:val="000000" w:themeColor="text1"/>
          <w:kern w:val="2"/>
          <w:sz w:val="32"/>
          <w:szCs w:val="32"/>
          <w:lang w:val="en-US" w:eastAsia="zh-CN" w:bidi="ar"/>
          <w14:textFill>
            <w14:solidFill>
              <w14:schemeClr w14:val="tx1"/>
            </w14:solidFill>
          </w14:textFill>
        </w:rPr>
        <w:t>强化滨海防灾减灾基础设施建设</w:t>
      </w:r>
      <w: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t>，推进海堤、挡潮闸等沿海防护工程提质升级，实施病险海堤加固改造，补齐沿海镇村防潮排涝短板，提升重点港区、产业园区、滨海城镇防灾抗灾标准。压实海上安全生产责任，聚焦海上风电施工、港口码头作业、渔业生产、石化临港项目等重点领域，健全海上风险隐患排查和常态化监管机制，强化海上作业、船舶航行、渔船渔港安全管控，防范化解海上生产事故风险。</w:t>
      </w:r>
      <w:r>
        <w:rPr>
          <w:rFonts w:hint="default" w:ascii="仿宋_GB2312" w:hAnsi="仿宋_GB2312" w:eastAsia="仿宋_GB2312" w:cs="仿宋_GB2312"/>
          <w:b/>
          <w:bCs/>
          <w:color w:val="000000" w:themeColor="text1"/>
          <w:kern w:val="2"/>
          <w:sz w:val="32"/>
          <w:szCs w:val="32"/>
          <w:lang w:val="en-US" w:eastAsia="zh-CN" w:bidi="ar"/>
          <w14:textFill>
            <w14:solidFill>
              <w14:schemeClr w14:val="tx1"/>
            </w14:solidFill>
          </w14:textFill>
        </w:rPr>
        <w:t>提升海洋应急处置能力</w:t>
      </w:r>
      <w: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t>，完善海上应急预案，建强海上应急救援队伍，配齐应急船舶、救援装备，开展常态化海上应急演练，提升海上突发事件快速响应和处置能力，守牢海洋发展安全底线。</w:t>
      </w:r>
    </w:p>
    <w:p w14:paraId="1751DDDF">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outlineLvl w:val="1"/>
        <w:rPr>
          <w:rFonts w:hint="eastAsia" w:ascii="方正楷体_GB2312" w:hAnsi="方正楷体_GB2312" w:eastAsia="方正楷体_GB2312" w:cs="方正楷体_GB2312"/>
          <w:b/>
          <w:bCs/>
          <w:color w:val="000000" w:themeColor="text1"/>
          <w:kern w:val="2"/>
          <w:sz w:val="32"/>
          <w:szCs w:val="32"/>
          <w:lang w:bidi="ar"/>
          <w14:textFill>
            <w14:solidFill>
              <w14:schemeClr w14:val="tx1"/>
            </w14:solidFill>
          </w14:textFill>
          <w:woUserID w:val="0"/>
        </w:rPr>
      </w:pPr>
      <w:bookmarkStart w:id="420" w:name="_Toc25574"/>
      <w:bookmarkStart w:id="421" w:name="_Toc11894"/>
      <w:bookmarkStart w:id="422" w:name="_Toc3763"/>
      <w:bookmarkStart w:id="423" w:name="_Toc2724"/>
      <w:bookmarkStart w:id="424" w:name="_Toc31761"/>
      <w:bookmarkStart w:id="425" w:name="_Toc31492"/>
      <w:bookmarkStart w:id="426" w:name="_Toc1909"/>
      <w:r>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woUserID w:val="0"/>
        </w:rPr>
        <w:t>（二）提升海洋民生服务品质</w:t>
      </w:r>
      <w:bookmarkEnd w:id="420"/>
      <w:bookmarkEnd w:id="421"/>
      <w:bookmarkEnd w:id="422"/>
      <w:bookmarkEnd w:id="423"/>
      <w:bookmarkEnd w:id="424"/>
      <w:bookmarkEnd w:id="425"/>
      <w:bookmarkEnd w:id="426"/>
    </w:p>
    <w:p w14:paraId="1F017CAD">
      <w:pPr>
        <w:numPr>
          <w:ilvl w:val="0"/>
          <w:numId w:val="0"/>
        </w:numPr>
        <w:autoSpaceDE/>
        <w:autoSpaceDN/>
        <w:snapToGrid/>
        <w:spacing w:beforeLines="0" w:afterLines="0" w:line="600" w:lineRule="exact"/>
        <w:ind w:firstLine="643" w:firstLineChars="200"/>
        <w:jc w:val="both"/>
        <w:outlineLvl w:val="9"/>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pPr>
      <w:r>
        <w:rPr>
          <w:rFonts w:hint="default" w:ascii="仿宋_GB2312" w:hAnsi="仿宋_GB2312" w:eastAsia="仿宋_GB2312" w:cs="仿宋_GB2312"/>
          <w:b/>
          <w:bCs/>
          <w:color w:val="000000" w:themeColor="text1"/>
          <w:kern w:val="2"/>
          <w:sz w:val="32"/>
          <w:szCs w:val="32"/>
          <w:lang w:val="en-US" w:eastAsia="zh-CN" w:bidi="ar"/>
          <w14:textFill>
            <w14:solidFill>
              <w14:schemeClr w14:val="tx1"/>
            </w14:solidFill>
          </w14:textFill>
        </w:rPr>
        <w:t>坚持海洋发展惠及沿海群众</w:t>
      </w:r>
      <w: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t>，聚焦沿海渔民、滨海社区急难愁盼，优化提升涉海公共服务供给。推进渔港升级改造，优化神泉、靖海等重点渔港基础设施，完善渔政执法、避风避险、水产品集散、便民服务配套，打造现代化综合性渔港，保障渔民生产作业安全，带动渔业群众增收。完善滨海城镇公共服务配套，推动教育、医疗、养老等公共服务资源向沿海镇街倾斜，补齐滨海地区公共服务设施短板，提升沿海基本公共服务均等化水平。</w:t>
      </w:r>
      <w:r>
        <w:rPr>
          <w:rFonts w:hint="default" w:ascii="仿宋_GB2312" w:hAnsi="仿宋_GB2312" w:eastAsia="仿宋_GB2312" w:cs="仿宋_GB2312"/>
          <w:b/>
          <w:bCs/>
          <w:color w:val="000000" w:themeColor="text1"/>
          <w:kern w:val="2"/>
          <w:sz w:val="32"/>
          <w:szCs w:val="32"/>
          <w:lang w:val="en-US" w:eastAsia="zh-CN" w:bidi="ar"/>
          <w14:textFill>
            <w14:solidFill>
              <w14:schemeClr w14:val="tx1"/>
            </w14:solidFill>
          </w14:textFill>
        </w:rPr>
        <w:t>推动滨海宜居环境建设</w:t>
      </w:r>
      <w: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t>，结合海岸带整治，打造一批滨海休闲岸线、滨海绿道，拓展群众亲海空间。健全沿海涉海利益协调机制，保障渔民合法权益，完善渔业转产转业扶持政策，拓宽沿海群众就业渠道。</w:t>
      </w:r>
      <w:r>
        <w:rPr>
          <w:rFonts w:hint="default" w:ascii="仿宋_GB2312" w:hAnsi="仿宋_GB2312" w:eastAsia="仿宋_GB2312" w:cs="仿宋_GB2312"/>
          <w:b/>
          <w:bCs/>
          <w:color w:val="000000" w:themeColor="text1"/>
          <w:kern w:val="2"/>
          <w:sz w:val="32"/>
          <w:szCs w:val="32"/>
          <w:lang w:val="en-US" w:eastAsia="zh-CN" w:bidi="ar"/>
          <w14:textFill>
            <w14:solidFill>
              <w14:schemeClr w14:val="tx1"/>
            </w14:solidFill>
          </w14:textFill>
        </w:rPr>
        <w:t>深化海洋科普宣传教育</w:t>
      </w:r>
      <w:r>
        <w:rPr>
          <w:rFonts w:hint="default" w:ascii="仿宋_GB2312" w:hAnsi="仿宋_GB2312" w:eastAsia="仿宋_GB2312" w:cs="仿宋_GB2312"/>
          <w:color w:val="000000" w:themeColor="text1"/>
          <w:kern w:val="2"/>
          <w:sz w:val="32"/>
          <w:szCs w:val="32"/>
          <w:lang w:val="en-US" w:eastAsia="zh-CN" w:bidi="ar"/>
          <w14:textFill>
            <w14:solidFill>
              <w14:schemeClr w14:val="tx1"/>
            </w14:solidFill>
          </w14:textFill>
        </w:rPr>
        <w:t>，依托渔港、滨海阵地开展海洋防灾减灾、海洋环境保护科普，增强沿海群众海洋安全意识与生态保护意识。完善涉海民生保障，健全海洋灾害风险转移分担机制，优化渔业保险保障覆盖面，降低渔民灾害损失，不断增强沿海群众获得感、幸福感、安全感。</w:t>
      </w:r>
    </w:p>
    <w:p w14:paraId="0229AA85">
      <w:pPr>
        <w:widowControl w:val="0"/>
        <w:autoSpaceDE w:val="0"/>
        <w:spacing w:beforeLines="0" w:after="0" w:afterLines="0" w:line="580" w:lineRule="exact"/>
        <w:ind w:firstLine="640" w:firstLineChars="200"/>
        <w:jc w:val="both"/>
        <w:outlineLvl w:val="0"/>
        <w:rPr>
          <w:rFonts w:hint="eastAsia" w:ascii="Times New Roman" w:hAnsi="Times New Roman" w:eastAsia="黑体" w:cs="Times New Roman"/>
          <w:b w:val="0"/>
          <w:bCs w:val="0"/>
          <w:color w:val="000000" w:themeColor="text1"/>
          <w:spacing w:val="0"/>
          <w:sz w:val="32"/>
          <w:szCs w:val="32"/>
          <w:highlight w:val="none"/>
          <w:u w:val="none"/>
          <w:lang w:val="en-US" w:eastAsia="zh-CN" w:bidi="ar"/>
          <w14:textFill>
            <w14:solidFill>
              <w14:schemeClr w14:val="tx1"/>
            </w14:solidFill>
          </w14:textFill>
        </w:rPr>
      </w:pPr>
      <w:bookmarkStart w:id="427" w:name="_Toc30944"/>
      <w:r>
        <w:rPr>
          <w:rFonts w:hint="eastAsia" w:eastAsia="黑体" w:cs="Times New Roman"/>
          <w:b w:val="0"/>
          <w:bCs w:val="0"/>
          <w:color w:val="000000" w:themeColor="text1"/>
          <w:spacing w:val="0"/>
          <w:sz w:val="32"/>
          <w:szCs w:val="32"/>
          <w:highlight w:val="none"/>
          <w:u w:val="none"/>
          <w:lang w:val="en-US" w:eastAsia="zh-CN" w:bidi="ar"/>
          <w14:textFill>
            <w14:solidFill>
              <w14:schemeClr w14:val="tx1"/>
            </w14:solidFill>
          </w14:textFill>
        </w:rPr>
        <w:t>八</w:t>
      </w:r>
      <w:r>
        <w:rPr>
          <w:rFonts w:hint="eastAsia" w:ascii="Times New Roman" w:hAnsi="Times New Roman" w:eastAsia="黑体" w:cs="Times New Roman"/>
          <w:b w:val="0"/>
          <w:bCs w:val="0"/>
          <w:color w:val="000000" w:themeColor="text1"/>
          <w:spacing w:val="0"/>
          <w:sz w:val="32"/>
          <w:szCs w:val="32"/>
          <w:highlight w:val="none"/>
          <w:u w:val="none"/>
          <w:lang w:val="en-US" w:eastAsia="zh-CN" w:bidi="ar"/>
          <w14:textFill>
            <w14:solidFill>
              <w14:schemeClr w14:val="tx1"/>
            </w14:solidFill>
          </w14:textFill>
        </w:rPr>
        <w:t>、</w:t>
      </w:r>
      <w:bookmarkEnd w:id="360"/>
      <w:bookmarkEnd w:id="361"/>
      <w:bookmarkEnd w:id="362"/>
      <w:bookmarkEnd w:id="363"/>
      <w:bookmarkEnd w:id="364"/>
      <w:r>
        <w:rPr>
          <w:rFonts w:hint="eastAsia" w:ascii="Times New Roman" w:hAnsi="Times New Roman" w:eastAsia="黑体" w:cs="Times New Roman"/>
          <w:b w:val="0"/>
          <w:bCs w:val="0"/>
          <w:color w:val="000000" w:themeColor="text1"/>
          <w:spacing w:val="0"/>
          <w:sz w:val="32"/>
          <w:szCs w:val="32"/>
          <w:highlight w:val="none"/>
          <w:u w:val="none"/>
          <w:lang w:val="en-US" w:eastAsia="zh-CN" w:bidi="ar"/>
          <w14:textFill>
            <w14:solidFill>
              <w14:schemeClr w14:val="tx1"/>
            </w14:solidFill>
          </w14:textFill>
        </w:rPr>
        <w:t>强化</w:t>
      </w:r>
      <w:r>
        <w:rPr>
          <w:rFonts w:hint="eastAsia" w:eastAsia="黑体" w:cs="Times New Roman"/>
          <w:b w:val="0"/>
          <w:bCs w:val="0"/>
          <w:color w:val="000000" w:themeColor="text1"/>
          <w:spacing w:val="0"/>
          <w:sz w:val="32"/>
          <w:szCs w:val="32"/>
          <w:highlight w:val="none"/>
          <w:u w:val="none"/>
          <w:lang w:val="en-US" w:eastAsia="zh-CN" w:bidi="ar"/>
          <w14:textFill>
            <w14:solidFill>
              <w14:schemeClr w14:val="tx1"/>
            </w14:solidFill>
          </w14:textFill>
        </w:rPr>
        <w:t>“蓝色保障”</w:t>
      </w:r>
      <w:r>
        <w:rPr>
          <w:rFonts w:hint="eastAsia" w:ascii="Times New Roman" w:hAnsi="Times New Roman" w:eastAsia="黑体" w:cs="Times New Roman"/>
          <w:b w:val="0"/>
          <w:bCs w:val="0"/>
          <w:color w:val="000000" w:themeColor="text1"/>
          <w:spacing w:val="0"/>
          <w:sz w:val="32"/>
          <w:szCs w:val="32"/>
          <w:highlight w:val="none"/>
          <w:u w:val="none"/>
          <w:lang w:val="en-US" w:eastAsia="zh-CN" w:bidi="ar"/>
          <w14:textFill>
            <w14:solidFill>
              <w14:schemeClr w14:val="tx1"/>
            </w14:solidFill>
          </w14:textFill>
        </w:rPr>
        <w:t>，健全协同高效新机制</w:t>
      </w:r>
      <w:bookmarkEnd w:id="365"/>
      <w:bookmarkEnd w:id="427"/>
    </w:p>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14:paraId="1D6DBD67">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outlineLvl w:val="1"/>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woUserID w:val="0"/>
        </w:rPr>
      </w:pPr>
      <w:bookmarkStart w:id="428" w:name="_Toc89420247"/>
      <w:bookmarkStart w:id="429" w:name="_Toc8466"/>
      <w:r>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woUserID w:val="0"/>
        </w:rPr>
        <w:t>（一）优化组织保障</w:t>
      </w:r>
      <w:bookmarkEnd w:id="428"/>
      <w:bookmarkEnd w:id="429"/>
    </w:p>
    <w:p w14:paraId="3B115DE3">
      <w:pPr>
        <w:pStyle w:val="38"/>
        <w:keepNext w:val="0"/>
        <w:keepLines w:val="0"/>
        <w:pageBreakBefore w:val="0"/>
        <w:widowControl w:val="0"/>
        <w:kinsoku/>
        <w:wordWrap/>
        <w:overflowPunct/>
        <w:topLinePunct w:val="0"/>
        <w:autoSpaceDE/>
        <w:autoSpaceDN/>
        <w:bidi w:val="0"/>
        <w:adjustRightInd/>
        <w:snapToGrid/>
        <w:ind w:firstLine="643"/>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
          <w:bCs w:val="0"/>
          <w:sz w:val="32"/>
          <w:szCs w:val="32"/>
          <w:lang w:val="en-US" w:eastAsia="zh-CN"/>
        </w:rPr>
        <w:t>加强</w:t>
      </w:r>
      <w:r>
        <w:rPr>
          <w:rFonts w:hint="eastAsia" w:ascii="仿宋_GB2312" w:hAnsi="仿宋_GB2312" w:eastAsia="仿宋_GB2312" w:cs="仿宋_GB2312"/>
          <w:b/>
          <w:bCs w:val="0"/>
          <w:sz w:val="32"/>
          <w:szCs w:val="32"/>
        </w:rPr>
        <w:t>党对海洋工作的领导</w:t>
      </w:r>
      <w:r>
        <w:rPr>
          <w:rFonts w:hint="eastAsia" w:ascii="仿宋_GB2312" w:hAnsi="仿宋_GB2312" w:eastAsia="仿宋_GB2312" w:cs="仿宋_GB2312"/>
          <w:bCs/>
          <w:sz w:val="32"/>
          <w:szCs w:val="32"/>
          <w:lang w:eastAsia="zh-CN"/>
        </w:rPr>
        <w:t>，建立健全</w:t>
      </w:r>
      <w:r>
        <w:rPr>
          <w:rFonts w:hint="eastAsia" w:ascii="仿宋_GB2312" w:hAnsi="仿宋_GB2312" w:eastAsia="仿宋_GB2312" w:cs="仿宋_GB2312"/>
          <w:bCs/>
          <w:sz w:val="32"/>
          <w:szCs w:val="32"/>
          <w:lang w:val="en-US" w:eastAsia="zh-CN"/>
        </w:rPr>
        <w:t>市级</w:t>
      </w:r>
      <w:r>
        <w:rPr>
          <w:rFonts w:hint="eastAsia" w:ascii="仿宋_GB2312" w:hAnsi="仿宋_GB2312" w:eastAsia="仿宋_GB2312" w:cs="仿宋_GB2312"/>
          <w:bCs/>
          <w:sz w:val="32"/>
          <w:szCs w:val="32"/>
        </w:rPr>
        <w:t>海洋经济</w:t>
      </w:r>
      <w:r>
        <w:rPr>
          <w:rFonts w:hint="eastAsia" w:ascii="仿宋_GB2312" w:hAnsi="仿宋_GB2312" w:eastAsia="仿宋_GB2312" w:cs="仿宋_GB2312"/>
          <w:bCs/>
          <w:sz w:val="32"/>
          <w:szCs w:val="32"/>
          <w:lang w:val="en-US" w:eastAsia="zh-CN"/>
        </w:rPr>
        <w:t>发展</w:t>
      </w:r>
      <w:r>
        <w:rPr>
          <w:rFonts w:hint="eastAsia" w:ascii="仿宋_GB2312" w:hAnsi="仿宋_GB2312" w:eastAsia="仿宋_GB2312" w:cs="仿宋_GB2312"/>
          <w:bCs/>
          <w:sz w:val="32"/>
          <w:szCs w:val="32"/>
        </w:rPr>
        <w:t>规划工作协调机制</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成立海洋经济发展工作专班，强化海洋事务统筹，协调解决跨区域跨部门重大问题，压实各涉海部门工作责任，构建上下联动、部门协同的良好工作格局。结合实际落实上级规划制定海洋经济发展相关配套政策。加强宣传引导，完善公众参与机制，广泛动员社会各方力量共同参与</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形成全社会共建共促海洋经济发展的良好氛围。</w:t>
      </w:r>
      <w:bookmarkStart w:id="430" w:name="_Toc5860"/>
      <w:bookmarkStart w:id="431" w:name="_Toc110005208"/>
    </w:p>
    <w:p w14:paraId="020D61C4">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outlineLvl w:val="1"/>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woUserID w:val="0"/>
        </w:rPr>
      </w:pPr>
      <w:bookmarkStart w:id="432" w:name="_Toc17307"/>
      <w:r>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woUserID w:val="0"/>
        </w:rPr>
        <w:t>（二）完善政策保障</w:t>
      </w:r>
      <w:bookmarkEnd w:id="430"/>
      <w:bookmarkEnd w:id="431"/>
      <w:bookmarkEnd w:id="432"/>
    </w:p>
    <w:p w14:paraId="724104F6">
      <w:pPr>
        <w:ind w:firstLine="643" w:firstLineChars="200"/>
        <w:rPr>
          <w:rFonts w:ascii="仿宋_GB2312" w:eastAsia="仿宋_GB2312" w:hAnsiTheme="minorHAnsi" w:cstheme="minorBidi"/>
          <w:sz w:val="32"/>
          <w:szCs w:val="32"/>
        </w:rPr>
      </w:pPr>
      <w:r>
        <w:rPr>
          <w:rFonts w:ascii="仿宋_GB2312" w:eastAsia="仿宋_GB2312" w:hAnsiTheme="minorHAnsi" w:cstheme="minorBidi"/>
          <w:b/>
          <w:bCs/>
          <w:sz w:val="32"/>
          <w:szCs w:val="32"/>
        </w:rPr>
        <w:t>积极争取上级扶持政策</w:t>
      </w:r>
      <w:r>
        <w:rPr>
          <w:rFonts w:ascii="仿宋_GB2312" w:eastAsia="仿宋_GB2312" w:hAnsiTheme="minorHAnsi" w:cstheme="minorBidi"/>
          <w:sz w:val="32"/>
          <w:szCs w:val="32"/>
        </w:rPr>
        <w:t>，强化市级层面配套支</w:t>
      </w:r>
      <w:r>
        <w:rPr>
          <w:rFonts w:hint="eastAsia" w:ascii="仿宋_GB2312" w:eastAsia="仿宋_GB2312" w:hAnsiTheme="minorHAnsi" w:cstheme="minorBidi"/>
          <w:sz w:val="32"/>
          <w:szCs w:val="32"/>
        </w:rPr>
        <w:t>持</w:t>
      </w:r>
      <w:r>
        <w:rPr>
          <w:rFonts w:hint="eastAsia" w:ascii="仿宋_GB2312" w:eastAsia="仿宋_GB2312" w:cstheme="minorBidi"/>
          <w:sz w:val="32"/>
          <w:szCs w:val="32"/>
          <w:lang w:eastAsia="zh-CN"/>
        </w:rPr>
        <w:t>，</w:t>
      </w:r>
      <w:r>
        <w:rPr>
          <w:rFonts w:hint="eastAsia" w:ascii="仿宋_GB2312" w:hAnsi="仿宋_GB2312" w:eastAsia="仿宋_GB2312" w:cs="仿宋_GB2312"/>
          <w:bCs/>
          <w:sz w:val="32"/>
          <w:szCs w:val="32"/>
        </w:rPr>
        <w:t>持续完善海洋规划政策体系。建立规划目标责任制，分解落实</w:t>
      </w:r>
      <w:r>
        <w:rPr>
          <w:rFonts w:hint="eastAsia" w:ascii="仿宋_GB2312" w:hAnsi="仿宋_GB2312" w:cs="仿宋_GB2312"/>
          <w:bCs/>
          <w:sz w:val="32"/>
          <w:szCs w:val="32"/>
          <w:lang w:val="en-US" w:eastAsia="zh-CN"/>
        </w:rPr>
        <w:t>各部门（单位）</w:t>
      </w:r>
      <w:r>
        <w:rPr>
          <w:rFonts w:hint="eastAsia" w:ascii="仿宋_GB2312" w:hAnsi="仿宋_GB2312" w:eastAsia="仿宋_GB2312" w:cs="仿宋_GB2312"/>
          <w:bCs/>
          <w:sz w:val="32"/>
          <w:szCs w:val="32"/>
        </w:rPr>
        <w:t>发展指标与重点工程</w:t>
      </w:r>
      <w:r>
        <w:rPr>
          <w:rFonts w:hint="eastAsia" w:ascii="仿宋_GB2312" w:hAnsi="仿宋_GB2312" w:cs="仿宋_GB2312"/>
          <w:bCs/>
          <w:sz w:val="32"/>
          <w:szCs w:val="32"/>
          <w:lang w:eastAsia="zh-CN"/>
        </w:rPr>
        <w:t>。</w:t>
      </w:r>
      <w:r>
        <w:rPr>
          <w:rFonts w:hint="eastAsia" w:ascii="仿宋_GB2312" w:hAnsi="仿宋_GB2312" w:eastAsia="仿宋_GB2312" w:cs="仿宋_GB2312"/>
          <w:bCs/>
          <w:sz w:val="32"/>
          <w:szCs w:val="32"/>
        </w:rPr>
        <w:t>对重点涉海项目优先保障用海、用地、岸线指标，</w:t>
      </w:r>
      <w:r>
        <w:rPr>
          <w:rFonts w:hint="eastAsia" w:ascii="仿宋_GB2312" w:eastAsia="仿宋_GB2312"/>
          <w:sz w:val="32"/>
          <w:szCs w:val="32"/>
        </w:rPr>
        <w:t>确保重点项目有序推进。</w:t>
      </w:r>
      <w:r>
        <w:rPr>
          <w:rFonts w:hint="eastAsia" w:ascii="仿宋_GB2312" w:hAnsi="仿宋_GB2312" w:eastAsia="仿宋_GB2312" w:cs="仿宋_GB2312"/>
          <w:bCs/>
          <w:sz w:val="32"/>
          <w:szCs w:val="32"/>
        </w:rPr>
        <w:t>持续优化涉海企业营商环境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落实减税降费举措</w:t>
      </w:r>
      <w:r>
        <w:rPr>
          <w:rFonts w:ascii="仿宋_GB2312" w:eastAsia="仿宋_GB2312" w:hAnsiTheme="minorHAnsi" w:cstheme="minorBidi"/>
          <w:sz w:val="32"/>
          <w:szCs w:val="32"/>
        </w:rPr>
        <w:t>。</w:t>
      </w:r>
      <w:r>
        <w:rPr>
          <w:rFonts w:hint="eastAsia" w:ascii="仿宋_GB2312" w:hAnsi="Times New Roman" w:cs="Times New Roman"/>
          <w:bCs w:val="0"/>
          <w:sz w:val="32"/>
          <w:szCs w:val="32"/>
          <w:lang w:val="en-US" w:eastAsia="zh-CN"/>
        </w:rPr>
        <w:t>厘清全市</w:t>
      </w:r>
      <w:r>
        <w:rPr>
          <w:rFonts w:hint="eastAsia" w:ascii="仿宋_GB2312" w:hAnsi="Times New Roman" w:cs="Times New Roman"/>
          <w:b w:val="0"/>
          <w:bCs w:val="0"/>
          <w:sz w:val="32"/>
          <w:szCs w:val="32"/>
          <w:lang w:eastAsia="zh-CN"/>
        </w:rPr>
        <w:t>海洋</w:t>
      </w:r>
      <w:r>
        <w:rPr>
          <w:rFonts w:hint="eastAsia" w:ascii="仿宋_GB2312" w:hAnsi="Times New Roman" w:cs="Times New Roman"/>
          <w:b w:val="0"/>
          <w:bCs w:val="0"/>
          <w:sz w:val="32"/>
          <w:szCs w:val="32"/>
        </w:rPr>
        <w:t>产业</w:t>
      </w:r>
      <w:r>
        <w:rPr>
          <w:rFonts w:hint="eastAsia" w:ascii="仿宋_GB2312" w:hAnsi="Times New Roman" w:cs="Times New Roman"/>
          <w:b w:val="0"/>
          <w:bCs w:val="0"/>
          <w:sz w:val="32"/>
          <w:szCs w:val="32"/>
          <w:lang w:eastAsia="zh-CN"/>
        </w:rPr>
        <w:t>发展</w:t>
      </w:r>
      <w:r>
        <w:rPr>
          <w:rFonts w:hint="eastAsia" w:ascii="仿宋_GB2312" w:hAnsi="Times New Roman" w:cs="Times New Roman"/>
          <w:b w:val="0"/>
          <w:bCs w:val="0"/>
          <w:sz w:val="32"/>
          <w:szCs w:val="32"/>
        </w:rPr>
        <w:t>方向</w:t>
      </w:r>
      <w:r>
        <w:rPr>
          <w:rFonts w:hint="eastAsia" w:ascii="仿宋_GB2312" w:hAnsi="Times New Roman" w:cs="Times New Roman"/>
          <w:b w:val="0"/>
          <w:bCs w:val="0"/>
          <w:sz w:val="32"/>
          <w:szCs w:val="32"/>
          <w:lang w:eastAsia="zh-CN"/>
        </w:rPr>
        <w:t>，</w:t>
      </w:r>
      <w:r>
        <w:rPr>
          <w:rFonts w:hint="eastAsia" w:ascii="仿宋_GB2312" w:hAnsi="Times New Roman" w:cs="Times New Roman"/>
          <w:sz w:val="32"/>
          <w:szCs w:val="32"/>
        </w:rPr>
        <w:t>绘制“产业链全景图”“产业现状图”，建立“优质项目库”“目标企业库”，开展精准招商。</w:t>
      </w:r>
    </w:p>
    <w:p w14:paraId="4A4F4CF5">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outlineLvl w:val="1"/>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woUserID w:val="0"/>
        </w:rPr>
      </w:pPr>
      <w:bookmarkStart w:id="433" w:name="_Toc18770"/>
      <w:bookmarkStart w:id="434" w:name="_Toc6986"/>
      <w:bookmarkStart w:id="435" w:name="_Toc110005209"/>
      <w:r>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woUserID w:val="0"/>
        </w:rPr>
        <w:t>（三）加强涉海人才引育</w:t>
      </w:r>
      <w:bookmarkEnd w:id="433"/>
    </w:p>
    <w:p w14:paraId="56C5E074">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outlineLvl w:val="9"/>
        <w:rPr>
          <w:rFonts w:hint="eastAsia" w:ascii="仿宋_GB2312" w:hAnsi="仿宋_GB2312" w:eastAsia="仿宋_GB2312" w:cs="仿宋_GB2312"/>
          <w:b/>
          <w:bCs/>
          <w:color w:val="000000"/>
          <w:kern w:val="2"/>
          <w:sz w:val="32"/>
          <w:szCs w:val="32"/>
          <w:lang w:val="en-US" w:eastAsia="zh-CN" w:bidi="ar"/>
          <w:woUserID w:val="3"/>
        </w:rPr>
      </w:pPr>
      <w:r>
        <w:rPr>
          <w:rFonts w:hint="eastAsia" w:ascii="仿宋_GB2312" w:hAnsi="仿宋_GB2312" w:eastAsia="仿宋_GB2312" w:cs="仿宋_GB2312"/>
          <w:b/>
          <w:bCs/>
          <w:color w:val="auto"/>
          <w:spacing w:val="0"/>
          <w:sz w:val="32"/>
          <w:szCs w:val="32"/>
          <w:highlight w:val="none"/>
          <w:u w:val="none"/>
          <w:lang w:val="en-US" w:eastAsia="zh-CN"/>
        </w:rPr>
        <w:t>建立</w:t>
      </w:r>
      <w:r>
        <w:rPr>
          <w:rFonts w:hint="eastAsia" w:ascii="仿宋_GB2312" w:hAnsi="仿宋_GB2312" w:cs="仿宋_GB2312"/>
          <w:b/>
          <w:bCs/>
          <w:color w:val="auto"/>
          <w:spacing w:val="0"/>
          <w:sz w:val="32"/>
          <w:szCs w:val="32"/>
          <w:highlight w:val="none"/>
          <w:u w:val="none"/>
          <w:lang w:val="en-US" w:eastAsia="zh-CN"/>
        </w:rPr>
        <w:t>海洋科技创新</w:t>
      </w:r>
      <w:r>
        <w:rPr>
          <w:rFonts w:hint="eastAsia" w:ascii="仿宋_GB2312" w:hAnsi="仿宋_GB2312" w:eastAsia="仿宋_GB2312" w:cs="仿宋_GB2312"/>
          <w:b/>
          <w:bCs/>
          <w:color w:val="auto"/>
          <w:spacing w:val="0"/>
          <w:sz w:val="32"/>
          <w:szCs w:val="32"/>
          <w:highlight w:val="none"/>
          <w:u w:val="none"/>
          <w:lang w:val="en-US" w:eastAsia="zh-CN"/>
        </w:rPr>
        <w:t>人才“储备池”</w:t>
      </w:r>
      <w:r>
        <w:rPr>
          <w:rFonts w:hint="eastAsia" w:ascii="仿宋_GB2312" w:hAnsi="仿宋_GB2312" w:eastAsia="仿宋_GB2312" w:cs="仿宋_GB2312"/>
          <w:b w:val="0"/>
          <w:bCs w:val="0"/>
          <w:color w:val="auto"/>
          <w:spacing w:val="0"/>
          <w:sz w:val="32"/>
          <w:szCs w:val="32"/>
          <w:highlight w:val="none"/>
          <w:u w:val="none"/>
          <w:lang w:val="en-US" w:eastAsia="zh-CN"/>
        </w:rPr>
        <w:t>，精准引进海洋领域高水平科技领军人才与企业CTO核心力量。依托榕江实验室、博士后工作站等平台，实施有竞争力的引育政策，建立人才飞地、“候鸟型”引才机制</w:t>
      </w:r>
      <w:r>
        <w:rPr>
          <w:rFonts w:hint="eastAsia" w:ascii="仿宋_GB2312" w:hAnsi="仿宋_GB2312" w:cs="仿宋_GB2312"/>
          <w:b w:val="0"/>
          <w:bCs w:val="0"/>
          <w:color w:val="auto"/>
          <w:spacing w:val="0"/>
          <w:sz w:val="32"/>
          <w:szCs w:val="32"/>
          <w:highlight w:val="none"/>
          <w:u w:val="none"/>
          <w:lang w:val="en-US" w:eastAsia="zh-CN"/>
        </w:rPr>
        <w:t>，柔性</w:t>
      </w:r>
      <w:r>
        <w:rPr>
          <w:rFonts w:hint="eastAsia" w:ascii="仿宋_GB2312" w:hAnsi="仿宋_GB2312" w:eastAsia="仿宋_GB2312" w:cs="仿宋_GB2312"/>
          <w:b w:val="0"/>
          <w:bCs w:val="0"/>
          <w:color w:val="auto"/>
          <w:spacing w:val="0"/>
          <w:sz w:val="32"/>
          <w:szCs w:val="32"/>
          <w:highlight w:val="none"/>
          <w:u w:val="none"/>
          <w:lang w:val="en-US" w:eastAsia="zh-CN"/>
        </w:rPr>
        <w:t>集聚高端智力。壮大海洋工程师队伍，深化校企“订单式”培养</w:t>
      </w:r>
      <w:r>
        <w:rPr>
          <w:rFonts w:hint="eastAsia" w:ascii="仿宋_GB2312" w:hAnsi="仿宋_GB2312" w:cs="仿宋_GB2312"/>
          <w:b w:val="0"/>
          <w:bCs w:val="0"/>
          <w:color w:val="auto"/>
          <w:spacing w:val="0"/>
          <w:sz w:val="32"/>
          <w:szCs w:val="32"/>
          <w:highlight w:val="none"/>
          <w:u w:val="none"/>
          <w:lang w:val="en-US" w:eastAsia="zh-CN"/>
        </w:rPr>
        <w:t>模式</w:t>
      </w:r>
      <w:r>
        <w:rPr>
          <w:rFonts w:hint="eastAsia" w:ascii="仿宋_GB2312" w:hAnsi="仿宋_GB2312" w:eastAsia="仿宋_GB2312" w:cs="仿宋_GB2312"/>
          <w:b w:val="0"/>
          <w:bCs w:val="0"/>
          <w:color w:val="auto"/>
          <w:spacing w:val="0"/>
          <w:sz w:val="32"/>
          <w:szCs w:val="32"/>
          <w:highlight w:val="none"/>
          <w:u w:val="none"/>
          <w:lang w:val="en-US" w:eastAsia="zh-CN"/>
        </w:rPr>
        <w:t>，建设技能大师工作室</w:t>
      </w:r>
      <w:r>
        <w:rPr>
          <w:rFonts w:hint="eastAsia" w:ascii="仿宋_GB2312" w:hAnsi="仿宋_GB2312" w:cs="仿宋_GB2312"/>
          <w:b w:val="0"/>
          <w:bCs w:val="0"/>
          <w:color w:val="auto"/>
          <w:spacing w:val="0"/>
          <w:sz w:val="32"/>
          <w:szCs w:val="32"/>
          <w:highlight w:val="none"/>
          <w:u w:val="none"/>
          <w:lang w:val="en-US" w:eastAsia="zh-CN"/>
        </w:rPr>
        <w:t>。</w:t>
      </w:r>
      <w:r>
        <w:rPr>
          <w:rFonts w:hint="eastAsia" w:ascii="仿宋_GB2312" w:hAnsi="仿宋_GB2312" w:eastAsia="仿宋_GB2312" w:cs="仿宋_GB2312"/>
          <w:sz w:val="32"/>
          <w:szCs w:val="32"/>
          <w:lang w:val="en-US" w:eastAsia="zh-CN"/>
        </w:rPr>
        <w:t>推动本地高校优化海洋相关专业设置，加强与企业的产学研合作，根据企业需求制定人才培养方案，定向培养符合海洋经济发展需求的专业人才。</w:t>
      </w:r>
    </w:p>
    <w:p w14:paraId="4252505E">
      <w:pPr>
        <w:keepNext w:val="0"/>
        <w:keepLines w:val="0"/>
        <w:widowControl w:val="0"/>
        <w:suppressLineNumbers w:val="0"/>
        <w:autoSpaceDE w:val="0"/>
        <w:autoSpaceDN/>
        <w:spacing w:before="0" w:beforeLines="0" w:beforeAutospacing="0" w:after="0" w:afterLines="0" w:afterAutospacing="0" w:line="580" w:lineRule="exact"/>
        <w:ind w:left="0" w:right="0" w:firstLine="643" w:firstLineChars="200"/>
        <w:jc w:val="both"/>
        <w:outlineLvl w:val="1"/>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woUserID w:val="0"/>
        </w:rPr>
      </w:pPr>
      <w:bookmarkStart w:id="436" w:name="_Toc29739"/>
      <w:r>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woUserID w:val="0"/>
        </w:rPr>
        <w:t>（四）</w:t>
      </w:r>
      <w:bookmarkEnd w:id="434"/>
      <w:bookmarkEnd w:id="435"/>
      <w:bookmarkEnd w:id="436"/>
      <w:bookmarkStart w:id="437" w:name="_Toc110005210"/>
      <w:bookmarkStart w:id="438" w:name="_Toc25980"/>
      <w:bookmarkStart w:id="439" w:name="_Toc29651"/>
      <w:r>
        <w:rPr>
          <w:rFonts w:hint="eastAsia" w:ascii="方正楷体_GB2312" w:hAnsi="方正楷体_GB2312" w:eastAsia="方正楷体_GB2312" w:cs="方正楷体_GB2312"/>
          <w:b/>
          <w:bCs/>
          <w:color w:val="000000" w:themeColor="text1"/>
          <w:kern w:val="2"/>
          <w:sz w:val="32"/>
          <w:szCs w:val="32"/>
          <w:lang w:val="en-US" w:eastAsia="zh-CN" w:bidi="ar"/>
          <w14:textFill>
            <w14:solidFill>
              <w14:schemeClr w14:val="tx1"/>
            </w14:solidFill>
          </w14:textFill>
          <w:woUserID w:val="0"/>
        </w:rPr>
        <w:t>加强资金保障</w:t>
      </w:r>
      <w:bookmarkEnd w:id="437"/>
      <w:bookmarkEnd w:id="438"/>
      <w:bookmarkEnd w:id="439"/>
    </w:p>
    <w:p w14:paraId="4DC56664">
      <w:pPr>
        <w:ind w:firstLine="643" w:firstLineChars="200"/>
        <w:rPr>
          <w:sz w:val="32"/>
          <w:szCs w:val="32"/>
        </w:rPr>
      </w:pPr>
      <w:r>
        <w:rPr>
          <w:rFonts w:hint="eastAsia" w:ascii="仿宋_GB2312" w:hAnsi="仿宋_GB2312" w:eastAsia="仿宋_GB2312" w:cs="仿宋_GB2312"/>
          <w:b/>
          <w:bCs/>
          <w:sz w:val="32"/>
          <w:szCs w:val="32"/>
        </w:rPr>
        <w:t>统筹用好省级</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市级</w:t>
      </w:r>
      <w:r>
        <w:rPr>
          <w:rFonts w:hint="eastAsia" w:ascii="仿宋_GB2312" w:hAnsi="仿宋_GB2312" w:eastAsia="仿宋_GB2312" w:cs="仿宋_GB2312"/>
          <w:b/>
          <w:bCs/>
          <w:sz w:val="32"/>
          <w:szCs w:val="32"/>
        </w:rPr>
        <w:t>涉海专项资金</w:t>
      </w:r>
      <w:r>
        <w:rPr>
          <w:rFonts w:hint="eastAsia" w:ascii="仿宋_GB2312" w:hAnsi="仿宋_GB2312" w:eastAsia="仿宋_GB2312" w:cs="仿宋_GB2312"/>
          <w:bCs/>
          <w:sz w:val="32"/>
          <w:szCs w:val="32"/>
        </w:rPr>
        <w:t>，集中资源支持海洋产业、生态保护等重点领域。</w:t>
      </w:r>
      <w:r>
        <w:rPr>
          <w:rFonts w:hint="eastAsia" w:ascii="仿宋_GB2312" w:eastAsia="仿宋_GB2312"/>
          <w:sz w:val="32"/>
          <w:szCs w:val="32"/>
        </w:rPr>
        <w:t>全面落实各项海洋经济发展方面资金的使用管理政策</w:t>
      </w:r>
      <w:r>
        <w:rPr>
          <w:rFonts w:hint="eastAsia" w:ascii="仿宋_GB2312" w:eastAsia="仿宋_GB2312"/>
          <w:sz w:val="32"/>
          <w:szCs w:val="32"/>
          <w:lang w:eastAsia="zh-CN"/>
        </w:rPr>
        <w:t>，</w:t>
      </w:r>
      <w:r>
        <w:rPr>
          <w:rFonts w:hint="eastAsia" w:ascii="仿宋_GB2312" w:eastAsia="仿宋_GB2312"/>
          <w:sz w:val="32"/>
          <w:szCs w:val="32"/>
        </w:rPr>
        <w:t>建立健全市、县、镇资金使用管理台账，明确各部门的资金规模、职责任务和监管责任，有效衔接资金流、信息流和工作流。</w:t>
      </w:r>
      <w:r>
        <w:rPr>
          <w:rFonts w:hint="eastAsia" w:ascii="仿宋_GB2312" w:hAnsi="仿宋_GB2312" w:eastAsia="仿宋_GB2312" w:cs="仿宋_GB2312"/>
          <w:sz w:val="32"/>
          <w:szCs w:val="32"/>
        </w:rPr>
        <w:t>创新财政资金使用</w:t>
      </w:r>
      <w:r>
        <w:rPr>
          <w:rFonts w:hint="eastAsia" w:ascii="仿宋_GB2312" w:hAnsi="仿宋_GB2312" w:eastAsia="仿宋_GB2312" w:cs="仿宋_GB2312"/>
          <w:sz w:val="32"/>
          <w:szCs w:val="32"/>
          <w:lang w:eastAsia="zh-CN"/>
        </w:rPr>
        <w:t>方式，</w:t>
      </w:r>
      <w:r>
        <w:rPr>
          <w:rFonts w:hint="eastAsia" w:ascii="仿宋_GB2312" w:hAnsi="仿宋_GB2312" w:eastAsia="仿宋_GB2312" w:cs="仿宋_GB2312"/>
          <w:sz w:val="32"/>
          <w:szCs w:val="32"/>
        </w:rPr>
        <w:t>引导新兴产业发展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撬动社会资本投入。</w:t>
      </w:r>
      <w:r>
        <w:rPr>
          <w:rFonts w:hint="eastAsia" w:ascii="仿宋_GB2312" w:hAnsi="仿宋_GB2312" w:eastAsia="仿宋_GB2312" w:cs="仿宋_GB2312"/>
          <w:bCs/>
          <w:sz w:val="32"/>
          <w:szCs w:val="32"/>
        </w:rPr>
        <w:t>鼓励金融机构开发特色涉海金融产品，拓宽涉海企业多元化融资渠道</w:t>
      </w:r>
      <w:r>
        <w:rPr>
          <w:rFonts w:hint="eastAsia" w:ascii="仿宋_GB2312" w:hAnsi="仿宋_GB2312" w:eastAsia="仿宋_GB2312" w:cs="仿宋_GB2312"/>
          <w:bCs/>
          <w:sz w:val="32"/>
          <w:szCs w:val="32"/>
          <w:lang w:eastAsia="zh-CN"/>
        </w:rPr>
        <w:t>，</w:t>
      </w:r>
      <w:r>
        <w:rPr>
          <w:rFonts w:hint="eastAsia" w:ascii="Times New Roman" w:hAnsi="Times New Roman" w:eastAsia="仿宋_GB2312" w:cs="Times New Roman"/>
          <w:sz w:val="32"/>
          <w:szCs w:val="32"/>
        </w:rPr>
        <w:t>完善海洋产业投融资风险分担机制。</w:t>
      </w:r>
    </w:p>
    <w:p w14:paraId="1E926674">
      <w:pPr>
        <w:spacing w:beforeLines="0" w:afterLines="0" w:line="580" w:lineRule="exact"/>
        <w:ind w:firstLine="640" w:firstLineChars="200"/>
        <w:jc w:val="left"/>
        <w:outlineLvl w:val="9"/>
        <w:rPr>
          <w:rFonts w:hint="eastAsia" w:ascii="仿宋_GB2312" w:cs="仿宋_GB2312"/>
          <w:color w:val="000000" w:themeColor="text1"/>
          <w:sz w:val="32"/>
          <w:szCs w:val="32"/>
          <w:lang w:bidi="ar"/>
          <w14:textFill>
            <w14:solidFill>
              <w14:schemeClr w14:val="tx1"/>
            </w14:solidFill>
          </w14:textFill>
        </w:rPr>
      </w:pPr>
    </w:p>
    <w:sectPr>
      <w:pgSz w:w="11906" w:h="16838"/>
      <w:pgMar w:top="1985" w:right="1616" w:bottom="1814" w:left="1616" w:header="851" w:footer="1474" w:gutter="0"/>
      <w:pgBorders>
        <w:top w:val="none" w:sz="0" w:space="0"/>
        <w:left w:val="none" w:sz="0" w:space="0"/>
        <w:bottom w:val="none" w:sz="0" w:space="0"/>
        <w:right w:val="none" w:sz="0" w:space="0"/>
      </w:pgBorders>
      <w:pgNumType w:fmt="decimal"/>
      <w:cols w:space="0" w:num="1"/>
      <w:rtlGutter w:val="0"/>
      <w:docGrid w:type="lines" w:linePitch="58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0B715BB-D5BC-4196-A275-4676BD262AD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1D5390CE-05B1-4188-8A8F-DA27EC27F141}"/>
  </w:font>
  <w:font w:name="仿宋_GB2312">
    <w:panose1 w:val="02010609030101010101"/>
    <w:charset w:val="86"/>
    <w:family w:val="modern"/>
    <w:pitch w:val="default"/>
    <w:sig w:usb0="00000001" w:usb1="080E0000" w:usb2="00000000" w:usb3="00000000" w:csb0="00040000" w:csb1="00000000"/>
    <w:embedRegular r:id="rId3" w:fontKey="{BACACE29-A9B3-4521-B478-2EE687DA428C}"/>
  </w:font>
  <w:font w:name="方正小标宋_GBK">
    <w:panose1 w:val="02000000000000000000"/>
    <w:charset w:val="86"/>
    <w:family w:val="auto"/>
    <w:pitch w:val="default"/>
    <w:sig w:usb0="A00002BF" w:usb1="38CF7CFA" w:usb2="00082016" w:usb3="00000000" w:csb0="00040001" w:csb1="00000000"/>
    <w:embedRegular r:id="rId4" w:fontKey="{4E5FD093-E971-4B29-8942-F015A37BC178}"/>
  </w:font>
  <w:font w:name="方正仿宋简体">
    <w:panose1 w:val="03000509000000000000"/>
    <w:charset w:val="86"/>
    <w:family w:val="auto"/>
    <w:pitch w:val="default"/>
    <w:sig w:usb0="00000001" w:usb1="080E0000" w:usb2="00000000" w:usb3="00000000" w:csb0="00040000" w:csb1="00000000"/>
  </w:font>
  <w:font w:name="标准粗黑">
    <w:panose1 w:val="02000503000000000000"/>
    <w:charset w:val="86"/>
    <w:family w:val="auto"/>
    <w:pitch w:val="default"/>
    <w:sig w:usb0="8000002F" w:usb1="084164FA" w:usb2="00000012" w:usb3="00000000" w:csb0="00040001" w:csb1="00000000"/>
    <w:embedRegular r:id="rId5" w:fontKey="{9A130426-B6FE-40CF-9A49-E012C814863D}"/>
  </w:font>
  <w:font w:name="方正公文小标宋">
    <w:panose1 w:val="02000500000000000000"/>
    <w:charset w:val="86"/>
    <w:family w:val="auto"/>
    <w:pitch w:val="default"/>
    <w:sig w:usb0="A00002BF" w:usb1="38CF7CFA" w:usb2="00000016" w:usb3="00000000" w:csb0="00040001" w:csb1="00000000"/>
    <w:embedRegular r:id="rId6" w:fontKey="{A308A1A1-1E91-417F-8AEE-801210365872}"/>
  </w:font>
  <w:font w:name="方正楷体_GB2312">
    <w:panose1 w:val="02000000000000000000"/>
    <w:charset w:val="86"/>
    <w:family w:val="auto"/>
    <w:pitch w:val="default"/>
    <w:sig w:usb0="A00002BF" w:usb1="184F6CFA" w:usb2="00000012" w:usb3="00000000" w:csb0="00040001" w:csb1="00000000"/>
    <w:embedRegular r:id="rId7" w:fontKey="{7F0BDFC1-8108-4478-B53D-4D5F7B328E7E}"/>
  </w:font>
  <w:font w:name="楷体">
    <w:panose1 w:val="02010609060101010101"/>
    <w:charset w:val="86"/>
    <w:family w:val="auto"/>
    <w:pitch w:val="default"/>
    <w:sig w:usb0="800002BF" w:usb1="38CF7CFA" w:usb2="00000016" w:usb3="00000000" w:csb0="00040001" w:csb1="00000000"/>
    <w:embedRegular r:id="rId8" w:fontKey="{5C9B8238-10B3-4203-BF3F-F91FAA55035E}"/>
  </w:font>
  <w:font w:name="WPSEMBED1">
    <w:panose1 w:val="02000503000000000000"/>
    <w:charset w:val="86"/>
    <w:family w:val="auto"/>
    <w:pitch w:val="default"/>
    <w:sig w:usb0="8000002F" w:usb1="084164FA" w:usb2="00000012"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A81C2">
    <w:pPr>
      <w:pStyle w:val="9"/>
      <w:ind w:right="141"/>
      <w:jc w:val="right"/>
      <w:rPr>
        <w:rFonts w:ascii="仿宋_GB2312" w:hAnsi="宋体" w:eastAsia="仿宋_GB2312"/>
        <w:caps/>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55857">
    <w:pPr>
      <w:pStyle w:val="9"/>
      <w:ind w:right="141" w:firstLine="140" w:firstLineChars="50"/>
      <w:rPr>
        <w:rFonts w:eastAsia="仿宋_GB2312"/>
        <w:caps/>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822325" cy="349250"/>
              <wp:effectExtent l="0" t="0" r="0" b="0"/>
              <wp:wrapNone/>
              <wp:docPr id="3" name="文本框 28"/>
              <wp:cNvGraphicFramePr/>
              <a:graphic xmlns:a="http://schemas.openxmlformats.org/drawingml/2006/main">
                <a:graphicData uri="http://schemas.microsoft.com/office/word/2010/wordprocessingShape">
                  <wps:wsp>
                    <wps:cNvSpPr txBox="1">
                      <a:spLocks noChangeArrowheads="1"/>
                    </wps:cNvSpPr>
                    <wps:spPr bwMode="auto">
                      <a:xfrm>
                        <a:off x="0" y="0"/>
                        <a:ext cx="822325" cy="349250"/>
                      </a:xfrm>
                      <a:prstGeom prst="rect">
                        <a:avLst/>
                      </a:prstGeom>
                      <a:noFill/>
                      <a:ln>
                        <a:noFill/>
                      </a:ln>
                      <a:effectLst/>
                    </wps:spPr>
                    <wps:txbx>
                      <w:txbxContent>
                        <w:p w14:paraId="26B125E3">
                          <w:pPr>
                            <w:pStyle w:val="9"/>
                            <w:rPr>
                              <w:rFonts w:ascii="宋体" w:hAnsi="宋体" w:cs="宋体"/>
                              <w:sz w:val="28"/>
                              <w:szCs w:val="28"/>
                            </w:rPr>
                          </w:pPr>
                          <w:r>
                            <w:rPr>
                              <w:rFonts w:hint="eastAsia" w:ascii="宋体" w:hAnsi="宋体" w:cs="宋体"/>
                              <w:sz w:val="28"/>
                              <w:szCs w:val="28"/>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8</w:t>
                          </w:r>
                          <w:r>
                            <w:rPr>
                              <w:sz w:val="28"/>
                              <w:szCs w:val="28"/>
                            </w:rPr>
                            <w:fldChar w:fldCharType="end"/>
                          </w:r>
                          <w:r>
                            <w:rPr>
                              <w:rFonts w:hint="eastAsia" w:ascii="宋体" w:hAnsi="宋体" w:cs="宋体"/>
                              <w:sz w:val="28"/>
                              <w:szCs w:val="28"/>
                            </w:rPr>
                            <w:t>—</w:t>
                          </w:r>
                        </w:p>
                      </w:txbxContent>
                    </wps:txbx>
                    <wps:bodyPr rot="0" vert="horz" wrap="square" lIns="0" tIns="0" rIns="0" bIns="0" anchor="t" anchorCtr="0" upright="1">
                      <a:noAutofit/>
                    </wps:bodyPr>
                  </wps:wsp>
                </a:graphicData>
              </a:graphic>
            </wp:anchor>
          </w:drawing>
        </mc:Choice>
        <mc:Fallback>
          <w:pict>
            <v:shape id="文本框 28" o:spid="_x0000_s1026" o:spt="202" type="#_x0000_t202" style="position:absolute;left:0pt;margin-top:0pt;height:27.5pt;width:64.75pt;mso-position-horizontal:outside;mso-position-horizontal-relative:margin;z-index:251659264;mso-width-relative:page;mso-height-relative:page;" filled="f" stroked="f" coordsize="21600,21600" o:gfxdata="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miAc11AAAAAQBAAAPAAAAAAAAAAEA&#10;IAAAACIAAABkcnMvZG93bnJldi54bWxQSwECFAAUAAAACACHTuJA+v88FhMCAAATBAAADgAAAAAA&#10;AAABACAAAAAjAQAAZHJzL2Uyb0RvYy54bWxQSwUGAAAAAAYABgBZAQAAqAUAAAAA&#10;">
              <v:fill on="f" focussize="0,0"/>
              <v:stroke on="f"/>
              <v:imagedata o:title=""/>
              <o:lock v:ext="edit" aspectratio="f"/>
              <v:textbox inset="0mm,0mm,0mm,0mm">
                <w:txbxContent>
                  <w:p w14:paraId="26B125E3">
                    <w:pPr>
                      <w:pStyle w:val="9"/>
                      <w:rPr>
                        <w:rFonts w:ascii="宋体" w:hAnsi="宋体" w:cs="宋体"/>
                        <w:sz w:val="28"/>
                        <w:szCs w:val="28"/>
                      </w:rPr>
                    </w:pPr>
                    <w:r>
                      <w:rPr>
                        <w:rFonts w:hint="eastAsia" w:ascii="宋体" w:hAnsi="宋体" w:cs="宋体"/>
                        <w:sz w:val="28"/>
                        <w:szCs w:val="28"/>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8</w:t>
                    </w:r>
                    <w:r>
                      <w:rPr>
                        <w:sz w:val="28"/>
                        <w:szCs w:val="28"/>
                      </w:rPr>
                      <w:fldChar w:fldCharType="end"/>
                    </w:r>
                    <w:r>
                      <w:rPr>
                        <w:rFonts w:hint="eastAsia" w:ascii="宋体" w:hAnsi="宋体" w:cs="宋体"/>
                        <w:sz w:val="28"/>
                        <w:szCs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F764C">
    <w:pPr>
      <w:pStyle w:val="9"/>
      <w:ind w:right="141"/>
      <w:jc w:val="right"/>
      <w:rPr>
        <w:rFonts w:ascii="仿宋_GB2312" w:hAnsi="宋体" w:eastAsia="仿宋_GB2312"/>
        <w:caps/>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759460" cy="333375"/>
              <wp:effectExtent l="0" t="0" r="0" b="0"/>
              <wp:wrapNone/>
              <wp:docPr id="1" name="文本框 27"/>
              <wp:cNvGraphicFramePr/>
              <a:graphic xmlns:a="http://schemas.openxmlformats.org/drawingml/2006/main">
                <a:graphicData uri="http://schemas.microsoft.com/office/word/2010/wordprocessingShape">
                  <wps:wsp>
                    <wps:cNvSpPr txBox="1">
                      <a:spLocks noChangeArrowheads="1"/>
                    </wps:cNvSpPr>
                    <wps:spPr bwMode="auto">
                      <a:xfrm>
                        <a:off x="0" y="0"/>
                        <a:ext cx="759460" cy="333375"/>
                      </a:xfrm>
                      <a:prstGeom prst="rect">
                        <a:avLst/>
                      </a:prstGeom>
                      <a:noFill/>
                      <a:ln>
                        <a:noFill/>
                      </a:ln>
                      <a:effectLst/>
                    </wps:spPr>
                    <wps:txbx>
                      <w:txbxContent>
                        <w:p w14:paraId="607B9B90">
                          <w:pPr>
                            <w:pStyle w:val="9"/>
                            <w:jc w:val="center"/>
                            <w:rPr>
                              <w:rFonts w:ascii="宋体" w:hAnsi="宋体" w:cs="宋体"/>
                              <w:sz w:val="24"/>
                              <w:szCs w:val="24"/>
                            </w:rPr>
                          </w:pPr>
                          <w:r>
                            <w:rPr>
                              <w:rFonts w:ascii="宋体" w:hAnsi="宋体" w:cs="宋体"/>
                              <w:sz w:val="24"/>
                              <w:szCs w:val="24"/>
                            </w:rPr>
                            <w:fldChar w:fldCharType="begin"/>
                          </w:r>
                          <w:r>
                            <w:rPr>
                              <w:rFonts w:ascii="宋体" w:hAnsi="宋体" w:cs="宋体"/>
                              <w:sz w:val="24"/>
                              <w:szCs w:val="24"/>
                            </w:rPr>
                            <w:instrText xml:space="preserve"> PAGE  \* MERGEFORMAT </w:instrText>
                          </w:r>
                          <w:r>
                            <w:rPr>
                              <w:rFonts w:ascii="宋体" w:hAnsi="宋体" w:cs="宋体"/>
                              <w:sz w:val="24"/>
                              <w:szCs w:val="24"/>
                            </w:rPr>
                            <w:fldChar w:fldCharType="separate"/>
                          </w:r>
                          <w:r>
                            <w:rPr>
                              <w:rFonts w:ascii="宋体" w:hAnsi="宋体" w:cs="宋体"/>
                              <w:sz w:val="24"/>
                              <w:szCs w:val="24"/>
                            </w:rPr>
                            <w:t>1</w:t>
                          </w:r>
                          <w:r>
                            <w:rPr>
                              <w:rFonts w:ascii="宋体" w:hAnsi="宋体" w:cs="宋体"/>
                              <w:sz w:val="24"/>
                              <w:szCs w:val="24"/>
                            </w:rPr>
                            <w:fldChar w:fldCharType="end"/>
                          </w:r>
                        </w:p>
                      </w:txbxContent>
                    </wps:txbx>
                    <wps:bodyPr rot="0" vert="horz" wrap="square" lIns="0" tIns="0" rIns="0" bIns="0" anchor="t" anchorCtr="0" upright="1">
                      <a:noAutofit/>
                    </wps:bodyPr>
                  </wps:wsp>
                </a:graphicData>
              </a:graphic>
            </wp:anchor>
          </w:drawing>
        </mc:Choice>
        <mc:Fallback>
          <w:pict>
            <v:shape id="文本框 27" o:spid="_x0000_s1026" o:spt="202" type="#_x0000_t202" style="position:absolute;left:0pt;margin-top:0pt;height:26.25pt;width:59.8pt;mso-position-horizontal:center;mso-position-horizontal-relative:margin;z-index:251661312;mso-width-relative:page;mso-height-relative:page;" filled="f" stroked="f" coordsize="21600,21600" o:gfxdata="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IOVV/NQAAAAEAQAADwAAAAAAAAABACAA&#10;AAAiAAAAZHJzL2Rvd25yZXYueG1sUEsBAhQAFAAAAAgAh07iQPUGr/wRAgAAEwQAAA4AAAAAAAAA&#10;AQAgAAAAIwEAAGRycy9lMm9Eb2MueG1sUEsFBgAAAAAGAAYAWQEAAKYFAAAAAA==&#10;">
              <v:fill on="f" focussize="0,0"/>
              <v:stroke on="f"/>
              <v:imagedata o:title=""/>
              <o:lock v:ext="edit" aspectratio="f"/>
              <v:textbox inset="0mm,0mm,0mm,0mm">
                <w:txbxContent>
                  <w:p w14:paraId="607B9B90">
                    <w:pPr>
                      <w:pStyle w:val="9"/>
                      <w:jc w:val="center"/>
                      <w:rPr>
                        <w:rFonts w:ascii="宋体" w:hAnsi="宋体" w:cs="宋体"/>
                        <w:sz w:val="24"/>
                        <w:szCs w:val="24"/>
                      </w:rPr>
                    </w:pPr>
                    <w:r>
                      <w:rPr>
                        <w:rFonts w:ascii="宋体" w:hAnsi="宋体" w:cs="宋体"/>
                        <w:sz w:val="24"/>
                        <w:szCs w:val="24"/>
                      </w:rPr>
                      <w:fldChar w:fldCharType="begin"/>
                    </w:r>
                    <w:r>
                      <w:rPr>
                        <w:rFonts w:ascii="宋体" w:hAnsi="宋体" w:cs="宋体"/>
                        <w:sz w:val="24"/>
                        <w:szCs w:val="24"/>
                      </w:rPr>
                      <w:instrText xml:space="preserve"> PAGE  \* MERGEFORMAT </w:instrText>
                    </w:r>
                    <w:r>
                      <w:rPr>
                        <w:rFonts w:ascii="宋体" w:hAnsi="宋体" w:cs="宋体"/>
                        <w:sz w:val="24"/>
                        <w:szCs w:val="24"/>
                      </w:rPr>
                      <w:fldChar w:fldCharType="separate"/>
                    </w:r>
                    <w:r>
                      <w:rPr>
                        <w:rFonts w:ascii="宋体" w:hAnsi="宋体" w:cs="宋体"/>
                        <w:sz w:val="24"/>
                        <w:szCs w:val="24"/>
                      </w:rPr>
                      <w:t>1</w:t>
                    </w:r>
                    <w:r>
                      <w:rPr>
                        <w:rFonts w:ascii="宋体" w:hAnsi="宋体" w:cs="宋体"/>
                        <w:sz w:val="24"/>
                        <w:szCs w:val="24"/>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7F9F4">
    <w:pPr>
      <w:pStyle w:val="9"/>
      <w:ind w:right="141"/>
      <w:jc w:val="right"/>
      <w:rPr>
        <w:rFonts w:ascii="仿宋_GB2312" w:hAnsi="宋体" w:eastAsia="仿宋_GB2312"/>
        <w:caps/>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759460" cy="333375"/>
              <wp:effectExtent l="0" t="0" r="0" b="0"/>
              <wp:wrapNone/>
              <wp:docPr id="2" name="文本框 27"/>
              <wp:cNvGraphicFramePr/>
              <a:graphic xmlns:a="http://schemas.openxmlformats.org/drawingml/2006/main">
                <a:graphicData uri="http://schemas.microsoft.com/office/word/2010/wordprocessingShape">
                  <wps:wsp>
                    <wps:cNvSpPr txBox="1">
                      <a:spLocks noChangeArrowheads="1"/>
                    </wps:cNvSpPr>
                    <wps:spPr bwMode="auto">
                      <a:xfrm>
                        <a:off x="0" y="0"/>
                        <a:ext cx="759460" cy="333375"/>
                      </a:xfrm>
                      <a:prstGeom prst="rect">
                        <a:avLst/>
                      </a:prstGeom>
                      <a:noFill/>
                      <a:ln>
                        <a:noFill/>
                      </a:ln>
                      <a:effectLst/>
                    </wps:spPr>
                    <wps:txbx>
                      <w:txbxContent>
                        <w:p w14:paraId="7E62401C">
                          <w:pPr>
                            <w:pStyle w:val="9"/>
                            <w:jc w:val="center"/>
                            <w:rPr>
                              <w:rFonts w:ascii="宋体" w:hAnsi="宋体" w:cs="宋体"/>
                              <w:sz w:val="24"/>
                              <w:szCs w:val="24"/>
                            </w:rPr>
                          </w:pPr>
                          <w:r>
                            <w:rPr>
                              <w:rFonts w:ascii="宋体" w:hAnsi="宋体" w:cs="宋体"/>
                              <w:sz w:val="24"/>
                              <w:szCs w:val="24"/>
                            </w:rPr>
                            <w:fldChar w:fldCharType="begin"/>
                          </w:r>
                          <w:r>
                            <w:rPr>
                              <w:rFonts w:ascii="宋体" w:hAnsi="宋体" w:cs="宋体"/>
                              <w:sz w:val="24"/>
                              <w:szCs w:val="24"/>
                            </w:rPr>
                            <w:instrText xml:space="preserve"> PAGE  \* MERGEFORMAT </w:instrText>
                          </w:r>
                          <w:r>
                            <w:rPr>
                              <w:rFonts w:ascii="宋体" w:hAnsi="宋体" w:cs="宋体"/>
                              <w:sz w:val="24"/>
                              <w:szCs w:val="24"/>
                            </w:rPr>
                            <w:fldChar w:fldCharType="separate"/>
                          </w:r>
                          <w:r>
                            <w:rPr>
                              <w:rFonts w:ascii="宋体" w:hAnsi="宋体" w:cs="宋体"/>
                              <w:sz w:val="24"/>
                              <w:szCs w:val="24"/>
                            </w:rPr>
                            <w:t>I</w:t>
                          </w:r>
                          <w:r>
                            <w:rPr>
                              <w:rFonts w:ascii="宋体" w:hAnsi="宋体" w:cs="宋体"/>
                              <w:sz w:val="24"/>
                              <w:szCs w:val="24"/>
                            </w:rPr>
                            <w:fldChar w:fldCharType="end"/>
                          </w:r>
                        </w:p>
                      </w:txbxContent>
                    </wps:txbx>
                    <wps:bodyPr rot="0" vert="horz" wrap="square" lIns="0" tIns="0" rIns="0" bIns="0" anchor="t" anchorCtr="0" upright="1">
                      <a:noAutofit/>
                    </wps:bodyPr>
                  </wps:wsp>
                </a:graphicData>
              </a:graphic>
            </wp:anchor>
          </w:drawing>
        </mc:Choice>
        <mc:Fallback>
          <w:pict>
            <v:shape id="文本框 27" o:spid="_x0000_s1026" o:spt="202" type="#_x0000_t202" style="position:absolute;left:0pt;margin-top:0pt;height:26.25pt;width:59.8pt;mso-position-horizontal:center;mso-position-horizontal-relative:margin;z-index:251660288;mso-width-relative:page;mso-height-relative:page;" filled="f" stroked="f" coordsize="21600,21600" o:gfxdata="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DlVfzUAAAABAEAAA8AAAAAAAAAAQAg&#10;AAAAIgAAAGRycy9kb3ducmV2LnhtbFBLAQIUABQAAAAIAIdO4kA0rWKrEgIAABMEAAAOAAAAAAAA&#10;AAEAIAAAACMBAABkcnMvZTJvRG9jLnhtbFBLBQYAAAAABgAGAFkBAACnBQAAAAA=&#10;">
              <v:fill on="f" focussize="0,0"/>
              <v:stroke on="f"/>
              <v:imagedata o:title=""/>
              <o:lock v:ext="edit" aspectratio="f"/>
              <v:textbox inset="0mm,0mm,0mm,0mm">
                <w:txbxContent>
                  <w:p w14:paraId="7E62401C">
                    <w:pPr>
                      <w:pStyle w:val="9"/>
                      <w:jc w:val="center"/>
                      <w:rPr>
                        <w:rFonts w:ascii="宋体" w:hAnsi="宋体" w:cs="宋体"/>
                        <w:sz w:val="24"/>
                        <w:szCs w:val="24"/>
                      </w:rPr>
                    </w:pPr>
                    <w:r>
                      <w:rPr>
                        <w:rFonts w:ascii="宋体" w:hAnsi="宋体" w:cs="宋体"/>
                        <w:sz w:val="24"/>
                        <w:szCs w:val="24"/>
                      </w:rPr>
                      <w:fldChar w:fldCharType="begin"/>
                    </w:r>
                    <w:r>
                      <w:rPr>
                        <w:rFonts w:ascii="宋体" w:hAnsi="宋体" w:cs="宋体"/>
                        <w:sz w:val="24"/>
                        <w:szCs w:val="24"/>
                      </w:rPr>
                      <w:instrText xml:space="preserve"> PAGE  \* MERGEFORMAT </w:instrText>
                    </w:r>
                    <w:r>
                      <w:rPr>
                        <w:rFonts w:ascii="宋体" w:hAnsi="宋体" w:cs="宋体"/>
                        <w:sz w:val="24"/>
                        <w:szCs w:val="24"/>
                      </w:rPr>
                      <w:fldChar w:fldCharType="separate"/>
                    </w:r>
                    <w:r>
                      <w:rPr>
                        <w:rFonts w:ascii="宋体" w:hAnsi="宋体" w:cs="宋体"/>
                        <w:sz w:val="24"/>
                        <w:szCs w:val="24"/>
                      </w:rPr>
                      <w:t>I</w:t>
                    </w:r>
                    <w:r>
                      <w:rPr>
                        <w:rFonts w:ascii="宋体" w:hAnsi="宋体" w:cs="宋体"/>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BCAA0">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153E8">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795EFA"/>
    <w:rsid w:val="00017B03"/>
    <w:rsid w:val="00067AD4"/>
    <w:rsid w:val="00190D61"/>
    <w:rsid w:val="002C25F9"/>
    <w:rsid w:val="005E16A6"/>
    <w:rsid w:val="00641E35"/>
    <w:rsid w:val="00C52BB0"/>
    <w:rsid w:val="00D03DF1"/>
    <w:rsid w:val="015D1781"/>
    <w:rsid w:val="01BC3F75"/>
    <w:rsid w:val="01E66FA5"/>
    <w:rsid w:val="01E90B94"/>
    <w:rsid w:val="02220F4E"/>
    <w:rsid w:val="022573A2"/>
    <w:rsid w:val="028E57BD"/>
    <w:rsid w:val="02AF71FC"/>
    <w:rsid w:val="02D64182"/>
    <w:rsid w:val="02D802C7"/>
    <w:rsid w:val="03191368"/>
    <w:rsid w:val="032633D2"/>
    <w:rsid w:val="034B0F2A"/>
    <w:rsid w:val="039B791C"/>
    <w:rsid w:val="039C3694"/>
    <w:rsid w:val="03A569EC"/>
    <w:rsid w:val="03D84EC4"/>
    <w:rsid w:val="04195BCD"/>
    <w:rsid w:val="043C7BD5"/>
    <w:rsid w:val="045412A6"/>
    <w:rsid w:val="048A2949"/>
    <w:rsid w:val="048E35BB"/>
    <w:rsid w:val="049355B1"/>
    <w:rsid w:val="04B30C95"/>
    <w:rsid w:val="04BD6459"/>
    <w:rsid w:val="04C36455"/>
    <w:rsid w:val="04FF492E"/>
    <w:rsid w:val="056D5DF7"/>
    <w:rsid w:val="0572620E"/>
    <w:rsid w:val="05732322"/>
    <w:rsid w:val="05A43471"/>
    <w:rsid w:val="05DFB048"/>
    <w:rsid w:val="06604855"/>
    <w:rsid w:val="06621AE2"/>
    <w:rsid w:val="06BD03EE"/>
    <w:rsid w:val="06C4273B"/>
    <w:rsid w:val="06C66D61"/>
    <w:rsid w:val="06DC1896"/>
    <w:rsid w:val="075445D5"/>
    <w:rsid w:val="075727B7"/>
    <w:rsid w:val="07597420"/>
    <w:rsid w:val="079F680F"/>
    <w:rsid w:val="07B72AEE"/>
    <w:rsid w:val="07C37AB5"/>
    <w:rsid w:val="07CA581A"/>
    <w:rsid w:val="07F5763E"/>
    <w:rsid w:val="07FB4E2D"/>
    <w:rsid w:val="0811614D"/>
    <w:rsid w:val="0836501F"/>
    <w:rsid w:val="088E5226"/>
    <w:rsid w:val="08AE661B"/>
    <w:rsid w:val="08BA0261"/>
    <w:rsid w:val="093E69F7"/>
    <w:rsid w:val="09572537"/>
    <w:rsid w:val="097132BA"/>
    <w:rsid w:val="099E1F14"/>
    <w:rsid w:val="09C83435"/>
    <w:rsid w:val="0A0A6661"/>
    <w:rsid w:val="0A0B4EFF"/>
    <w:rsid w:val="0A49409B"/>
    <w:rsid w:val="0AA06F48"/>
    <w:rsid w:val="0ADA0F0C"/>
    <w:rsid w:val="0B4371C6"/>
    <w:rsid w:val="0B830782"/>
    <w:rsid w:val="0B896AC3"/>
    <w:rsid w:val="0B927856"/>
    <w:rsid w:val="0BDC250F"/>
    <w:rsid w:val="0BFE9C08"/>
    <w:rsid w:val="0C11515E"/>
    <w:rsid w:val="0CD83D59"/>
    <w:rsid w:val="0CE85866"/>
    <w:rsid w:val="0D104CF2"/>
    <w:rsid w:val="0D2B6233"/>
    <w:rsid w:val="0D576499"/>
    <w:rsid w:val="0D7A2F71"/>
    <w:rsid w:val="0DED2587"/>
    <w:rsid w:val="0E0C462A"/>
    <w:rsid w:val="0E100F06"/>
    <w:rsid w:val="0E1F0606"/>
    <w:rsid w:val="0E2B1B2F"/>
    <w:rsid w:val="0E2F523A"/>
    <w:rsid w:val="0E5E4367"/>
    <w:rsid w:val="0EB6726A"/>
    <w:rsid w:val="0EC822C9"/>
    <w:rsid w:val="0EDD528C"/>
    <w:rsid w:val="0EF525B5"/>
    <w:rsid w:val="0F811701"/>
    <w:rsid w:val="0FBA3985"/>
    <w:rsid w:val="0FBD130A"/>
    <w:rsid w:val="104B26C9"/>
    <w:rsid w:val="107E75C1"/>
    <w:rsid w:val="10B06A7B"/>
    <w:rsid w:val="10BB3C57"/>
    <w:rsid w:val="10CF32FA"/>
    <w:rsid w:val="11276C93"/>
    <w:rsid w:val="114A5E54"/>
    <w:rsid w:val="115672C0"/>
    <w:rsid w:val="11E91D0D"/>
    <w:rsid w:val="11F65E12"/>
    <w:rsid w:val="11FC9725"/>
    <w:rsid w:val="12351C00"/>
    <w:rsid w:val="12387767"/>
    <w:rsid w:val="125935EB"/>
    <w:rsid w:val="12F6255D"/>
    <w:rsid w:val="12FE1C44"/>
    <w:rsid w:val="130B5776"/>
    <w:rsid w:val="132A2A6A"/>
    <w:rsid w:val="13974D80"/>
    <w:rsid w:val="139A7A94"/>
    <w:rsid w:val="139B0169"/>
    <w:rsid w:val="13C14FFB"/>
    <w:rsid w:val="13ED39D6"/>
    <w:rsid w:val="14037EF4"/>
    <w:rsid w:val="145854BE"/>
    <w:rsid w:val="14D5276B"/>
    <w:rsid w:val="14D81B61"/>
    <w:rsid w:val="14D95470"/>
    <w:rsid w:val="1507662B"/>
    <w:rsid w:val="15152084"/>
    <w:rsid w:val="15202A0F"/>
    <w:rsid w:val="1564214C"/>
    <w:rsid w:val="15A720F8"/>
    <w:rsid w:val="15AF4F21"/>
    <w:rsid w:val="15B26580"/>
    <w:rsid w:val="16002C4E"/>
    <w:rsid w:val="160D2E92"/>
    <w:rsid w:val="162458F7"/>
    <w:rsid w:val="16A00573"/>
    <w:rsid w:val="16A91EF8"/>
    <w:rsid w:val="16CB5855"/>
    <w:rsid w:val="16F476DB"/>
    <w:rsid w:val="1711641B"/>
    <w:rsid w:val="173F1382"/>
    <w:rsid w:val="174662BC"/>
    <w:rsid w:val="174D31CB"/>
    <w:rsid w:val="17514A69"/>
    <w:rsid w:val="176E2E07"/>
    <w:rsid w:val="1787B525"/>
    <w:rsid w:val="17B0063C"/>
    <w:rsid w:val="17F847C2"/>
    <w:rsid w:val="18536E0E"/>
    <w:rsid w:val="18650586"/>
    <w:rsid w:val="18D11286"/>
    <w:rsid w:val="18D25736"/>
    <w:rsid w:val="1901601B"/>
    <w:rsid w:val="190C6BF0"/>
    <w:rsid w:val="191A7066"/>
    <w:rsid w:val="194B0F90"/>
    <w:rsid w:val="19684D7D"/>
    <w:rsid w:val="1976453B"/>
    <w:rsid w:val="19875F6F"/>
    <w:rsid w:val="198D1C48"/>
    <w:rsid w:val="1A057D8D"/>
    <w:rsid w:val="1A3F17BF"/>
    <w:rsid w:val="1A51371B"/>
    <w:rsid w:val="1A5713EF"/>
    <w:rsid w:val="1A807414"/>
    <w:rsid w:val="1A873CE0"/>
    <w:rsid w:val="1AAD29D6"/>
    <w:rsid w:val="1B020ED0"/>
    <w:rsid w:val="1B19232D"/>
    <w:rsid w:val="1B3A3153"/>
    <w:rsid w:val="1B4B99B6"/>
    <w:rsid w:val="1B5A624A"/>
    <w:rsid w:val="1B5D1884"/>
    <w:rsid w:val="1B6D259D"/>
    <w:rsid w:val="1B8D1DE8"/>
    <w:rsid w:val="1B935B13"/>
    <w:rsid w:val="1BD4021E"/>
    <w:rsid w:val="1BD50639"/>
    <w:rsid w:val="1BE539D2"/>
    <w:rsid w:val="1BEEC195"/>
    <w:rsid w:val="1C142509"/>
    <w:rsid w:val="1C3925D4"/>
    <w:rsid w:val="1CA8319C"/>
    <w:rsid w:val="1CAF6B8A"/>
    <w:rsid w:val="1CFC5477"/>
    <w:rsid w:val="1CFFF4EB"/>
    <w:rsid w:val="1D177B04"/>
    <w:rsid w:val="1D3AAB22"/>
    <w:rsid w:val="1D5CD844"/>
    <w:rsid w:val="1D6170C3"/>
    <w:rsid w:val="1D7CD024"/>
    <w:rsid w:val="1DA022A7"/>
    <w:rsid w:val="1DE109CF"/>
    <w:rsid w:val="1DF5EF6E"/>
    <w:rsid w:val="1DFB072F"/>
    <w:rsid w:val="1DFF690C"/>
    <w:rsid w:val="1E6D7301"/>
    <w:rsid w:val="1E71779F"/>
    <w:rsid w:val="1EA24882"/>
    <w:rsid w:val="1EEA00D5"/>
    <w:rsid w:val="1F142A1E"/>
    <w:rsid w:val="1F1505CA"/>
    <w:rsid w:val="1F347B7A"/>
    <w:rsid w:val="1F5726A4"/>
    <w:rsid w:val="1F7C464D"/>
    <w:rsid w:val="1F7E8D7C"/>
    <w:rsid w:val="1FA95965"/>
    <w:rsid w:val="1FCF7AC7"/>
    <w:rsid w:val="1FD72663"/>
    <w:rsid w:val="1FEB1F4D"/>
    <w:rsid w:val="1FEE1E73"/>
    <w:rsid w:val="1FFE5062"/>
    <w:rsid w:val="1FFF2641"/>
    <w:rsid w:val="200776B4"/>
    <w:rsid w:val="200B3309"/>
    <w:rsid w:val="20156721"/>
    <w:rsid w:val="207B4905"/>
    <w:rsid w:val="212A67B6"/>
    <w:rsid w:val="212D7737"/>
    <w:rsid w:val="21447EF6"/>
    <w:rsid w:val="2164183D"/>
    <w:rsid w:val="21663431"/>
    <w:rsid w:val="217C6D7A"/>
    <w:rsid w:val="219C2D85"/>
    <w:rsid w:val="21B4303B"/>
    <w:rsid w:val="22066B50"/>
    <w:rsid w:val="22477195"/>
    <w:rsid w:val="22795C9B"/>
    <w:rsid w:val="229E7213"/>
    <w:rsid w:val="22A961CB"/>
    <w:rsid w:val="22D7213E"/>
    <w:rsid w:val="22E948D4"/>
    <w:rsid w:val="230746C7"/>
    <w:rsid w:val="23076527"/>
    <w:rsid w:val="23507EC1"/>
    <w:rsid w:val="2379742A"/>
    <w:rsid w:val="23BF2D5B"/>
    <w:rsid w:val="23D34E16"/>
    <w:rsid w:val="23FC65DD"/>
    <w:rsid w:val="23FF1153"/>
    <w:rsid w:val="24181DFE"/>
    <w:rsid w:val="241F04C6"/>
    <w:rsid w:val="242B03F0"/>
    <w:rsid w:val="2483647E"/>
    <w:rsid w:val="249A2142"/>
    <w:rsid w:val="24A54462"/>
    <w:rsid w:val="251D184D"/>
    <w:rsid w:val="25683D07"/>
    <w:rsid w:val="25904CB3"/>
    <w:rsid w:val="25C14C9E"/>
    <w:rsid w:val="26387369"/>
    <w:rsid w:val="2641214D"/>
    <w:rsid w:val="266063A6"/>
    <w:rsid w:val="266D19B4"/>
    <w:rsid w:val="267FF74C"/>
    <w:rsid w:val="268C6B2B"/>
    <w:rsid w:val="26D365F5"/>
    <w:rsid w:val="2777635B"/>
    <w:rsid w:val="279E01DC"/>
    <w:rsid w:val="27F7CA6D"/>
    <w:rsid w:val="27FB76BF"/>
    <w:rsid w:val="281C087A"/>
    <w:rsid w:val="28440A48"/>
    <w:rsid w:val="286933AD"/>
    <w:rsid w:val="28AF40E1"/>
    <w:rsid w:val="28CB21A2"/>
    <w:rsid w:val="28E444C1"/>
    <w:rsid w:val="2923041F"/>
    <w:rsid w:val="29246C8C"/>
    <w:rsid w:val="29416E62"/>
    <w:rsid w:val="295E14E7"/>
    <w:rsid w:val="29894875"/>
    <w:rsid w:val="2996630C"/>
    <w:rsid w:val="299E4E75"/>
    <w:rsid w:val="29C17B90"/>
    <w:rsid w:val="2A0B4DE7"/>
    <w:rsid w:val="2A3A7BC7"/>
    <w:rsid w:val="2A4A104D"/>
    <w:rsid w:val="2AA30693"/>
    <w:rsid w:val="2ABE3D6C"/>
    <w:rsid w:val="2ACD477C"/>
    <w:rsid w:val="2AED3CFA"/>
    <w:rsid w:val="2B5C79C6"/>
    <w:rsid w:val="2B754ED7"/>
    <w:rsid w:val="2B7E50A1"/>
    <w:rsid w:val="2BA7222F"/>
    <w:rsid w:val="2BCD3D3C"/>
    <w:rsid w:val="2BD31A99"/>
    <w:rsid w:val="2BFA9F60"/>
    <w:rsid w:val="2BFD9B00"/>
    <w:rsid w:val="2C1A677B"/>
    <w:rsid w:val="2C3A4D65"/>
    <w:rsid w:val="2C795EFA"/>
    <w:rsid w:val="2C7D444A"/>
    <w:rsid w:val="2CCE2CDD"/>
    <w:rsid w:val="2CE07041"/>
    <w:rsid w:val="2CF8697D"/>
    <w:rsid w:val="2D7A7F72"/>
    <w:rsid w:val="2D9456C5"/>
    <w:rsid w:val="2DBFE7D7"/>
    <w:rsid w:val="2DD95184"/>
    <w:rsid w:val="2DF367F5"/>
    <w:rsid w:val="2E317C25"/>
    <w:rsid w:val="2E7A7DA2"/>
    <w:rsid w:val="2EDE43C2"/>
    <w:rsid w:val="2EF22236"/>
    <w:rsid w:val="2EF746DE"/>
    <w:rsid w:val="2F006530"/>
    <w:rsid w:val="2F1F779E"/>
    <w:rsid w:val="2F2463FC"/>
    <w:rsid w:val="2F2F563B"/>
    <w:rsid w:val="2F345960"/>
    <w:rsid w:val="2FBF61D2"/>
    <w:rsid w:val="2FD609D6"/>
    <w:rsid w:val="2FDF7015"/>
    <w:rsid w:val="2FEF6776"/>
    <w:rsid w:val="2FF450B9"/>
    <w:rsid w:val="2FF7707D"/>
    <w:rsid w:val="2FFBA174"/>
    <w:rsid w:val="2FFF8750"/>
    <w:rsid w:val="2FFFEBB0"/>
    <w:rsid w:val="2FFFFE3F"/>
    <w:rsid w:val="3062163D"/>
    <w:rsid w:val="307F3F9D"/>
    <w:rsid w:val="30D54123"/>
    <w:rsid w:val="30E3379D"/>
    <w:rsid w:val="310223BE"/>
    <w:rsid w:val="31064DE5"/>
    <w:rsid w:val="313F2F39"/>
    <w:rsid w:val="31692558"/>
    <w:rsid w:val="318AD7C4"/>
    <w:rsid w:val="319A6A0F"/>
    <w:rsid w:val="31B929D5"/>
    <w:rsid w:val="32383B31"/>
    <w:rsid w:val="323F66A6"/>
    <w:rsid w:val="325F454D"/>
    <w:rsid w:val="333FF3F4"/>
    <w:rsid w:val="33613E36"/>
    <w:rsid w:val="337B4EF0"/>
    <w:rsid w:val="33941A2F"/>
    <w:rsid w:val="33A53D1B"/>
    <w:rsid w:val="33AA4F86"/>
    <w:rsid w:val="33AD2BD0"/>
    <w:rsid w:val="33BC7378"/>
    <w:rsid w:val="33E10ACB"/>
    <w:rsid w:val="33EAB8C1"/>
    <w:rsid w:val="33F2213D"/>
    <w:rsid w:val="34060532"/>
    <w:rsid w:val="34B6005F"/>
    <w:rsid w:val="34CC6AF3"/>
    <w:rsid w:val="34D523DE"/>
    <w:rsid w:val="34F602B3"/>
    <w:rsid w:val="34FE331C"/>
    <w:rsid w:val="3524244F"/>
    <w:rsid w:val="35527ED3"/>
    <w:rsid w:val="35BF2E22"/>
    <w:rsid w:val="35D271A0"/>
    <w:rsid w:val="35F03248"/>
    <w:rsid w:val="35F38F8D"/>
    <w:rsid w:val="36020BFC"/>
    <w:rsid w:val="362458FD"/>
    <w:rsid w:val="369F4A44"/>
    <w:rsid w:val="36BB6F01"/>
    <w:rsid w:val="36CC23E5"/>
    <w:rsid w:val="36FC769C"/>
    <w:rsid w:val="373B7170"/>
    <w:rsid w:val="377537E9"/>
    <w:rsid w:val="3777FBE6"/>
    <w:rsid w:val="37924E96"/>
    <w:rsid w:val="37BD52DE"/>
    <w:rsid w:val="37D48B03"/>
    <w:rsid w:val="37DB3EFE"/>
    <w:rsid w:val="37F708BD"/>
    <w:rsid w:val="37FF9AC8"/>
    <w:rsid w:val="381C38F3"/>
    <w:rsid w:val="383705E1"/>
    <w:rsid w:val="383F45D6"/>
    <w:rsid w:val="38635F53"/>
    <w:rsid w:val="38653A79"/>
    <w:rsid w:val="386F49CC"/>
    <w:rsid w:val="3876569B"/>
    <w:rsid w:val="38EF24F3"/>
    <w:rsid w:val="38F920DB"/>
    <w:rsid w:val="391C28FC"/>
    <w:rsid w:val="394FA3A5"/>
    <w:rsid w:val="3970274A"/>
    <w:rsid w:val="39B308B6"/>
    <w:rsid w:val="39D77173"/>
    <w:rsid w:val="39DD52FC"/>
    <w:rsid w:val="3A1F37E7"/>
    <w:rsid w:val="3A3758E9"/>
    <w:rsid w:val="3A433637"/>
    <w:rsid w:val="3A4D665F"/>
    <w:rsid w:val="3A541FF7"/>
    <w:rsid w:val="3A651427"/>
    <w:rsid w:val="3A6F64B9"/>
    <w:rsid w:val="3A83350C"/>
    <w:rsid w:val="3ABF428B"/>
    <w:rsid w:val="3AC508EE"/>
    <w:rsid w:val="3B0D46AD"/>
    <w:rsid w:val="3B102C79"/>
    <w:rsid w:val="3B257458"/>
    <w:rsid w:val="3B370BEA"/>
    <w:rsid w:val="3B4F46C3"/>
    <w:rsid w:val="3B754F3A"/>
    <w:rsid w:val="3B79D1E1"/>
    <w:rsid w:val="3BB37EF1"/>
    <w:rsid w:val="3BD9AF93"/>
    <w:rsid w:val="3BF562C3"/>
    <w:rsid w:val="3BFBBD7E"/>
    <w:rsid w:val="3BFBC42F"/>
    <w:rsid w:val="3BFE3525"/>
    <w:rsid w:val="3BFF6BA6"/>
    <w:rsid w:val="3BFFBD50"/>
    <w:rsid w:val="3C170D72"/>
    <w:rsid w:val="3C1F3BDE"/>
    <w:rsid w:val="3C241E9D"/>
    <w:rsid w:val="3C295E39"/>
    <w:rsid w:val="3C2B5872"/>
    <w:rsid w:val="3C556A59"/>
    <w:rsid w:val="3C7FD5E2"/>
    <w:rsid w:val="3C8F60F1"/>
    <w:rsid w:val="3CB52527"/>
    <w:rsid w:val="3CB60D23"/>
    <w:rsid w:val="3CDB7D30"/>
    <w:rsid w:val="3CE60F00"/>
    <w:rsid w:val="3D24777C"/>
    <w:rsid w:val="3D2D7F38"/>
    <w:rsid w:val="3D597C57"/>
    <w:rsid w:val="3D5A2CB5"/>
    <w:rsid w:val="3D631F35"/>
    <w:rsid w:val="3D6BDA3C"/>
    <w:rsid w:val="3D7E2C90"/>
    <w:rsid w:val="3DB666C3"/>
    <w:rsid w:val="3DC7BE68"/>
    <w:rsid w:val="3E0F21A1"/>
    <w:rsid w:val="3E3EA76B"/>
    <w:rsid w:val="3E442382"/>
    <w:rsid w:val="3E703F68"/>
    <w:rsid w:val="3E753F79"/>
    <w:rsid w:val="3E761888"/>
    <w:rsid w:val="3E76A143"/>
    <w:rsid w:val="3E7B84DD"/>
    <w:rsid w:val="3EAD7F28"/>
    <w:rsid w:val="3EBF2A3E"/>
    <w:rsid w:val="3EC76AFC"/>
    <w:rsid w:val="3EC86D8A"/>
    <w:rsid w:val="3EEF39F6"/>
    <w:rsid w:val="3EFCC34B"/>
    <w:rsid w:val="3EFFB33F"/>
    <w:rsid w:val="3EFFC395"/>
    <w:rsid w:val="3F054E32"/>
    <w:rsid w:val="3F056439"/>
    <w:rsid w:val="3F236ED6"/>
    <w:rsid w:val="3F3FBCC0"/>
    <w:rsid w:val="3F4C7741"/>
    <w:rsid w:val="3F4F9A74"/>
    <w:rsid w:val="3F5D36FC"/>
    <w:rsid w:val="3F6ED135"/>
    <w:rsid w:val="3F75934B"/>
    <w:rsid w:val="3F7D21D6"/>
    <w:rsid w:val="3F7D2A11"/>
    <w:rsid w:val="3FA0183A"/>
    <w:rsid w:val="3FA7F7B2"/>
    <w:rsid w:val="3FBB5E94"/>
    <w:rsid w:val="3FD16214"/>
    <w:rsid w:val="3FD70C3C"/>
    <w:rsid w:val="3FDD2A3B"/>
    <w:rsid w:val="3FF36698"/>
    <w:rsid w:val="3FF7AA89"/>
    <w:rsid w:val="3FFB486F"/>
    <w:rsid w:val="3FFB6E9C"/>
    <w:rsid w:val="3FFE92B9"/>
    <w:rsid w:val="3FFF1DC2"/>
    <w:rsid w:val="3FFF44D1"/>
    <w:rsid w:val="3FFF811F"/>
    <w:rsid w:val="3FFF9295"/>
    <w:rsid w:val="400B3158"/>
    <w:rsid w:val="40110BD6"/>
    <w:rsid w:val="40135630"/>
    <w:rsid w:val="401425E3"/>
    <w:rsid w:val="40414202"/>
    <w:rsid w:val="409C5A05"/>
    <w:rsid w:val="40CC0655"/>
    <w:rsid w:val="40CF4467"/>
    <w:rsid w:val="40EA33E2"/>
    <w:rsid w:val="41022BBA"/>
    <w:rsid w:val="41390199"/>
    <w:rsid w:val="41696778"/>
    <w:rsid w:val="419158DF"/>
    <w:rsid w:val="41BA3575"/>
    <w:rsid w:val="41F878E7"/>
    <w:rsid w:val="424010B3"/>
    <w:rsid w:val="43126358"/>
    <w:rsid w:val="433E465F"/>
    <w:rsid w:val="435A6DBF"/>
    <w:rsid w:val="4378161D"/>
    <w:rsid w:val="43782303"/>
    <w:rsid w:val="439C7F3D"/>
    <w:rsid w:val="43CA545D"/>
    <w:rsid w:val="43CC0E50"/>
    <w:rsid w:val="43CC3C20"/>
    <w:rsid w:val="43E66BA5"/>
    <w:rsid w:val="440F2C2A"/>
    <w:rsid w:val="44332C7D"/>
    <w:rsid w:val="44367154"/>
    <w:rsid w:val="443D3388"/>
    <w:rsid w:val="44D15602"/>
    <w:rsid w:val="44FD118A"/>
    <w:rsid w:val="459C2AA4"/>
    <w:rsid w:val="45A13A55"/>
    <w:rsid w:val="45B63B66"/>
    <w:rsid w:val="45CDF132"/>
    <w:rsid w:val="463B4096"/>
    <w:rsid w:val="46552291"/>
    <w:rsid w:val="46886011"/>
    <w:rsid w:val="46985C81"/>
    <w:rsid w:val="46AA20FD"/>
    <w:rsid w:val="46CA5A81"/>
    <w:rsid w:val="473C7914"/>
    <w:rsid w:val="474F23B1"/>
    <w:rsid w:val="47546A66"/>
    <w:rsid w:val="475C3ADB"/>
    <w:rsid w:val="477C1E9A"/>
    <w:rsid w:val="477E357C"/>
    <w:rsid w:val="477E5C64"/>
    <w:rsid w:val="478168DD"/>
    <w:rsid w:val="47841A42"/>
    <w:rsid w:val="4795EB58"/>
    <w:rsid w:val="47B75748"/>
    <w:rsid w:val="47B7E063"/>
    <w:rsid w:val="47D54A2F"/>
    <w:rsid w:val="47DC362C"/>
    <w:rsid w:val="48013DC2"/>
    <w:rsid w:val="480A0199"/>
    <w:rsid w:val="480B22C6"/>
    <w:rsid w:val="481215C3"/>
    <w:rsid w:val="489454FE"/>
    <w:rsid w:val="48B63D37"/>
    <w:rsid w:val="48D531A2"/>
    <w:rsid w:val="48D67DC7"/>
    <w:rsid w:val="4923660B"/>
    <w:rsid w:val="49963188"/>
    <w:rsid w:val="49FE4AAC"/>
    <w:rsid w:val="49FEF848"/>
    <w:rsid w:val="4A0B4729"/>
    <w:rsid w:val="4A1A302A"/>
    <w:rsid w:val="4A336CEB"/>
    <w:rsid w:val="4A801613"/>
    <w:rsid w:val="4A9139CD"/>
    <w:rsid w:val="4AA85E1F"/>
    <w:rsid w:val="4B2C0008"/>
    <w:rsid w:val="4B3A3719"/>
    <w:rsid w:val="4B49722A"/>
    <w:rsid w:val="4BB46E35"/>
    <w:rsid w:val="4BC95F79"/>
    <w:rsid w:val="4BE10066"/>
    <w:rsid w:val="4C671F2C"/>
    <w:rsid w:val="4C79408D"/>
    <w:rsid w:val="4D14292F"/>
    <w:rsid w:val="4D297313"/>
    <w:rsid w:val="4D306140"/>
    <w:rsid w:val="4D4402E5"/>
    <w:rsid w:val="4D4667F9"/>
    <w:rsid w:val="4D5694CA"/>
    <w:rsid w:val="4D66DDBF"/>
    <w:rsid w:val="4D797088"/>
    <w:rsid w:val="4D97F0E9"/>
    <w:rsid w:val="4DA155CD"/>
    <w:rsid w:val="4DCD944F"/>
    <w:rsid w:val="4DDA060D"/>
    <w:rsid w:val="4DFF1946"/>
    <w:rsid w:val="4E313360"/>
    <w:rsid w:val="4E41243B"/>
    <w:rsid w:val="4E7C1E32"/>
    <w:rsid w:val="4E816CDB"/>
    <w:rsid w:val="4EAC3D12"/>
    <w:rsid w:val="4ECD2A57"/>
    <w:rsid w:val="4EDE0E7A"/>
    <w:rsid w:val="4EE43DDE"/>
    <w:rsid w:val="4EED4FB0"/>
    <w:rsid w:val="4EFD2A32"/>
    <w:rsid w:val="4EFD584B"/>
    <w:rsid w:val="4F286C6E"/>
    <w:rsid w:val="4F360182"/>
    <w:rsid w:val="4F442CA7"/>
    <w:rsid w:val="4F4D6C1B"/>
    <w:rsid w:val="4F7505EE"/>
    <w:rsid w:val="4F7F2BEB"/>
    <w:rsid w:val="4F9C5145"/>
    <w:rsid w:val="4FEF087B"/>
    <w:rsid w:val="4FFA6D45"/>
    <w:rsid w:val="4FFDB13B"/>
    <w:rsid w:val="4FFFDCAB"/>
    <w:rsid w:val="501E27F5"/>
    <w:rsid w:val="505B3CE6"/>
    <w:rsid w:val="509777D4"/>
    <w:rsid w:val="50AB0BC3"/>
    <w:rsid w:val="50AC15CC"/>
    <w:rsid w:val="50B2212D"/>
    <w:rsid w:val="50D93C5C"/>
    <w:rsid w:val="50DF4353"/>
    <w:rsid w:val="50F0492E"/>
    <w:rsid w:val="50F47C38"/>
    <w:rsid w:val="51053BF3"/>
    <w:rsid w:val="517537C1"/>
    <w:rsid w:val="518124A6"/>
    <w:rsid w:val="51E710E2"/>
    <w:rsid w:val="52481FEA"/>
    <w:rsid w:val="52485263"/>
    <w:rsid w:val="52E93011"/>
    <w:rsid w:val="5339476F"/>
    <w:rsid w:val="533B7DA0"/>
    <w:rsid w:val="534722A1"/>
    <w:rsid w:val="538B4CE0"/>
    <w:rsid w:val="5394BA6D"/>
    <w:rsid w:val="53A20F6D"/>
    <w:rsid w:val="53C91EA0"/>
    <w:rsid w:val="53D44435"/>
    <w:rsid w:val="53DB0C3B"/>
    <w:rsid w:val="53F12BA0"/>
    <w:rsid w:val="53FA37B7"/>
    <w:rsid w:val="53FACA6A"/>
    <w:rsid w:val="54103BF9"/>
    <w:rsid w:val="541325FF"/>
    <w:rsid w:val="54514662"/>
    <w:rsid w:val="54560259"/>
    <w:rsid w:val="54646E83"/>
    <w:rsid w:val="54710DED"/>
    <w:rsid w:val="54AB647D"/>
    <w:rsid w:val="54AD25D8"/>
    <w:rsid w:val="54E03E26"/>
    <w:rsid w:val="5513571D"/>
    <w:rsid w:val="554037A1"/>
    <w:rsid w:val="55874162"/>
    <w:rsid w:val="558F27D5"/>
    <w:rsid w:val="559E4AF4"/>
    <w:rsid w:val="559F2C3D"/>
    <w:rsid w:val="55E4F163"/>
    <w:rsid w:val="56043B66"/>
    <w:rsid w:val="56125DA3"/>
    <w:rsid w:val="5669DC6A"/>
    <w:rsid w:val="567468E6"/>
    <w:rsid w:val="56946033"/>
    <w:rsid w:val="56AA58BB"/>
    <w:rsid w:val="56DC71A4"/>
    <w:rsid w:val="56DE2F1C"/>
    <w:rsid w:val="56FF30AD"/>
    <w:rsid w:val="571736FA"/>
    <w:rsid w:val="57211C36"/>
    <w:rsid w:val="57800B28"/>
    <w:rsid w:val="57AD5AED"/>
    <w:rsid w:val="57E035B9"/>
    <w:rsid w:val="57E7E6C0"/>
    <w:rsid w:val="57EFA768"/>
    <w:rsid w:val="57FBD01A"/>
    <w:rsid w:val="57FFE029"/>
    <w:rsid w:val="580F4197"/>
    <w:rsid w:val="584C0E85"/>
    <w:rsid w:val="58623F85"/>
    <w:rsid w:val="58662342"/>
    <w:rsid w:val="587941B5"/>
    <w:rsid w:val="58C87EE4"/>
    <w:rsid w:val="58D10713"/>
    <w:rsid w:val="58D26C86"/>
    <w:rsid w:val="59030B09"/>
    <w:rsid w:val="594071DD"/>
    <w:rsid w:val="595B6681"/>
    <w:rsid w:val="5966404A"/>
    <w:rsid w:val="597D0C6F"/>
    <w:rsid w:val="599E2B07"/>
    <w:rsid w:val="59A95705"/>
    <w:rsid w:val="59EE5177"/>
    <w:rsid w:val="59F9437B"/>
    <w:rsid w:val="59FB7C72"/>
    <w:rsid w:val="5A5F51D6"/>
    <w:rsid w:val="5A6E4E28"/>
    <w:rsid w:val="5ACA3B43"/>
    <w:rsid w:val="5AD07876"/>
    <w:rsid w:val="5AF834CB"/>
    <w:rsid w:val="5B3DA5B6"/>
    <w:rsid w:val="5B795460"/>
    <w:rsid w:val="5B7F2A41"/>
    <w:rsid w:val="5B7FB703"/>
    <w:rsid w:val="5B8C1E41"/>
    <w:rsid w:val="5BBEA658"/>
    <w:rsid w:val="5BD40D92"/>
    <w:rsid w:val="5BE213BF"/>
    <w:rsid w:val="5BFF52F7"/>
    <w:rsid w:val="5C1271C4"/>
    <w:rsid w:val="5CAC1F18"/>
    <w:rsid w:val="5CBF9A5E"/>
    <w:rsid w:val="5CEE212D"/>
    <w:rsid w:val="5D3A4C25"/>
    <w:rsid w:val="5D576C2F"/>
    <w:rsid w:val="5D5914B5"/>
    <w:rsid w:val="5D77C218"/>
    <w:rsid w:val="5D7918EB"/>
    <w:rsid w:val="5DB65C4E"/>
    <w:rsid w:val="5DB6A608"/>
    <w:rsid w:val="5DBDAD4B"/>
    <w:rsid w:val="5DFB3917"/>
    <w:rsid w:val="5DFD0510"/>
    <w:rsid w:val="5E3736A2"/>
    <w:rsid w:val="5E537C69"/>
    <w:rsid w:val="5E785A05"/>
    <w:rsid w:val="5E802B0B"/>
    <w:rsid w:val="5E8F1DCC"/>
    <w:rsid w:val="5EBBEDA5"/>
    <w:rsid w:val="5EC21DDC"/>
    <w:rsid w:val="5EE508BE"/>
    <w:rsid w:val="5F30008D"/>
    <w:rsid w:val="5F5472EC"/>
    <w:rsid w:val="5F5F46B4"/>
    <w:rsid w:val="5F5FD0DB"/>
    <w:rsid w:val="5F723CB9"/>
    <w:rsid w:val="5F75280D"/>
    <w:rsid w:val="5F7A8D2A"/>
    <w:rsid w:val="5F7B5BB7"/>
    <w:rsid w:val="5F957046"/>
    <w:rsid w:val="5F9D7DA8"/>
    <w:rsid w:val="5FA3950C"/>
    <w:rsid w:val="5FA55816"/>
    <w:rsid w:val="5FA81C1F"/>
    <w:rsid w:val="5FB92779"/>
    <w:rsid w:val="5FBF036A"/>
    <w:rsid w:val="5FBF4184"/>
    <w:rsid w:val="5FCFD4C8"/>
    <w:rsid w:val="5FDB7A68"/>
    <w:rsid w:val="5FDFC302"/>
    <w:rsid w:val="5FED31A7"/>
    <w:rsid w:val="5FEFF064"/>
    <w:rsid w:val="5FF5F2B2"/>
    <w:rsid w:val="5FF70FB0"/>
    <w:rsid w:val="5FF71722"/>
    <w:rsid w:val="5FF9BE17"/>
    <w:rsid w:val="5FFABB31"/>
    <w:rsid w:val="5FFF6F67"/>
    <w:rsid w:val="60025ECE"/>
    <w:rsid w:val="60235E44"/>
    <w:rsid w:val="602821CF"/>
    <w:rsid w:val="60600615"/>
    <w:rsid w:val="60B52778"/>
    <w:rsid w:val="60D61EA8"/>
    <w:rsid w:val="60F74AC1"/>
    <w:rsid w:val="60FE0EC7"/>
    <w:rsid w:val="615A7643"/>
    <w:rsid w:val="61626793"/>
    <w:rsid w:val="61BB5D64"/>
    <w:rsid w:val="622E264B"/>
    <w:rsid w:val="62506912"/>
    <w:rsid w:val="62662A7E"/>
    <w:rsid w:val="628030DA"/>
    <w:rsid w:val="628568C9"/>
    <w:rsid w:val="62A55DE6"/>
    <w:rsid w:val="62CF6C2B"/>
    <w:rsid w:val="62F64C9D"/>
    <w:rsid w:val="62F72C79"/>
    <w:rsid w:val="6324615B"/>
    <w:rsid w:val="633E42B7"/>
    <w:rsid w:val="638F4F90"/>
    <w:rsid w:val="63B86D37"/>
    <w:rsid w:val="63DB7DA5"/>
    <w:rsid w:val="63F20007"/>
    <w:rsid w:val="63FFA3B2"/>
    <w:rsid w:val="64094EEC"/>
    <w:rsid w:val="640D6BEF"/>
    <w:rsid w:val="648669A1"/>
    <w:rsid w:val="649C2A5F"/>
    <w:rsid w:val="649F594C"/>
    <w:rsid w:val="64AD2695"/>
    <w:rsid w:val="64C4441F"/>
    <w:rsid w:val="64F102BF"/>
    <w:rsid w:val="64FD4F3A"/>
    <w:rsid w:val="650F03E6"/>
    <w:rsid w:val="65544D07"/>
    <w:rsid w:val="65627A70"/>
    <w:rsid w:val="658B6451"/>
    <w:rsid w:val="65B00D44"/>
    <w:rsid w:val="65CC4888"/>
    <w:rsid w:val="65FFB772"/>
    <w:rsid w:val="661E50E3"/>
    <w:rsid w:val="662013D8"/>
    <w:rsid w:val="662B15AE"/>
    <w:rsid w:val="6650370B"/>
    <w:rsid w:val="666F733A"/>
    <w:rsid w:val="66A228D5"/>
    <w:rsid w:val="66F127F8"/>
    <w:rsid w:val="66F84DF6"/>
    <w:rsid w:val="671B6B9B"/>
    <w:rsid w:val="672DF744"/>
    <w:rsid w:val="672E4C37"/>
    <w:rsid w:val="6740444E"/>
    <w:rsid w:val="677D70E2"/>
    <w:rsid w:val="679FA29E"/>
    <w:rsid w:val="67A2246C"/>
    <w:rsid w:val="67A75FB9"/>
    <w:rsid w:val="67B7E1E2"/>
    <w:rsid w:val="67BF46A4"/>
    <w:rsid w:val="67DE022F"/>
    <w:rsid w:val="683B1CF8"/>
    <w:rsid w:val="68720C4B"/>
    <w:rsid w:val="68C06953"/>
    <w:rsid w:val="68CF2E33"/>
    <w:rsid w:val="694766FF"/>
    <w:rsid w:val="697B1F32"/>
    <w:rsid w:val="698B219B"/>
    <w:rsid w:val="699F653B"/>
    <w:rsid w:val="69E44896"/>
    <w:rsid w:val="69FFF14A"/>
    <w:rsid w:val="6A1A6729"/>
    <w:rsid w:val="6A7A2086"/>
    <w:rsid w:val="6A7F3651"/>
    <w:rsid w:val="6A8162A2"/>
    <w:rsid w:val="6A985B8A"/>
    <w:rsid w:val="6A9B0BD4"/>
    <w:rsid w:val="6ABA54A4"/>
    <w:rsid w:val="6AC25DB6"/>
    <w:rsid w:val="6AD0792E"/>
    <w:rsid w:val="6AD166E0"/>
    <w:rsid w:val="6ADE8782"/>
    <w:rsid w:val="6B0C0621"/>
    <w:rsid w:val="6B323B81"/>
    <w:rsid w:val="6B58706A"/>
    <w:rsid w:val="6B6A30F9"/>
    <w:rsid w:val="6B79BF3F"/>
    <w:rsid w:val="6B8B79FD"/>
    <w:rsid w:val="6B9B5A9A"/>
    <w:rsid w:val="6B9B7DB6"/>
    <w:rsid w:val="6BA529CA"/>
    <w:rsid w:val="6BB224EF"/>
    <w:rsid w:val="6BBB337D"/>
    <w:rsid w:val="6BF437E6"/>
    <w:rsid w:val="6BF81F0B"/>
    <w:rsid w:val="6BFE5370"/>
    <w:rsid w:val="6C04142F"/>
    <w:rsid w:val="6C1D408F"/>
    <w:rsid w:val="6C6A34AE"/>
    <w:rsid w:val="6C915324"/>
    <w:rsid w:val="6C983820"/>
    <w:rsid w:val="6CD92F23"/>
    <w:rsid w:val="6CF3B7A5"/>
    <w:rsid w:val="6D044044"/>
    <w:rsid w:val="6D1D5B3E"/>
    <w:rsid w:val="6D1F7993"/>
    <w:rsid w:val="6D512242"/>
    <w:rsid w:val="6D5B084F"/>
    <w:rsid w:val="6D9110D1"/>
    <w:rsid w:val="6DB42A9C"/>
    <w:rsid w:val="6DBDA54F"/>
    <w:rsid w:val="6DE65060"/>
    <w:rsid w:val="6DF242BF"/>
    <w:rsid w:val="6DFD6E4F"/>
    <w:rsid w:val="6E3FCDC6"/>
    <w:rsid w:val="6E3FDC15"/>
    <w:rsid w:val="6EAD16FA"/>
    <w:rsid w:val="6EEC9102"/>
    <w:rsid w:val="6EFF56E5"/>
    <w:rsid w:val="6EFFC667"/>
    <w:rsid w:val="6F0B4673"/>
    <w:rsid w:val="6F0D8BDF"/>
    <w:rsid w:val="6F226D1A"/>
    <w:rsid w:val="6F4926F0"/>
    <w:rsid w:val="6F5DE8E9"/>
    <w:rsid w:val="6F617E8D"/>
    <w:rsid w:val="6F767A91"/>
    <w:rsid w:val="6F7795D3"/>
    <w:rsid w:val="6F7ECCDE"/>
    <w:rsid w:val="6F7F3BB0"/>
    <w:rsid w:val="6F7F88DA"/>
    <w:rsid w:val="6F8B12B7"/>
    <w:rsid w:val="6F9B18B6"/>
    <w:rsid w:val="6FB7B444"/>
    <w:rsid w:val="6FDF50CD"/>
    <w:rsid w:val="6FDF8BD5"/>
    <w:rsid w:val="6FDFB40A"/>
    <w:rsid w:val="6FEB6DAB"/>
    <w:rsid w:val="6FEF8131"/>
    <w:rsid w:val="6FF92CF7"/>
    <w:rsid w:val="6FFF77BD"/>
    <w:rsid w:val="6FFF937D"/>
    <w:rsid w:val="700E2AC7"/>
    <w:rsid w:val="702A6866"/>
    <w:rsid w:val="70367ED6"/>
    <w:rsid w:val="7077DCAC"/>
    <w:rsid w:val="7087486B"/>
    <w:rsid w:val="7087663B"/>
    <w:rsid w:val="70BF3967"/>
    <w:rsid w:val="71082AF1"/>
    <w:rsid w:val="710D46D2"/>
    <w:rsid w:val="7194776A"/>
    <w:rsid w:val="71F24330"/>
    <w:rsid w:val="71F53B52"/>
    <w:rsid w:val="724C7A91"/>
    <w:rsid w:val="725A7FE5"/>
    <w:rsid w:val="72622004"/>
    <w:rsid w:val="72805F91"/>
    <w:rsid w:val="72B95CF6"/>
    <w:rsid w:val="72D60AF4"/>
    <w:rsid w:val="72E71B1A"/>
    <w:rsid w:val="72EB27F1"/>
    <w:rsid w:val="72EE403F"/>
    <w:rsid w:val="72FB7273"/>
    <w:rsid w:val="730C377A"/>
    <w:rsid w:val="73264795"/>
    <w:rsid w:val="733E5017"/>
    <w:rsid w:val="7399224D"/>
    <w:rsid w:val="73FE6053"/>
    <w:rsid w:val="73FF1E3E"/>
    <w:rsid w:val="73FFF69E"/>
    <w:rsid w:val="74582C1D"/>
    <w:rsid w:val="745B5755"/>
    <w:rsid w:val="747607E0"/>
    <w:rsid w:val="749C5F1B"/>
    <w:rsid w:val="74CF7D3B"/>
    <w:rsid w:val="74FF2F59"/>
    <w:rsid w:val="75126371"/>
    <w:rsid w:val="751B6D0F"/>
    <w:rsid w:val="752875AA"/>
    <w:rsid w:val="753811CA"/>
    <w:rsid w:val="75391CE5"/>
    <w:rsid w:val="757A58C8"/>
    <w:rsid w:val="75B9ED09"/>
    <w:rsid w:val="75C20A29"/>
    <w:rsid w:val="75D99167"/>
    <w:rsid w:val="75DD6549"/>
    <w:rsid w:val="75FB4454"/>
    <w:rsid w:val="75FD6A54"/>
    <w:rsid w:val="76087C0D"/>
    <w:rsid w:val="762C5C65"/>
    <w:rsid w:val="76391C97"/>
    <w:rsid w:val="764DDB2F"/>
    <w:rsid w:val="765406AD"/>
    <w:rsid w:val="765B130C"/>
    <w:rsid w:val="768A76BB"/>
    <w:rsid w:val="76917665"/>
    <w:rsid w:val="76922297"/>
    <w:rsid w:val="7697DA03"/>
    <w:rsid w:val="76BBDB0F"/>
    <w:rsid w:val="76D304F9"/>
    <w:rsid w:val="76D35A76"/>
    <w:rsid w:val="76DDBDD4"/>
    <w:rsid w:val="76F66C0D"/>
    <w:rsid w:val="7719206D"/>
    <w:rsid w:val="771ADEA2"/>
    <w:rsid w:val="772464D8"/>
    <w:rsid w:val="7726B579"/>
    <w:rsid w:val="77291201"/>
    <w:rsid w:val="773F1366"/>
    <w:rsid w:val="775C4E24"/>
    <w:rsid w:val="77744FE5"/>
    <w:rsid w:val="777FB6E2"/>
    <w:rsid w:val="77862205"/>
    <w:rsid w:val="779F30C3"/>
    <w:rsid w:val="77AB59C6"/>
    <w:rsid w:val="77C567F2"/>
    <w:rsid w:val="77C83101"/>
    <w:rsid w:val="77CBEA24"/>
    <w:rsid w:val="77CD70CA"/>
    <w:rsid w:val="77D6DA7E"/>
    <w:rsid w:val="77DDFE33"/>
    <w:rsid w:val="77DF1E33"/>
    <w:rsid w:val="77ED155D"/>
    <w:rsid w:val="77EFB03C"/>
    <w:rsid w:val="77F79B29"/>
    <w:rsid w:val="77F7CB25"/>
    <w:rsid w:val="77FB0423"/>
    <w:rsid w:val="77FB2CED"/>
    <w:rsid w:val="77FD66A1"/>
    <w:rsid w:val="77FF1E39"/>
    <w:rsid w:val="77FF9F98"/>
    <w:rsid w:val="785A1755"/>
    <w:rsid w:val="78AC7C52"/>
    <w:rsid w:val="78C1047B"/>
    <w:rsid w:val="78C53AE4"/>
    <w:rsid w:val="78D7BF4E"/>
    <w:rsid w:val="78E7E0BD"/>
    <w:rsid w:val="78E81581"/>
    <w:rsid w:val="793547C6"/>
    <w:rsid w:val="793BF77A"/>
    <w:rsid w:val="797A3E80"/>
    <w:rsid w:val="79824517"/>
    <w:rsid w:val="79865E7F"/>
    <w:rsid w:val="79BA0C31"/>
    <w:rsid w:val="79BBC0AD"/>
    <w:rsid w:val="79C36276"/>
    <w:rsid w:val="79D96796"/>
    <w:rsid w:val="79E6784F"/>
    <w:rsid w:val="79FD80A4"/>
    <w:rsid w:val="79FFB52D"/>
    <w:rsid w:val="7A2C2BCE"/>
    <w:rsid w:val="7A3E116D"/>
    <w:rsid w:val="7A3F745E"/>
    <w:rsid w:val="7A4F7AA5"/>
    <w:rsid w:val="7A7ACF16"/>
    <w:rsid w:val="7AD9A738"/>
    <w:rsid w:val="7AE7DE4E"/>
    <w:rsid w:val="7B1A59C0"/>
    <w:rsid w:val="7B230E00"/>
    <w:rsid w:val="7B4063ED"/>
    <w:rsid w:val="7B4B4929"/>
    <w:rsid w:val="7B542D63"/>
    <w:rsid w:val="7B542EFE"/>
    <w:rsid w:val="7B5A6766"/>
    <w:rsid w:val="7B6E5D6D"/>
    <w:rsid w:val="7B78249A"/>
    <w:rsid w:val="7B7D65AF"/>
    <w:rsid w:val="7B890DF9"/>
    <w:rsid w:val="7B971C7D"/>
    <w:rsid w:val="7B9B6DF9"/>
    <w:rsid w:val="7BABC170"/>
    <w:rsid w:val="7BAC2D3A"/>
    <w:rsid w:val="7BAC324E"/>
    <w:rsid w:val="7BB723B6"/>
    <w:rsid w:val="7BB9E7A7"/>
    <w:rsid w:val="7BBF2DEB"/>
    <w:rsid w:val="7BD9047C"/>
    <w:rsid w:val="7BE06929"/>
    <w:rsid w:val="7BE10C35"/>
    <w:rsid w:val="7BE22CC7"/>
    <w:rsid w:val="7BE4EDE4"/>
    <w:rsid w:val="7BEA2828"/>
    <w:rsid w:val="7BED6E3E"/>
    <w:rsid w:val="7BF30BDA"/>
    <w:rsid w:val="7BF671E9"/>
    <w:rsid w:val="7BF68C4F"/>
    <w:rsid w:val="7BF83C88"/>
    <w:rsid w:val="7BFB0F7D"/>
    <w:rsid w:val="7BFDFEAF"/>
    <w:rsid w:val="7BFE8A86"/>
    <w:rsid w:val="7BFFB6E2"/>
    <w:rsid w:val="7BFFFD94"/>
    <w:rsid w:val="7C2B1EB0"/>
    <w:rsid w:val="7C5E78BB"/>
    <w:rsid w:val="7C6A03D6"/>
    <w:rsid w:val="7C71F1C6"/>
    <w:rsid w:val="7C9C3DE9"/>
    <w:rsid w:val="7CA25209"/>
    <w:rsid w:val="7CBC5BAF"/>
    <w:rsid w:val="7CBFD5AB"/>
    <w:rsid w:val="7CCE0404"/>
    <w:rsid w:val="7CCF2793"/>
    <w:rsid w:val="7CD707E4"/>
    <w:rsid w:val="7CD73144"/>
    <w:rsid w:val="7CE304E6"/>
    <w:rsid w:val="7CEB0494"/>
    <w:rsid w:val="7D4E008B"/>
    <w:rsid w:val="7D584F27"/>
    <w:rsid w:val="7D5A7C16"/>
    <w:rsid w:val="7D6F3996"/>
    <w:rsid w:val="7D7F4BFA"/>
    <w:rsid w:val="7D9F0A10"/>
    <w:rsid w:val="7DB3377D"/>
    <w:rsid w:val="7DD31592"/>
    <w:rsid w:val="7DD626EF"/>
    <w:rsid w:val="7DD70A02"/>
    <w:rsid w:val="7DDE5EA2"/>
    <w:rsid w:val="7DEB63E7"/>
    <w:rsid w:val="7DF71E3E"/>
    <w:rsid w:val="7DFA92DA"/>
    <w:rsid w:val="7DFF2132"/>
    <w:rsid w:val="7E4442A8"/>
    <w:rsid w:val="7E572A3F"/>
    <w:rsid w:val="7E83248B"/>
    <w:rsid w:val="7E8F1017"/>
    <w:rsid w:val="7E9F0BD9"/>
    <w:rsid w:val="7EB786D8"/>
    <w:rsid w:val="7EB7BCE5"/>
    <w:rsid w:val="7EBE2B2C"/>
    <w:rsid w:val="7EBEDCA0"/>
    <w:rsid w:val="7EBF9F6D"/>
    <w:rsid w:val="7ED5719F"/>
    <w:rsid w:val="7ED6A8A9"/>
    <w:rsid w:val="7EDB06E7"/>
    <w:rsid w:val="7EE4CDBF"/>
    <w:rsid w:val="7EEB947E"/>
    <w:rsid w:val="7EF23159"/>
    <w:rsid w:val="7EF3B52A"/>
    <w:rsid w:val="7EFBF0C2"/>
    <w:rsid w:val="7EFF825A"/>
    <w:rsid w:val="7EFFA550"/>
    <w:rsid w:val="7EFFC109"/>
    <w:rsid w:val="7EFFC8DE"/>
    <w:rsid w:val="7F0666DC"/>
    <w:rsid w:val="7F20A1A8"/>
    <w:rsid w:val="7F36DE24"/>
    <w:rsid w:val="7F373E42"/>
    <w:rsid w:val="7F3B065C"/>
    <w:rsid w:val="7F3D2637"/>
    <w:rsid w:val="7F3DF6A4"/>
    <w:rsid w:val="7F4722BA"/>
    <w:rsid w:val="7F548B37"/>
    <w:rsid w:val="7F566C85"/>
    <w:rsid w:val="7F5B2626"/>
    <w:rsid w:val="7F5D6D6D"/>
    <w:rsid w:val="7F5E0CC8"/>
    <w:rsid w:val="7F5FAF74"/>
    <w:rsid w:val="7F667C06"/>
    <w:rsid w:val="7F6B3364"/>
    <w:rsid w:val="7F760BAE"/>
    <w:rsid w:val="7F7F0847"/>
    <w:rsid w:val="7F7FA902"/>
    <w:rsid w:val="7F7FEACB"/>
    <w:rsid w:val="7F97408A"/>
    <w:rsid w:val="7FAB74D9"/>
    <w:rsid w:val="7FAF28BD"/>
    <w:rsid w:val="7FBA3263"/>
    <w:rsid w:val="7FBAF415"/>
    <w:rsid w:val="7FBBBABD"/>
    <w:rsid w:val="7FBD845A"/>
    <w:rsid w:val="7FBFD05A"/>
    <w:rsid w:val="7FBFDC2B"/>
    <w:rsid w:val="7FC61540"/>
    <w:rsid w:val="7FCDF452"/>
    <w:rsid w:val="7FCF9A67"/>
    <w:rsid w:val="7FCFFB79"/>
    <w:rsid w:val="7FDB6F40"/>
    <w:rsid w:val="7FDCF271"/>
    <w:rsid w:val="7FDDDCBD"/>
    <w:rsid w:val="7FDF398A"/>
    <w:rsid w:val="7FDF9508"/>
    <w:rsid w:val="7FDFE028"/>
    <w:rsid w:val="7FE5CF1D"/>
    <w:rsid w:val="7FE68A8C"/>
    <w:rsid w:val="7FE7B4E5"/>
    <w:rsid w:val="7FECDF46"/>
    <w:rsid w:val="7FEDDB9A"/>
    <w:rsid w:val="7FEE68B6"/>
    <w:rsid w:val="7FF3F6FF"/>
    <w:rsid w:val="7FF60BA7"/>
    <w:rsid w:val="7FF7E28E"/>
    <w:rsid w:val="7FF7F48D"/>
    <w:rsid w:val="7FFAF47C"/>
    <w:rsid w:val="7FFB547E"/>
    <w:rsid w:val="7FFCD6BF"/>
    <w:rsid w:val="7FFD8363"/>
    <w:rsid w:val="7FFDC709"/>
    <w:rsid w:val="7FFF199C"/>
    <w:rsid w:val="7FFFA51F"/>
    <w:rsid w:val="7FFFF868"/>
    <w:rsid w:val="856730BA"/>
    <w:rsid w:val="868F679B"/>
    <w:rsid w:val="8BDF74A9"/>
    <w:rsid w:val="8DFF7E2F"/>
    <w:rsid w:val="8EFFE286"/>
    <w:rsid w:val="8F7BECE3"/>
    <w:rsid w:val="8F7E36CE"/>
    <w:rsid w:val="8F7FFEC3"/>
    <w:rsid w:val="8FDBEF3C"/>
    <w:rsid w:val="8FEEC53B"/>
    <w:rsid w:val="96BC738B"/>
    <w:rsid w:val="96E7A008"/>
    <w:rsid w:val="97F9D11A"/>
    <w:rsid w:val="97FFD9C8"/>
    <w:rsid w:val="99FFBDEE"/>
    <w:rsid w:val="9AFB164C"/>
    <w:rsid w:val="9BF4D623"/>
    <w:rsid w:val="9CF57F51"/>
    <w:rsid w:val="9DF6AE69"/>
    <w:rsid w:val="9DFBC3FE"/>
    <w:rsid w:val="9E7F4867"/>
    <w:rsid w:val="9EFF709F"/>
    <w:rsid w:val="9F7CD02D"/>
    <w:rsid w:val="9F7FAE4B"/>
    <w:rsid w:val="9FA5C297"/>
    <w:rsid w:val="9FCE73A5"/>
    <w:rsid w:val="9FDFC43A"/>
    <w:rsid w:val="9FFDCF9A"/>
    <w:rsid w:val="9FFF63C9"/>
    <w:rsid w:val="A25FDAED"/>
    <w:rsid w:val="A4BB22F1"/>
    <w:rsid w:val="A4EF41C0"/>
    <w:rsid w:val="A5772EAB"/>
    <w:rsid w:val="AB1F5125"/>
    <w:rsid w:val="ABFF6035"/>
    <w:rsid w:val="ABFFFF04"/>
    <w:rsid w:val="AC775ED9"/>
    <w:rsid w:val="ADBF3CEE"/>
    <w:rsid w:val="ADD79E73"/>
    <w:rsid w:val="ADD7C0E8"/>
    <w:rsid w:val="ADEBB019"/>
    <w:rsid w:val="ADFD317C"/>
    <w:rsid w:val="AECF44BE"/>
    <w:rsid w:val="AF0B609F"/>
    <w:rsid w:val="AF538A68"/>
    <w:rsid w:val="AF9C06C1"/>
    <w:rsid w:val="AFCFFC90"/>
    <w:rsid w:val="AFFA033A"/>
    <w:rsid w:val="B1DFE0A5"/>
    <w:rsid w:val="B1FF504A"/>
    <w:rsid w:val="B25F8C38"/>
    <w:rsid w:val="B2EC999F"/>
    <w:rsid w:val="B2FDCB66"/>
    <w:rsid w:val="B35F239C"/>
    <w:rsid w:val="B5A77108"/>
    <w:rsid w:val="B5FD5BAC"/>
    <w:rsid w:val="B6443666"/>
    <w:rsid w:val="B6FEFA65"/>
    <w:rsid w:val="B727655C"/>
    <w:rsid w:val="B774B93B"/>
    <w:rsid w:val="B79A25CE"/>
    <w:rsid w:val="B7D9A4FD"/>
    <w:rsid w:val="B7FA035E"/>
    <w:rsid w:val="B8CFBDC0"/>
    <w:rsid w:val="B9F998B5"/>
    <w:rsid w:val="BA9E33AD"/>
    <w:rsid w:val="BB1FDBF2"/>
    <w:rsid w:val="BB4FD7ED"/>
    <w:rsid w:val="BB5FFE4C"/>
    <w:rsid w:val="BB6D7BC1"/>
    <w:rsid w:val="BB7DF4DF"/>
    <w:rsid w:val="BB7E4E16"/>
    <w:rsid w:val="BBBF5FB0"/>
    <w:rsid w:val="BBF99734"/>
    <w:rsid w:val="BBFA8DD0"/>
    <w:rsid w:val="BBFB2E77"/>
    <w:rsid w:val="BCBB8562"/>
    <w:rsid w:val="BCDD3807"/>
    <w:rsid w:val="BCFD2CB7"/>
    <w:rsid w:val="BCFF67B2"/>
    <w:rsid w:val="BD3CFE21"/>
    <w:rsid w:val="BD3F869A"/>
    <w:rsid w:val="BDDF1664"/>
    <w:rsid w:val="BDF6F408"/>
    <w:rsid w:val="BDFD61C7"/>
    <w:rsid w:val="BEBF6FC3"/>
    <w:rsid w:val="BEDD31BC"/>
    <w:rsid w:val="BEFC041F"/>
    <w:rsid w:val="BF2F06D5"/>
    <w:rsid w:val="BF47C29B"/>
    <w:rsid w:val="BF6DEAFE"/>
    <w:rsid w:val="BF71AEAD"/>
    <w:rsid w:val="BF8F918C"/>
    <w:rsid w:val="BFFD1D17"/>
    <w:rsid w:val="BFFEBB63"/>
    <w:rsid w:val="BFFF7080"/>
    <w:rsid w:val="BFFFF53D"/>
    <w:rsid w:val="C1FB9CF9"/>
    <w:rsid w:val="C3DD8CE6"/>
    <w:rsid w:val="C52E4D86"/>
    <w:rsid w:val="C7776CF4"/>
    <w:rsid w:val="C7F3C17D"/>
    <w:rsid w:val="C93DDDD9"/>
    <w:rsid w:val="CAB7FC60"/>
    <w:rsid w:val="CBE63060"/>
    <w:rsid w:val="CD4689E1"/>
    <w:rsid w:val="CD7F31B5"/>
    <w:rsid w:val="CDEF6E8F"/>
    <w:rsid w:val="CE67AF4F"/>
    <w:rsid w:val="CED71A5F"/>
    <w:rsid w:val="CF3FFD37"/>
    <w:rsid w:val="CFD7FB40"/>
    <w:rsid w:val="CFFD6E5B"/>
    <w:rsid w:val="CFFDBD0C"/>
    <w:rsid w:val="CFFF1883"/>
    <w:rsid w:val="D19D6180"/>
    <w:rsid w:val="D1B12A46"/>
    <w:rsid w:val="D1ED4DBF"/>
    <w:rsid w:val="D3D946FF"/>
    <w:rsid w:val="D3EFB223"/>
    <w:rsid w:val="D4BF95B9"/>
    <w:rsid w:val="D4DE4FB9"/>
    <w:rsid w:val="D5DF90AD"/>
    <w:rsid w:val="D5E3D1F6"/>
    <w:rsid w:val="D5FFAB87"/>
    <w:rsid w:val="D6FD42F9"/>
    <w:rsid w:val="D7DBFB90"/>
    <w:rsid w:val="D7FB7CB3"/>
    <w:rsid w:val="D8DAFAE2"/>
    <w:rsid w:val="D8FA909D"/>
    <w:rsid w:val="D9A6D80F"/>
    <w:rsid w:val="D9FF1F5A"/>
    <w:rsid w:val="DA7F0F96"/>
    <w:rsid w:val="DAC6A179"/>
    <w:rsid w:val="DAD7CB6D"/>
    <w:rsid w:val="DB232C97"/>
    <w:rsid w:val="DB3F219F"/>
    <w:rsid w:val="DBBF5127"/>
    <w:rsid w:val="DBF79F23"/>
    <w:rsid w:val="DBFFE5DD"/>
    <w:rsid w:val="DCF79C39"/>
    <w:rsid w:val="DCFCD386"/>
    <w:rsid w:val="DD4D1B3B"/>
    <w:rsid w:val="DD77F312"/>
    <w:rsid w:val="DD7B578A"/>
    <w:rsid w:val="DDBFADE7"/>
    <w:rsid w:val="DDF62B0C"/>
    <w:rsid w:val="DDFFDBEC"/>
    <w:rsid w:val="DE7F0286"/>
    <w:rsid w:val="DE9E9EF5"/>
    <w:rsid w:val="DECED3C6"/>
    <w:rsid w:val="DEF7202D"/>
    <w:rsid w:val="DEFBF50D"/>
    <w:rsid w:val="DEFD2841"/>
    <w:rsid w:val="DEFD7E07"/>
    <w:rsid w:val="DF6ECEFB"/>
    <w:rsid w:val="DFCB14CD"/>
    <w:rsid w:val="DFCF4024"/>
    <w:rsid w:val="DFDF2E5C"/>
    <w:rsid w:val="DFEF1BBF"/>
    <w:rsid w:val="DFFB8776"/>
    <w:rsid w:val="DFFF8792"/>
    <w:rsid w:val="E277728C"/>
    <w:rsid w:val="E37B2796"/>
    <w:rsid w:val="E3D58C45"/>
    <w:rsid w:val="E63F37D3"/>
    <w:rsid w:val="E7CB7646"/>
    <w:rsid w:val="E7DEADE9"/>
    <w:rsid w:val="E7EE7AAF"/>
    <w:rsid w:val="E7F3FF29"/>
    <w:rsid w:val="E7F5B51B"/>
    <w:rsid w:val="E97FF058"/>
    <w:rsid w:val="E9BE5C7F"/>
    <w:rsid w:val="E9DF53CF"/>
    <w:rsid w:val="EA55BE18"/>
    <w:rsid w:val="EA7E33E2"/>
    <w:rsid w:val="EABC976B"/>
    <w:rsid w:val="EB6F6BBD"/>
    <w:rsid w:val="EBDB8A0D"/>
    <w:rsid w:val="EBE7A491"/>
    <w:rsid w:val="EBF51AE9"/>
    <w:rsid w:val="EBFFB029"/>
    <w:rsid w:val="EC9F5C28"/>
    <w:rsid w:val="ED0BF344"/>
    <w:rsid w:val="EDBFC1EB"/>
    <w:rsid w:val="EDCE604B"/>
    <w:rsid w:val="EDF653A4"/>
    <w:rsid w:val="EDF9BC3D"/>
    <w:rsid w:val="EDFB6B20"/>
    <w:rsid w:val="EE0F97D6"/>
    <w:rsid w:val="EE75327A"/>
    <w:rsid w:val="EEDFE1A3"/>
    <w:rsid w:val="EEFFF432"/>
    <w:rsid w:val="EF1E8B1F"/>
    <w:rsid w:val="EF1FDC96"/>
    <w:rsid w:val="EF5F6E06"/>
    <w:rsid w:val="EF6DD32D"/>
    <w:rsid w:val="EF6F4209"/>
    <w:rsid w:val="EF7F4D96"/>
    <w:rsid w:val="EF7F98B1"/>
    <w:rsid w:val="EFABC7A3"/>
    <w:rsid w:val="EFFA7CA6"/>
    <w:rsid w:val="EFFC8F45"/>
    <w:rsid w:val="EFFFBDD5"/>
    <w:rsid w:val="F0DF8D0E"/>
    <w:rsid w:val="F1F4E342"/>
    <w:rsid w:val="F2DE0953"/>
    <w:rsid w:val="F34F025D"/>
    <w:rsid w:val="F3DF2E3A"/>
    <w:rsid w:val="F3EB87DB"/>
    <w:rsid w:val="F3EECAD4"/>
    <w:rsid w:val="F3F76B4F"/>
    <w:rsid w:val="F3FE5B1F"/>
    <w:rsid w:val="F43F743B"/>
    <w:rsid w:val="F4658B87"/>
    <w:rsid w:val="F47FC649"/>
    <w:rsid w:val="F56DB144"/>
    <w:rsid w:val="F5BBCE08"/>
    <w:rsid w:val="F5EBC0B7"/>
    <w:rsid w:val="F5EFF3AE"/>
    <w:rsid w:val="F6B966DD"/>
    <w:rsid w:val="F6BB3A03"/>
    <w:rsid w:val="F6E761BE"/>
    <w:rsid w:val="F6F52C7E"/>
    <w:rsid w:val="F6FFDED5"/>
    <w:rsid w:val="F71D91C3"/>
    <w:rsid w:val="F74DC980"/>
    <w:rsid w:val="F76FCC22"/>
    <w:rsid w:val="F7B741E1"/>
    <w:rsid w:val="F7BE43CA"/>
    <w:rsid w:val="F7BE7F1B"/>
    <w:rsid w:val="F7CD015F"/>
    <w:rsid w:val="F7D7749A"/>
    <w:rsid w:val="F7DF7543"/>
    <w:rsid w:val="F7E22F36"/>
    <w:rsid w:val="F7E7A3E4"/>
    <w:rsid w:val="F7ED6BCC"/>
    <w:rsid w:val="F7F38750"/>
    <w:rsid w:val="F7F590D2"/>
    <w:rsid w:val="F7F92E2D"/>
    <w:rsid w:val="F7FD592C"/>
    <w:rsid w:val="F7FE721A"/>
    <w:rsid w:val="F7FF014D"/>
    <w:rsid w:val="F7FF79DA"/>
    <w:rsid w:val="F7FFCDB8"/>
    <w:rsid w:val="F83FEA90"/>
    <w:rsid w:val="F87C7741"/>
    <w:rsid w:val="F8EDC338"/>
    <w:rsid w:val="F924B9A6"/>
    <w:rsid w:val="F96F44DB"/>
    <w:rsid w:val="F9DD2A69"/>
    <w:rsid w:val="F9E52AB1"/>
    <w:rsid w:val="F9F54B6C"/>
    <w:rsid w:val="F9FB0D97"/>
    <w:rsid w:val="F9FFD637"/>
    <w:rsid w:val="FA5FDE60"/>
    <w:rsid w:val="FAAD2B1E"/>
    <w:rsid w:val="FAB7E3D3"/>
    <w:rsid w:val="FAD5354A"/>
    <w:rsid w:val="FAE77A3D"/>
    <w:rsid w:val="FAF0F5EE"/>
    <w:rsid w:val="FAF25097"/>
    <w:rsid w:val="FB0BF153"/>
    <w:rsid w:val="FB3BD014"/>
    <w:rsid w:val="FB3FDBAB"/>
    <w:rsid w:val="FB5BA438"/>
    <w:rsid w:val="FB61BEE7"/>
    <w:rsid w:val="FB6509BB"/>
    <w:rsid w:val="FB6E83DB"/>
    <w:rsid w:val="FBA169F2"/>
    <w:rsid w:val="FBBFB84E"/>
    <w:rsid w:val="FBCB6374"/>
    <w:rsid w:val="FBCD369C"/>
    <w:rsid w:val="FBDD141B"/>
    <w:rsid w:val="FBDE7BD2"/>
    <w:rsid w:val="FBF51B54"/>
    <w:rsid w:val="FBF56DE1"/>
    <w:rsid w:val="FBF7E9C3"/>
    <w:rsid w:val="FBFF503E"/>
    <w:rsid w:val="FC676846"/>
    <w:rsid w:val="FC67835A"/>
    <w:rsid w:val="FCCB5516"/>
    <w:rsid w:val="FCEA7248"/>
    <w:rsid w:val="FCEF5A3D"/>
    <w:rsid w:val="FCF49375"/>
    <w:rsid w:val="FCFFBA25"/>
    <w:rsid w:val="FD3BC845"/>
    <w:rsid w:val="FD774C8E"/>
    <w:rsid w:val="FDA7C798"/>
    <w:rsid w:val="FDABD3F4"/>
    <w:rsid w:val="FDBB4AED"/>
    <w:rsid w:val="FDBCC654"/>
    <w:rsid w:val="FDE5DDA3"/>
    <w:rsid w:val="FDE75E98"/>
    <w:rsid w:val="FDED6B7B"/>
    <w:rsid w:val="FDF39E05"/>
    <w:rsid w:val="FDF56730"/>
    <w:rsid w:val="FDF8BB93"/>
    <w:rsid w:val="FDFB0801"/>
    <w:rsid w:val="FDFD3D3D"/>
    <w:rsid w:val="FDFE1C2A"/>
    <w:rsid w:val="FDFECD66"/>
    <w:rsid w:val="FDFF9FE6"/>
    <w:rsid w:val="FDFFA3FD"/>
    <w:rsid w:val="FDFFB743"/>
    <w:rsid w:val="FE2DEFFA"/>
    <w:rsid w:val="FE7F415E"/>
    <w:rsid w:val="FE8CC0D5"/>
    <w:rsid w:val="FEABD325"/>
    <w:rsid w:val="FECDDA3A"/>
    <w:rsid w:val="FED50381"/>
    <w:rsid w:val="FED909EE"/>
    <w:rsid w:val="FEDE570B"/>
    <w:rsid w:val="FEDEF490"/>
    <w:rsid w:val="FEDFBF61"/>
    <w:rsid w:val="FEDFE4B8"/>
    <w:rsid w:val="FEE73932"/>
    <w:rsid w:val="FEE78046"/>
    <w:rsid w:val="FEF95487"/>
    <w:rsid w:val="FEFDC1E0"/>
    <w:rsid w:val="FEFEA2EF"/>
    <w:rsid w:val="FEFFBE24"/>
    <w:rsid w:val="FEFFE00E"/>
    <w:rsid w:val="FF1E1C89"/>
    <w:rsid w:val="FF2DD7B4"/>
    <w:rsid w:val="FF2FB949"/>
    <w:rsid w:val="FF3F0CD7"/>
    <w:rsid w:val="FF3F5F15"/>
    <w:rsid w:val="FF5ED65E"/>
    <w:rsid w:val="FF7C47FA"/>
    <w:rsid w:val="FF7CEA0D"/>
    <w:rsid w:val="FF7F8D82"/>
    <w:rsid w:val="FF8D84C5"/>
    <w:rsid w:val="FF8F2FAC"/>
    <w:rsid w:val="FFA5E07A"/>
    <w:rsid w:val="FFA6D0A6"/>
    <w:rsid w:val="FFA74975"/>
    <w:rsid w:val="FFADA1C9"/>
    <w:rsid w:val="FFAEEFA9"/>
    <w:rsid w:val="FFB71A61"/>
    <w:rsid w:val="FFB7233E"/>
    <w:rsid w:val="FFB7E27A"/>
    <w:rsid w:val="FFBBC518"/>
    <w:rsid w:val="FFBD8092"/>
    <w:rsid w:val="FFBFE3A9"/>
    <w:rsid w:val="FFC2034E"/>
    <w:rsid w:val="FFCFAE51"/>
    <w:rsid w:val="FFCFCA55"/>
    <w:rsid w:val="FFD132A9"/>
    <w:rsid w:val="FFD963EB"/>
    <w:rsid w:val="FFDC1395"/>
    <w:rsid w:val="FFDEED3C"/>
    <w:rsid w:val="FFDF587F"/>
    <w:rsid w:val="FFDF5B46"/>
    <w:rsid w:val="FFDFA5D8"/>
    <w:rsid w:val="FFE541F4"/>
    <w:rsid w:val="FFE5878C"/>
    <w:rsid w:val="FFE6658B"/>
    <w:rsid w:val="FFEB7A78"/>
    <w:rsid w:val="FFEF4B5D"/>
    <w:rsid w:val="FFF31BC2"/>
    <w:rsid w:val="FFF56B00"/>
    <w:rsid w:val="FFF60758"/>
    <w:rsid w:val="FFFB362B"/>
    <w:rsid w:val="FFFB6DEA"/>
    <w:rsid w:val="FFFD0AA9"/>
    <w:rsid w:val="FFFD7989"/>
    <w:rsid w:val="FFFE4DD6"/>
    <w:rsid w:val="FFFE838B"/>
    <w:rsid w:val="FFFECB74"/>
    <w:rsid w:val="FFFF4101"/>
    <w:rsid w:val="FFFF83E7"/>
    <w:rsid w:val="FFFFE698"/>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28"/>
      <w:lang w:val="en-US" w:eastAsia="zh-CN" w:bidi="ar-SA"/>
    </w:rPr>
  </w:style>
  <w:style w:type="paragraph" w:styleId="2">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3">
    <w:name w:val="heading 4"/>
    <w:basedOn w:val="1"/>
    <w:next w:val="1"/>
    <w:link w:val="24"/>
    <w:unhideWhenUsed/>
    <w:qFormat/>
    <w:uiPriority w:val="0"/>
    <w:pPr>
      <w:keepNext/>
      <w:keepLines/>
      <w:spacing w:beforeLines="0" w:beforeAutospacing="0" w:afterLines="0" w:afterAutospacing="0" w:line="600" w:lineRule="exact"/>
      <w:outlineLvl w:val="3"/>
    </w:pPr>
    <w:rPr>
      <w:rFonts w:ascii="Arial" w:hAnsi="Arial" w:eastAsia="黑体"/>
      <w:b/>
      <w:sz w:val="28"/>
    </w:rPr>
  </w:style>
  <w:style w:type="character" w:default="1" w:styleId="18">
    <w:name w:val="Default Paragraph Font"/>
    <w:semiHidden/>
    <w:qFormat/>
    <w:uiPriority w:val="0"/>
  </w:style>
  <w:style w:type="table" w:default="1" w:styleId="1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annotation text"/>
    <w:basedOn w:val="1"/>
    <w:qFormat/>
    <w:uiPriority w:val="0"/>
    <w:pPr>
      <w:jc w:val="left"/>
    </w:pPr>
  </w:style>
  <w:style w:type="paragraph" w:styleId="6">
    <w:name w:val="Body Text"/>
    <w:basedOn w:val="1"/>
    <w:unhideWhenUsed/>
    <w:qFormat/>
    <w:uiPriority w:val="99"/>
    <w:pPr>
      <w:spacing w:after="120"/>
    </w:pPr>
  </w:style>
  <w:style w:type="paragraph" w:styleId="7">
    <w:name w:val="Body Text Indent"/>
    <w:basedOn w:val="1"/>
    <w:unhideWhenUsed/>
    <w:qFormat/>
    <w:uiPriority w:val="99"/>
    <w:pPr>
      <w:spacing w:after="120"/>
      <w:ind w:left="420" w:leftChars="200"/>
    </w:pPr>
  </w:style>
  <w:style w:type="paragraph" w:styleId="8">
    <w:name w:val="toc 3"/>
    <w:basedOn w:val="1"/>
    <w:next w:val="1"/>
    <w:qFormat/>
    <w:uiPriority w:val="0"/>
    <w:pPr>
      <w:ind w:left="840" w:leftChars="4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toc 1"/>
    <w:basedOn w:val="1"/>
    <w:next w:val="1"/>
    <w:qFormat/>
    <w:uiPriority w:val="0"/>
    <w:pPr>
      <w:tabs>
        <w:tab w:val="right" w:leader="dot" w:pos="8664"/>
      </w:tabs>
      <w:jc w:val="center"/>
    </w:pPr>
    <w:rPr>
      <w:rFonts w:ascii="方正小标宋_GBK" w:eastAsia="方正小标宋_GBK"/>
      <w:sz w:val="40"/>
    </w:rPr>
  </w:style>
  <w:style w:type="paragraph" w:styleId="12">
    <w:name w:val="footnote text"/>
    <w:basedOn w:val="1"/>
    <w:qFormat/>
    <w:uiPriority w:val="0"/>
    <w:pPr>
      <w:snapToGrid w:val="0"/>
      <w:jc w:val="left"/>
    </w:pPr>
    <w:rPr>
      <w:sz w:val="18"/>
    </w:rPr>
  </w:style>
  <w:style w:type="paragraph" w:styleId="13">
    <w:name w:val="toc 2"/>
    <w:basedOn w:val="1"/>
    <w:next w:val="1"/>
    <w:qFormat/>
    <w:uiPriority w:val="0"/>
    <w:pPr>
      <w:ind w:left="420" w:leftChars="200"/>
    </w:p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5">
    <w:name w:val="Body Text First Indent 2"/>
    <w:basedOn w:val="7"/>
    <w:next w:val="1"/>
    <w:unhideWhenUsed/>
    <w:qFormat/>
    <w:uiPriority w:val="99"/>
    <w:pPr>
      <w:ind w:firstLine="420" w:firstLineChars="200"/>
    </w:pPr>
  </w:style>
  <w:style w:type="table" w:styleId="17">
    <w:name w:val="Table Grid"/>
    <w:basedOn w:val="16"/>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0"/>
    <w:rPr>
      <w:b/>
    </w:rPr>
  </w:style>
  <w:style w:type="character" w:styleId="20">
    <w:name w:val="FollowedHyperlink"/>
    <w:basedOn w:val="18"/>
    <w:qFormat/>
    <w:uiPriority w:val="0"/>
    <w:rPr>
      <w:color w:val="333333"/>
      <w:u w:val="none"/>
    </w:rPr>
  </w:style>
  <w:style w:type="character" w:styleId="21">
    <w:name w:val="Emphasis"/>
    <w:basedOn w:val="18"/>
    <w:qFormat/>
    <w:uiPriority w:val="0"/>
    <w:rPr>
      <w:i/>
    </w:rPr>
  </w:style>
  <w:style w:type="character" w:styleId="22">
    <w:name w:val="Hyperlink"/>
    <w:basedOn w:val="18"/>
    <w:qFormat/>
    <w:uiPriority w:val="0"/>
    <w:rPr>
      <w:color w:val="333333"/>
      <w:u w:val="none"/>
    </w:rPr>
  </w:style>
  <w:style w:type="character" w:styleId="23">
    <w:name w:val="footnote reference"/>
    <w:basedOn w:val="18"/>
    <w:qFormat/>
    <w:uiPriority w:val="0"/>
    <w:rPr>
      <w:vertAlign w:val="superscript"/>
    </w:rPr>
  </w:style>
  <w:style w:type="character" w:customStyle="1" w:styleId="24">
    <w:name w:val="标题 4 Char"/>
    <w:link w:val="3"/>
    <w:qFormat/>
    <w:uiPriority w:val="0"/>
    <w:rPr>
      <w:rFonts w:ascii="Arial" w:hAnsi="Arial" w:eastAsia="黑体"/>
      <w:b/>
      <w:sz w:val="28"/>
    </w:rPr>
  </w:style>
  <w:style w:type="character" w:customStyle="1" w:styleId="25">
    <w:name w:val="calendar-head__prev-range-btn"/>
    <w:basedOn w:val="18"/>
    <w:qFormat/>
    <w:uiPriority w:val="0"/>
    <w:rPr>
      <w:vanish/>
    </w:rPr>
  </w:style>
  <w:style w:type="character" w:customStyle="1" w:styleId="26">
    <w:name w:val="font21"/>
    <w:basedOn w:val="18"/>
    <w:qFormat/>
    <w:uiPriority w:val="0"/>
    <w:rPr>
      <w:rFonts w:hint="eastAsia" w:ascii="仿宋_GB2312" w:eastAsia="仿宋_GB2312" w:cs="仿宋_GB2312"/>
      <w:b/>
      <w:bCs/>
      <w:color w:val="000000"/>
      <w:sz w:val="22"/>
      <w:szCs w:val="22"/>
      <w:u w:val="none"/>
    </w:rPr>
  </w:style>
  <w:style w:type="character" w:customStyle="1" w:styleId="27">
    <w:name w:val="calendar-head__next-month-btn"/>
    <w:basedOn w:val="18"/>
    <w:qFormat/>
    <w:uiPriority w:val="0"/>
  </w:style>
  <w:style w:type="character" w:customStyle="1" w:styleId="28">
    <w:name w:val="calendar-head__text-display"/>
    <w:basedOn w:val="18"/>
    <w:qFormat/>
    <w:uiPriority w:val="0"/>
    <w:rPr>
      <w:vanish/>
    </w:rPr>
  </w:style>
  <w:style w:type="character" w:customStyle="1" w:styleId="29">
    <w:name w:val="font11"/>
    <w:basedOn w:val="18"/>
    <w:qFormat/>
    <w:uiPriority w:val="0"/>
    <w:rPr>
      <w:rFonts w:hint="eastAsia" w:ascii="仿宋_GB2312" w:eastAsia="仿宋_GB2312" w:cs="仿宋_GB2312"/>
      <w:color w:val="000000"/>
      <w:sz w:val="22"/>
      <w:szCs w:val="22"/>
      <w:u w:val="none"/>
    </w:rPr>
  </w:style>
  <w:style w:type="character" w:customStyle="1" w:styleId="30">
    <w:name w:val="calendar-head__year-range"/>
    <w:basedOn w:val="18"/>
    <w:qFormat/>
    <w:uiPriority w:val="0"/>
    <w:rPr>
      <w:vanish/>
    </w:rPr>
  </w:style>
  <w:style w:type="character" w:customStyle="1" w:styleId="31">
    <w:name w:val="calendar-head__next-range-btn"/>
    <w:basedOn w:val="18"/>
    <w:qFormat/>
    <w:uiPriority w:val="0"/>
    <w:rPr>
      <w:vanish/>
    </w:rPr>
  </w:style>
  <w:style w:type="character" w:customStyle="1" w:styleId="32">
    <w:name w:val="hover"/>
    <w:basedOn w:val="18"/>
    <w:qFormat/>
    <w:uiPriority w:val="0"/>
    <w:rPr>
      <w:color w:val="2F6EA2"/>
    </w:rPr>
  </w:style>
  <w:style w:type="character" w:customStyle="1" w:styleId="33">
    <w:name w:val="calendar-head__next-year-btn"/>
    <w:basedOn w:val="18"/>
    <w:qFormat/>
    <w:uiPriority w:val="0"/>
  </w:style>
  <w:style w:type="character" w:customStyle="1" w:styleId="34">
    <w:name w:val="font31"/>
    <w:basedOn w:val="18"/>
    <w:qFormat/>
    <w:uiPriority w:val="0"/>
    <w:rPr>
      <w:rFonts w:hint="eastAsia" w:ascii="仿宋_GB2312" w:eastAsia="仿宋_GB2312" w:cs="仿宋_GB2312"/>
      <w:color w:val="000000"/>
      <w:sz w:val="22"/>
      <w:szCs w:val="22"/>
      <w:u w:val="none"/>
    </w:rPr>
  </w:style>
  <w:style w:type="paragraph" w:customStyle="1" w:styleId="35">
    <w:name w:val="Default"/>
    <w:qFormat/>
    <w:uiPriority w:val="0"/>
    <w:pPr>
      <w:keepNext w:val="0"/>
      <w:keepLines w:val="0"/>
      <w:widowControl w:val="0"/>
      <w:suppressLineNumbers w:val="0"/>
      <w:autoSpaceDE w:val="0"/>
      <w:autoSpaceDN w:val="0"/>
      <w:adjustRightInd w:val="0"/>
      <w:spacing w:before="0" w:beforeAutospacing="0" w:after="0" w:afterAutospacing="0"/>
      <w:ind w:left="0" w:right="0"/>
      <w:jc w:val="left"/>
    </w:pPr>
    <w:rPr>
      <w:rFonts w:hint="default" w:ascii="方正仿宋简体" w:hAnsi="方正仿宋简体" w:eastAsia="宋体" w:cs="Times New Roman"/>
      <w:color w:val="000000"/>
      <w:kern w:val="0"/>
      <w:sz w:val="24"/>
      <w:szCs w:val="24"/>
      <w:lang w:val="en-US" w:eastAsia="zh-CN" w:bidi="ar"/>
    </w:rPr>
  </w:style>
  <w:style w:type="paragraph" w:customStyle="1" w:styleId="36">
    <w:name w:val="WPSOffice手动目录 2"/>
    <w:qFormat/>
    <w:uiPriority w:val="0"/>
    <w:pPr>
      <w:ind w:left="200" w:leftChars="200"/>
    </w:pPr>
    <w:rPr>
      <w:rFonts w:ascii="Calibri" w:hAnsi="Calibri" w:eastAsia="宋体" w:cs="Times New Roman"/>
      <w:lang w:val="en-US" w:eastAsia="zh-CN" w:bidi="ar-SA"/>
    </w:rPr>
  </w:style>
  <w:style w:type="paragraph" w:customStyle="1" w:styleId="37">
    <w:name w:val="UserStyle_0"/>
    <w:basedOn w:val="1"/>
    <w:qFormat/>
    <w:uiPriority w:val="0"/>
    <w:pPr>
      <w:keepNext w:val="0"/>
      <w:keepLines w:val="0"/>
      <w:widowControl w:val="0"/>
      <w:suppressLineNumbers w:val="0"/>
      <w:spacing w:before="0" w:beforeAutospacing="0" w:after="0" w:afterAutospacing="0"/>
      <w:ind w:left="0" w:right="0"/>
      <w:jc w:val="left"/>
      <w:textAlignment w:val="baseline"/>
    </w:pPr>
    <w:rPr>
      <w:rFonts w:hint="default" w:ascii="仿宋_GB2312" w:hAnsi="宋体" w:eastAsia="宋体" w:cs="Times New Roman"/>
      <w:color w:val="000000"/>
      <w:kern w:val="0"/>
      <w:sz w:val="24"/>
      <w:szCs w:val="24"/>
      <w:lang w:val="en-US" w:eastAsia="zh-CN" w:bidi="ar"/>
    </w:rPr>
  </w:style>
  <w:style w:type="paragraph" w:customStyle="1" w:styleId="38">
    <w:name w:val="列表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e83a1eb4-5b61-4ec1-a058-f1d7943b2cb7</errorID>
      <errorWord>、</errorWord>
      <group>L1_Punc</group>
      <groupName>标点问题</groupName>
      <ability>L2_Punc_CN</ability>
      <abilityName>标点符号问题</abilityName>
      <candidateList>
        <item>，</item>
      </candidateList>
      <explain/>
      <paraID>3B355096</paraID>
      <start>128</start>
      <end>129</end>
      <status>ignored</status>
      <modifiedWord/>
      <trackRevisions>false</trackRevisions>
    </reviewItem>
    <reviewItem>
      <errorID>78c86bf3-664a-4634-a089-d6b05386f327</errorID>
      <errorWord>科创小院</errorWord>
      <group>L1_Political</group>
      <groupName>政治性问题</groupName>
      <ability>L2_Unpolitical</ability>
      <abilityName>政治敏感错误</abilityName>
      <candidateList>
        <item>科技小院</item>
      </candidateList>
      <explain/>
      <paraID>65B3BC3F</paraID>
      <start>4</start>
      <end>9</end>
      <status>ignored</status>
      <modifiedWord/>
      <trackRevisions>false</trackRevisions>
    </reviewItem>
    <reviewItem>
      <errorID>3509ecae-8777-47a7-a0d0-003c5d1bc88d</errorID>
      <errorWord>。</errorWord>
      <group>L1_Grammar</group>
      <groupName>语法问题</groupName>
      <ability>L2_Grammar</ability>
      <abilityName>语法错误</abilityName>
      <candidateList>
        <item>格局。</item>
      </candidateList>
      <explain/>
      <paraID>1186C9A0</paraID>
      <start>59</start>
      <end>60</end>
      <status>ignored</status>
      <modifiedWord/>
      <trackRevisions>false</trackRevisions>
    </reviewItem>
    <reviewItem>
      <errorID>7d9fc0f7-c3f6-423e-a0b2-143c2619dd89</errorID>
      <errorWord> </errorWord>
      <group>L1_Punc</group>
      <groupName>标点问题</groupName>
      <ability>L2_Punc_CN</ability>
      <abilityName>标点符号问题</abilityName>
      <candidateList>
        <item>：</item>
      </candidateList>
      <explain/>
      <paraID>7B88A941</paraID>
      <start>1</start>
      <end>2</end>
      <status>ignored</status>
      <modifiedWord/>
      <trackRevisions>false</trackRevisions>
    </reviewItem>
    <reviewItem>
      <errorID>98ba1c4e-7efd-4df5-9770-91358fb76ada</errorID>
      <errorWord>下的</errorWord>
      <group>L1_Word</group>
      <groupName>字词问题</groupName>
      <ability>L2_Typo</ability>
      <abilityName>字词错误</abilityName>
      <candidateList>
        <item>下</item>
      </candidateList>
      <explain/>
      <paraID>3E3D31C9</paraID>
      <start>217</start>
      <end>219</end>
      <status>ignored</status>
      <modifiedWord/>
      <trackRevisions>false</trackRevisions>
    </reviewItem>
    <reviewItem>
      <errorID>c6a616b7-a8c9-484e-8757-8798f6620ff1</errorID>
      <errorWord>下的</errorWord>
      <group>L1_Word</group>
      <groupName>字词问题</groupName>
      <ability>L2_Typo</ability>
      <abilityName>字词错误</abilityName>
      <candidateList>
        <item>下</item>
      </candidateList>
      <explain/>
      <paraID>3E3D31C9</paraID>
      <start>230</start>
      <end>232</end>
      <status>ignored</status>
      <modifiedWord/>
      <trackRevisions>false</trackRevisions>
    </reviewItem>
    <reviewItem>
      <errorID>8d9f1bf5-1763-4c0d-a905-0c0da136d293</errorID>
      <errorWord>水下</errorWord>
      <group>L1_Grammar</group>
      <groupName>语法问题</groupName>
      <ability>L2_Grammar</ability>
      <abilityName>语法错误</abilityName>
      <candidateList>
        <item>能力的水下</item>
      </candidateList>
      <explain/>
      <paraID>3E3D31C9</paraID>
      <start>240</start>
      <end>242</end>
      <status>ignored</status>
      <modifiedWord/>
      <trackRevisions>false</trackRevisions>
    </reviewItem>
    <reviewItem>
      <errorID>31f98f3f-092a-473f-932b-4e5aaae6d175</errorID>
      <errorWord>。</errorWord>
      <group>L1_Grammar</group>
      <groupName>语法问题</groupName>
      <ability>L2_Grammar</ability>
      <abilityName>语法错误</abilityName>
      <candidateList>
        <item>措施。</item>
      </candidateList>
      <explain/>
      <paraID>1CE8CBCA</paraID>
      <start>50</start>
      <end>51</end>
      <status>ignored</status>
      <modifiedWord/>
      <trackRevisions>false</trackRevisions>
    </reviewItem>
    <reviewItem>
      <errorID>4a08399c-6169-4e3b-baa7-aeb7ea05205c</errorID>
      <errorWord>在</errorWord>
      <group>L1_Punc</group>
      <groupName>标点问题</groupName>
      <ability>L2_Punc_CN</ability>
      <abilityName>标点符号问题</abilityName>
      <candidateList>
        <item>，在</item>
      </candidateList>
      <explain/>
      <paraID>5EC2CF11</paraID>
      <start>132</start>
      <end>133</end>
      <status>ignored</status>
      <modifiedWord/>
      <trackRevisions>false</trackRevisions>
    </reviewItem>
    <reviewItem>
      <errorID>3ee5b002-2fc1-4a82-876a-12ff51b0582c</errorID>
      <errorWord>”工作</errorWord>
      <group>L1_Grammar</group>
      <groupName>语法问题</groupName>
      <ability>L2_Grammar</ability>
      <abilityName>语法错误</abilityName>
      <candidateList>
        <item>”</item>
      </candidateList>
      <explain/>
      <paraID>3B2CC5AF</paraID>
      <start>19</start>
      <end>22</end>
      <status>ignored</status>
      <modifiedWord/>
      <trackRevisions>false</trackRevisions>
    </reviewItem>
    <reviewItem>
      <errorID>f3610ddb-a253-4a6b-9173-c981666c2c86</errorID>
      <errorWord>、和</errorWord>
      <group>L1_Punc</group>
      <groupName>标点问题</groupName>
      <ability>L2_Punc_CN</ability>
      <abilityName>标点符号问题</abilityName>
      <candidateList>
        <item>和</item>
      </candidateList>
      <explain>“及”“和”“等”连词前不宜使用顿号，建议删除（或使用逗号）。</explain>
      <paraID>7B56B9E8</paraID>
      <start>8</start>
      <end>10</end>
      <status>ignored</status>
      <modifiedWord/>
      <trackRevisions>false</trackRevisions>
    </reviewItem>
    <reviewItem>
      <errorID>019a7762-d9b4-4ac0-8a9d-639ca90ff85d</errorID>
      <errorWord>品</errorWord>
      <group>L1_Word</group>
      <groupName>字词问题</groupName>
      <ability>L2_Typo</ability>
      <abilityName>字词错误</abilityName>
      <candidateList>
        <item>品和</item>
      </candidateList>
      <explain/>
      <paraID>262ACD62</paraID>
      <start>103</start>
      <end>104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f991a7-7227-471f-a1d3-c34073a6db01}">
  <ds:schemaRefs/>
</ds:datastoreItem>
</file>

<file path=docProps/app.xml><?xml version="1.0" encoding="utf-8"?>
<Properties xmlns="http://schemas.openxmlformats.org/officeDocument/2006/extended-properties" xmlns:vt="http://schemas.openxmlformats.org/officeDocument/2006/docPropsVTypes">
  <Pages>24</Pages>
  <Words>10086</Words>
  <Characters>10191</Characters>
  <Lines>1</Lines>
  <Paragraphs>1</Paragraphs>
  <TotalTime>35</TotalTime>
  <ScaleCrop>false</ScaleCrop>
  <LinksUpToDate>false</LinksUpToDate>
  <CharactersWithSpaces>10221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2025-11-13T19:03:00Z</dcterms:created>
  <dc:creator>李杏筠</dc:creator>
  <cp:lastModifiedBy>迷杨</cp:lastModifiedBy>
  <cp:lastPrinted>2026-07-09T03:34:00Z</cp:lastPrinted>
  <dcterms:modified xsi:type="dcterms:W3CDTF">2026-09-15T08:28:26Z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D5B76DFDE13541CE92DA7FC533F213B9_13</vt:lpwstr>
  </property>
  <property fmtid="{D5CDD505-2E9C-101B-9397-08002B2CF9AE}" pid="4" name="KSOTemplateDocerSaveRecord">
    <vt:lpwstr>eyJoZGlkIjoiNDU0OWM3OGQ4NGZkODU4YmI5ODY0ZWU4ZjQxODE2NjciLCJ1c2VySWQiOiIxOTg1MzA3NzIifQ==</vt:lpwstr>
  </property>
</Properties>
</file>