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tabs>
          <w:tab w:val="left" w:pos="1080"/>
        </w:tabs>
        <w:kinsoku/>
        <w:wordWrap/>
        <w:overflowPunct/>
        <w:topLinePunct w:val="0"/>
        <w:autoSpaceDE/>
        <w:autoSpaceDN/>
        <w:bidi w:val="0"/>
        <w:adjustRightInd/>
        <w:snapToGrid/>
        <w:spacing w:after="0" w:afterLines="0" w:afterAutospacing="0" w:line="640" w:lineRule="exact"/>
        <w:jc w:val="center"/>
        <w:textAlignment w:val="auto"/>
        <w:rPr>
          <w:rFonts w:hint="eastAsia" w:ascii="方正小标宋简体" w:hAnsi="Times New Roman" w:eastAsia="方正小标宋简体" w:cs="Times New Roman"/>
          <w:snapToGrid/>
          <w:sz w:val="44"/>
          <w:szCs w:val="44"/>
          <w:lang w:eastAsia="zh-CN"/>
        </w:rPr>
      </w:pPr>
      <w:r>
        <w:rPr>
          <w:rFonts w:hint="eastAsia" w:ascii="方正小标宋简体" w:hAnsi="Times New Roman" w:eastAsia="方正小标宋简体" w:cs="Times New Roman"/>
          <w:snapToGrid/>
          <w:sz w:val="44"/>
          <w:szCs w:val="44"/>
          <w:lang w:eastAsia="zh-CN"/>
        </w:rPr>
        <w:t>揭阳大南海石化工业区承包商安全管理制度</w:t>
      </w:r>
    </w:p>
    <w:p>
      <w:pPr>
        <w:keepNext w:val="0"/>
        <w:keepLines w:val="0"/>
        <w:pageBreakBefore w:val="0"/>
        <w:widowControl/>
        <w:tabs>
          <w:tab w:val="left" w:pos="1080"/>
        </w:tabs>
        <w:kinsoku/>
        <w:wordWrap/>
        <w:overflowPunct/>
        <w:topLinePunct w:val="0"/>
        <w:autoSpaceDE/>
        <w:autoSpaceDN/>
        <w:bidi w:val="0"/>
        <w:adjustRightInd/>
        <w:snapToGrid/>
        <w:spacing w:after="100" w:afterLines="-2147483648" w:afterAutospacing="1" w:line="640" w:lineRule="exact"/>
        <w:jc w:val="center"/>
        <w:textAlignment w:val="auto"/>
        <w:rPr>
          <w:rFonts w:hint="eastAsia" w:ascii="Times New Roman" w:hAnsi="Times New Roman" w:eastAsia="方正仿宋简体" w:cs="Times New Roman"/>
          <w:i w:val="0"/>
          <w:iCs w:val="0"/>
          <w:caps w:val="0"/>
          <w:snapToGrid/>
          <w:color w:val="0F1115"/>
          <w:spacing w:val="0"/>
          <w:kern w:val="2"/>
          <w:sz w:val="32"/>
          <w:szCs w:val="32"/>
          <w:shd w:val="clear" w:fill="FFFFFF"/>
          <w:lang w:val="en-US" w:eastAsia="zh-CN" w:bidi="ar-SA"/>
        </w:rPr>
      </w:pPr>
      <w:r>
        <w:rPr>
          <w:rFonts w:hint="eastAsia" w:ascii="方正楷体_GBK" w:hAnsi="方正楷体_GBK" w:eastAsia="方正楷体_GBK" w:cs="方正楷体_GBK"/>
          <w:i w:val="0"/>
          <w:iCs w:val="0"/>
          <w:caps w:val="0"/>
          <w:snapToGrid/>
          <w:color w:val="0F1115"/>
          <w:spacing w:val="0"/>
          <w:kern w:val="2"/>
          <w:sz w:val="32"/>
          <w:szCs w:val="32"/>
          <w:shd w:val="clear" w:fill="FFFFFF"/>
          <w:lang w:val="en-US" w:eastAsia="zh-CN" w:bidi="ar-SA"/>
        </w:rPr>
        <w:t>（征求意见稿）</w:t>
      </w:r>
    </w:p>
    <w:p>
      <w:pPr>
        <w:pStyle w:val="4"/>
        <w:keepNext w:val="0"/>
        <w:keepLines w:val="0"/>
        <w:pageBreakBefore w:val="0"/>
        <w:widowControl/>
        <w:numPr>
          <w:ilvl w:val="2"/>
          <w:numId w:val="0"/>
        </w:numPr>
        <w:suppressLineNumbers w:val="0"/>
        <w:shd w:val="clear" w:fill="FFFFFF"/>
        <w:kinsoku/>
        <w:wordWrap/>
        <w:overflowPunct/>
        <w:topLinePunct w:val="0"/>
        <w:autoSpaceDE/>
        <w:autoSpaceDN/>
        <w:bidi w:val="0"/>
        <w:adjustRightInd w:val="0"/>
        <w:snapToGrid w:val="0"/>
        <w:spacing w:before="0" w:beforeLines="0" w:beforeAutospacing="0" w:after="0" w:afterLines="0" w:afterAutospacing="0" w:line="560" w:lineRule="exact"/>
        <w:ind w:leftChars="0" w:right="0" w:rightChars="0"/>
        <w:jc w:val="center"/>
        <w:textAlignment w:val="auto"/>
        <w:rPr>
          <w:rFonts w:hint="eastAsia" w:ascii="方正黑体简体" w:hAnsi="方正黑体简体" w:eastAsia="方正黑体简体" w:cs="方正黑体简体"/>
          <w:b/>
          <w:bCs/>
          <w:caps w:val="0"/>
          <w:color w:val="0F1115"/>
          <w:spacing w:val="0"/>
          <w:sz w:val="32"/>
          <w:szCs w:val="32"/>
        </w:rPr>
      </w:pPr>
      <w:r>
        <w:rPr>
          <w:rFonts w:hint="eastAsia" w:ascii="方正黑体简体" w:hAnsi="Arial" w:eastAsia="方正黑体简体" w:cs="Times New Roman"/>
          <w:b w:val="0"/>
          <w:bCs/>
          <w:snapToGrid/>
          <w:kern w:val="2"/>
          <w:sz w:val="32"/>
          <w:szCs w:val="32"/>
          <w:lang w:val="en-US" w:eastAsia="zh-CN" w:bidi="ar-SA"/>
        </w:rPr>
        <w:t>第一章 总则</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eastAsia" w:ascii="Times New Roman" w:hAnsi="Times New Roman" w:eastAsia="仿宋_GB2312" w:cs="Times New Roman"/>
          <w:snapToGrid/>
          <w:color w:val="auto"/>
          <w:kern w:val="2"/>
          <w:sz w:val="32"/>
          <w:szCs w:val="32"/>
          <w:lang w:val="en-US" w:eastAsia="zh-CN" w:bidi="ar-SA"/>
        </w:rPr>
      </w:pPr>
      <w:r>
        <w:rPr>
          <w:rFonts w:hint="eastAsia" w:ascii="方正仿宋简体" w:hAnsi="方正仿宋简体" w:eastAsia="方正仿宋简体" w:cs="方正仿宋简体"/>
          <w:b/>
          <w:bCs/>
          <w:i w:val="0"/>
          <w:iCs w:val="0"/>
          <w:caps w:val="0"/>
          <w:color w:val="0F1115"/>
          <w:spacing w:val="0"/>
          <w:sz w:val="32"/>
          <w:szCs w:val="32"/>
          <w:shd w:val="clear" w:fill="FFFFFF"/>
        </w:rPr>
        <w:t>第一条</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 xml:space="preserve">  </w:t>
      </w:r>
      <w:r>
        <w:rPr>
          <w:rFonts w:hint="eastAsia" w:ascii="Times New Roman" w:hAnsi="Times New Roman" w:eastAsia="仿宋_GB2312" w:cs="Times New Roman"/>
          <w:snapToGrid/>
          <w:color w:val="auto"/>
          <w:kern w:val="2"/>
          <w:sz w:val="32"/>
          <w:szCs w:val="32"/>
          <w:lang w:val="en-US" w:eastAsia="zh-CN" w:bidi="ar-SA"/>
        </w:rPr>
        <w:t>为加强揭阳大南海石化工业区（以下简称“工业区”）内企业对承包商安全管理工作，落实企业安全生产主体责任，防止和减少生产安全事故，提升工业区本质安全水平，保障人民群众生命财产安全，根据《中华人民共和国安全生产法》《中华人民共和国危险化学品安全法》《广东省安全生产条例》《化工企业承包商安全管理指南》（T/CCSAS014-</w:t>
      </w:r>
      <w:r>
        <w:rPr>
          <w:rFonts w:hint="default" w:ascii="Times New Roman" w:hAnsi="Times New Roman" w:eastAsia="仿宋_GB2312" w:cs="Times New Roman"/>
          <w:snapToGrid/>
          <w:color w:val="auto"/>
          <w:kern w:val="2"/>
          <w:sz w:val="32"/>
          <w:szCs w:val="32"/>
          <w:lang w:val="en-US" w:eastAsia="zh-CN" w:bidi="ar-SA"/>
        </w:rPr>
        <w:t>2022</w:t>
      </w:r>
      <w:r>
        <w:rPr>
          <w:rFonts w:hint="eastAsia" w:ascii="Times New Roman" w:hAnsi="Times New Roman" w:eastAsia="仿宋_GB2312" w:cs="Times New Roman"/>
          <w:snapToGrid/>
          <w:color w:val="auto"/>
          <w:kern w:val="2"/>
          <w:sz w:val="32"/>
          <w:szCs w:val="32"/>
          <w:lang w:val="en-US" w:eastAsia="zh-CN" w:bidi="ar-SA"/>
        </w:rPr>
        <w:t>）《危险化学品企业安全生产标准化通用规范》（GB45673-2025）等有关法律法规标准规范的规定，结合工业区实际，制定</w:t>
      </w:r>
      <w:r>
        <w:rPr>
          <w:rFonts w:hint="default" w:ascii="Times New Roman" w:hAnsi="Times New Roman" w:eastAsia="仿宋_GB2312" w:cs="Times New Roman"/>
          <w:snapToGrid/>
          <w:color w:val="auto"/>
          <w:kern w:val="2"/>
          <w:sz w:val="32"/>
          <w:szCs w:val="32"/>
          <w:lang w:val="en-US" w:eastAsia="zh-CN" w:bidi="ar-SA"/>
        </w:rPr>
        <w:t>本制度。</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eastAsia"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rPr>
        <w:t>第二条</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 xml:space="preserve">  </w:t>
      </w:r>
      <w:r>
        <w:rPr>
          <w:rFonts w:hint="eastAsia" w:ascii="Times New Roman" w:hAnsi="Times New Roman" w:eastAsia="仿宋_GB2312" w:cs="Times New Roman"/>
          <w:snapToGrid/>
          <w:color w:val="auto"/>
          <w:kern w:val="2"/>
          <w:sz w:val="32"/>
          <w:szCs w:val="32"/>
          <w:lang w:val="en-US" w:eastAsia="zh-CN" w:bidi="ar-SA"/>
        </w:rPr>
        <w:t>相关定义和术语</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（一）承包商：按照双方协定要求、期限及条件向企业提供新（改、扩）建工程建设、检维修作业、工程技术服务的个人或团体。</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（二）</w:t>
      </w:r>
      <w:r>
        <w:rPr>
          <w:rFonts w:hint="eastAsia" w:ascii="Times New Roman" w:hAnsi="Times New Roman" w:eastAsia="仿宋_GB2312" w:cs="Times New Roman"/>
          <w:snapToGrid/>
          <w:color w:val="auto"/>
          <w:kern w:val="2"/>
          <w:sz w:val="32"/>
          <w:szCs w:val="32"/>
          <w:lang w:val="en-US" w:eastAsia="zh-CN" w:bidi="ar-SA"/>
        </w:rPr>
        <w:t>工程建设：主要包括土木工程、建筑工程、线路管道和设备安装工程、装修工程的建设和拆除活动。</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eastAsia"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（三）</w:t>
      </w:r>
      <w:r>
        <w:rPr>
          <w:rFonts w:hint="eastAsia" w:ascii="Times New Roman" w:hAnsi="Times New Roman" w:eastAsia="仿宋_GB2312" w:cs="Times New Roman"/>
          <w:snapToGrid/>
          <w:color w:val="auto"/>
          <w:kern w:val="2"/>
          <w:sz w:val="32"/>
          <w:szCs w:val="32"/>
          <w:lang w:val="en-US" w:eastAsia="zh-CN" w:bidi="ar-SA"/>
        </w:rPr>
        <w:t>检维修作业：主要包括为了保持和恢复设备设施规定的性能而采取的检测、维修以及日常维护保养等技术活动。</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（四）</w:t>
      </w:r>
      <w:r>
        <w:rPr>
          <w:rFonts w:hint="eastAsia" w:ascii="Times New Roman" w:hAnsi="Times New Roman" w:eastAsia="仿宋_GB2312" w:cs="Times New Roman"/>
          <w:snapToGrid/>
          <w:color w:val="auto"/>
          <w:kern w:val="2"/>
          <w:sz w:val="32"/>
          <w:szCs w:val="32"/>
          <w:lang w:val="en-US" w:eastAsia="zh-CN" w:bidi="ar-SA"/>
        </w:rPr>
        <w:t>工程技术服务</w:t>
      </w:r>
      <w:r>
        <w:rPr>
          <w:rFonts w:hint="default" w:ascii="Times New Roman" w:hAnsi="Times New Roman" w:eastAsia="仿宋_GB2312" w:cs="Times New Roman"/>
          <w:snapToGrid/>
          <w:color w:val="auto"/>
          <w:kern w:val="2"/>
          <w:sz w:val="32"/>
          <w:szCs w:val="32"/>
          <w:lang w:val="en-US" w:eastAsia="zh-CN" w:bidi="ar-SA"/>
        </w:rPr>
        <w:t>：指涉及企业生产现场作业的工程管理、工程设计、工程勘察、工程监理、设备调试、技术开发、技术咨询、检测、计量、物料转运、装卸</w:t>
      </w:r>
      <w:r>
        <w:rPr>
          <w:rFonts w:hint="eastAsia" w:ascii="Times New Roman" w:hAnsi="Times New Roman" w:eastAsia="仿宋_GB2312" w:cs="Times New Roman"/>
          <w:snapToGrid/>
          <w:color w:val="auto"/>
          <w:kern w:val="2"/>
          <w:sz w:val="32"/>
          <w:szCs w:val="32"/>
          <w:lang w:val="en-US" w:eastAsia="zh-CN" w:bidi="ar-SA"/>
        </w:rPr>
        <w:t>等</w:t>
      </w:r>
      <w:r>
        <w:rPr>
          <w:rFonts w:hint="default" w:ascii="Times New Roman" w:hAnsi="Times New Roman" w:eastAsia="仿宋_GB2312" w:cs="Times New Roman"/>
          <w:snapToGrid/>
          <w:color w:val="auto"/>
          <w:kern w:val="2"/>
          <w:sz w:val="32"/>
          <w:szCs w:val="32"/>
          <w:lang w:val="en-US" w:eastAsia="zh-CN" w:bidi="ar-SA"/>
        </w:rPr>
        <w:t>专业技术服务活动。</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五）安全培训考核：指由具备安全培训条件企业或在设区的市级以上地方人民政府应急管理部门登记备案的安全培训机构实施开展的培训和考核工作，根据考核结果提出人员上岗前是否具备相应安全能力的建议。</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第三条</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本制度适用于</w:t>
      </w:r>
      <w:r>
        <w:rPr>
          <w:rFonts w:hint="eastAsia" w:ascii="Times New Roman" w:hAnsi="Times New Roman" w:eastAsia="仿宋_GB2312" w:cs="Times New Roman"/>
          <w:snapToGrid/>
          <w:color w:val="auto"/>
          <w:kern w:val="2"/>
          <w:sz w:val="32"/>
          <w:szCs w:val="32"/>
          <w:lang w:val="en-US" w:eastAsia="zh-CN" w:bidi="ar-SA"/>
        </w:rPr>
        <w:t>工业</w:t>
      </w:r>
      <w:r>
        <w:rPr>
          <w:rFonts w:hint="default" w:ascii="Times New Roman" w:hAnsi="Times New Roman" w:eastAsia="仿宋_GB2312" w:cs="Times New Roman"/>
          <w:snapToGrid/>
          <w:color w:val="auto"/>
          <w:kern w:val="2"/>
          <w:sz w:val="32"/>
          <w:szCs w:val="32"/>
          <w:lang w:val="en-US" w:eastAsia="zh-CN" w:bidi="ar-SA"/>
        </w:rPr>
        <w:t>区内企业承包商以及负责公共基础设施和公共配套设施建设的企业承包商的安全管理。</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方正仿宋简体" w:hAnsi="方正仿宋简体" w:eastAsia="方正仿宋简体" w:cs="方正仿宋简体"/>
          <w:i w:val="0"/>
          <w:iCs w:val="0"/>
          <w:caps w:val="0"/>
          <w:color w:val="0F1115"/>
          <w:spacing w:val="0"/>
          <w:sz w:val="32"/>
          <w:szCs w:val="32"/>
          <w:shd w:val="clear" w:fill="FFFFFF"/>
          <w:lang w:val="en-US" w:eastAsia="zh-CN"/>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第四条</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 xml:space="preserve">  </w:t>
      </w:r>
      <w:r>
        <w:rPr>
          <w:rFonts w:hint="eastAsia" w:ascii="Times New Roman" w:hAnsi="Times New Roman" w:eastAsia="仿宋_GB2312" w:cs="Times New Roman"/>
          <w:snapToGrid/>
          <w:color w:val="auto"/>
          <w:kern w:val="2"/>
          <w:sz w:val="32"/>
          <w:szCs w:val="32"/>
          <w:lang w:val="en-US" w:eastAsia="zh-CN" w:bidi="ar-SA"/>
        </w:rPr>
        <w:t>工业</w:t>
      </w:r>
      <w:r>
        <w:rPr>
          <w:rFonts w:hint="default" w:ascii="Times New Roman" w:hAnsi="Times New Roman" w:eastAsia="仿宋_GB2312" w:cs="Times New Roman"/>
          <w:snapToGrid/>
          <w:color w:val="auto"/>
          <w:kern w:val="2"/>
          <w:sz w:val="32"/>
          <w:szCs w:val="32"/>
          <w:lang w:val="en-US" w:eastAsia="zh-CN" w:bidi="ar-SA"/>
        </w:rPr>
        <w:t>区内企业以及负责公共基础设施和公共配套设施建设的企业（以下统称“企业”）应当对其承包商的安全生产工作统一协调、管理，定期进行安全检查，发现安全隐患的，及时督促整改。</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方正仿宋简体" w:hAnsi="方正仿宋简体" w:eastAsia="方正仿宋简体" w:cs="方正仿宋简体"/>
          <w:i w:val="0"/>
          <w:iCs w:val="0"/>
          <w:caps w:val="0"/>
          <w:color w:val="0F1115"/>
          <w:spacing w:val="0"/>
          <w:sz w:val="32"/>
          <w:szCs w:val="32"/>
          <w:shd w:val="clear" w:fill="FFFFFF"/>
          <w:lang w:val="en-US" w:eastAsia="zh-CN"/>
        </w:rPr>
      </w:pPr>
    </w:p>
    <w:p>
      <w:pPr>
        <w:pStyle w:val="4"/>
        <w:keepNext w:val="0"/>
        <w:keepLines w:val="0"/>
        <w:pageBreakBefore w:val="0"/>
        <w:widowControl/>
        <w:numPr>
          <w:ilvl w:val="2"/>
          <w:numId w:val="0"/>
        </w:numPr>
        <w:suppressLineNumbers w:val="0"/>
        <w:shd w:val="clear" w:fill="FFFFFF"/>
        <w:kinsoku/>
        <w:wordWrap/>
        <w:overflowPunct/>
        <w:topLinePunct w:val="0"/>
        <w:autoSpaceDE/>
        <w:autoSpaceDN/>
        <w:bidi w:val="0"/>
        <w:adjustRightInd w:val="0"/>
        <w:snapToGrid w:val="0"/>
        <w:spacing w:before="0" w:beforeLines="0" w:beforeAutospacing="0" w:after="0" w:afterLines="0" w:afterAutospacing="0" w:line="560" w:lineRule="exact"/>
        <w:ind w:leftChars="0" w:right="0" w:rightChars="0"/>
        <w:jc w:val="center"/>
        <w:textAlignment w:val="auto"/>
        <w:rPr>
          <w:rFonts w:hint="default" w:ascii="方正黑体简体" w:hAnsi="方正黑体简体" w:eastAsia="方正黑体简体" w:cs="方正黑体简体"/>
          <w:b/>
          <w:bCs/>
          <w:caps w:val="0"/>
          <w:color w:val="0F1115"/>
          <w:spacing w:val="0"/>
          <w:sz w:val="32"/>
          <w:szCs w:val="32"/>
          <w:shd w:val="clear" w:fill="FFFFFF"/>
        </w:rPr>
      </w:pPr>
      <w:r>
        <w:rPr>
          <w:rFonts w:hint="default" w:ascii="方正黑体简体" w:hAnsi="Arial" w:eastAsia="方正黑体简体" w:cs="Times New Roman"/>
          <w:b w:val="0"/>
          <w:bCs/>
          <w:snapToGrid/>
          <w:kern w:val="2"/>
          <w:sz w:val="32"/>
          <w:szCs w:val="32"/>
          <w:lang w:val="en-US" w:eastAsia="zh-CN" w:bidi="ar-SA"/>
        </w:rPr>
        <w:t>第二章 职责分工</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第五条</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企业应当严格遵守应急管理部门及其他安全生产相关法律法规，切实落实发包安全管理主体责任。</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企业对承包商作业负有下列安全管理职责：</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（一）按照有关法律法规、标准，制定并严格执行本企业承包商安全管理制度</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（二）组织开展承包商安全资质与作业能力审查，审查合格的纳入本企业合格承包商名录（附件1），并按要求报送相应主管部门备案</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（三）组织签订安全生产管理协议，约定各自的安全生产管理职责</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（四）对承包商作业人员进行入厂安全生产教育</w:t>
      </w:r>
      <w:r>
        <w:rPr>
          <w:rFonts w:hint="eastAsia" w:ascii="Times New Roman" w:hAnsi="Times New Roman" w:eastAsia="仿宋_GB2312" w:cs="Times New Roman"/>
          <w:snapToGrid/>
          <w:color w:val="auto"/>
          <w:kern w:val="2"/>
          <w:sz w:val="32"/>
          <w:szCs w:val="32"/>
          <w:lang w:val="en-US" w:eastAsia="zh-CN" w:bidi="ar-SA"/>
        </w:rPr>
        <w:t>和</w:t>
      </w:r>
      <w:r>
        <w:rPr>
          <w:rFonts w:hint="default" w:ascii="Times New Roman" w:hAnsi="Times New Roman" w:eastAsia="仿宋_GB2312" w:cs="Times New Roman"/>
          <w:snapToGrid/>
          <w:color w:val="auto"/>
          <w:kern w:val="2"/>
          <w:sz w:val="32"/>
          <w:szCs w:val="32"/>
          <w:lang w:val="en-US" w:eastAsia="zh-CN" w:bidi="ar-SA"/>
        </w:rPr>
        <w:t>相关专项培训，将本企业存在的安全风险、危害因素、防范措施以及事故应急措施书面告知承包商，为考核合格的承包商人员办理工作区域出入卡</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（五）建立承包商入厂的</w:t>
      </w:r>
      <w:r>
        <w:rPr>
          <w:rFonts w:hint="eastAsia" w:ascii="Times New Roman" w:hAnsi="Times New Roman" w:eastAsia="仿宋_GB2312" w:cs="Times New Roman"/>
          <w:snapToGrid/>
          <w:color w:val="auto"/>
          <w:kern w:val="2"/>
          <w:sz w:val="32"/>
          <w:szCs w:val="32"/>
          <w:lang w:val="en-US" w:eastAsia="zh-CN" w:bidi="ar-SA"/>
        </w:rPr>
        <w:t>设施</w:t>
      </w:r>
      <w:r>
        <w:rPr>
          <w:rFonts w:hint="default" w:ascii="Times New Roman" w:hAnsi="Times New Roman" w:eastAsia="仿宋_GB2312" w:cs="Times New Roman"/>
          <w:snapToGrid/>
          <w:color w:val="auto"/>
          <w:kern w:val="2"/>
          <w:sz w:val="32"/>
          <w:szCs w:val="32"/>
          <w:lang w:val="en-US" w:eastAsia="zh-CN" w:bidi="ar-SA"/>
        </w:rPr>
        <w:t>、设备核查制度，按要求进行核查</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（六）审查承包商的安全作业计划、专项作业方案等</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（七）督促承包商制定应急预案或现场处置方案，并做好应急预案的衔接，组织承包商参与本企业的应急演练</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（八）按照法律法规标准规范中关于作业许可的要求，做好承包商作业许可证审批管理</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九）建立承包商奖惩机制，对违章作业、野蛮施工、管理混乱的承包商作出处罚，对安全业绩突出的承包商进行奖励。负责承包商作业的全过程安全监管，记录其安全表现，对承包商的违章违纪行为及时督促整改</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（十）建立作业协调联系机制，及时向承包商告知本企业安全要求，协调解决作业过程各类问题</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（十一）将承包商纳入本企业安全管理体系，定期对承包商安全生产业绩进行评价，对严重失信承包商收集证据上报</w:t>
      </w:r>
      <w:r>
        <w:rPr>
          <w:rFonts w:hint="eastAsia" w:ascii="Times New Roman" w:hAnsi="Times New Roman" w:eastAsia="仿宋_GB2312" w:cs="Times New Roman"/>
          <w:snapToGrid/>
          <w:color w:val="auto"/>
          <w:kern w:val="2"/>
          <w:sz w:val="32"/>
          <w:szCs w:val="32"/>
          <w:lang w:val="en-US" w:eastAsia="zh-CN" w:bidi="ar-SA"/>
        </w:rPr>
        <w:t>工业区</w:t>
      </w:r>
      <w:r>
        <w:rPr>
          <w:rFonts w:hint="default" w:ascii="Times New Roman" w:hAnsi="Times New Roman" w:eastAsia="仿宋_GB2312" w:cs="Times New Roman"/>
          <w:snapToGrid/>
          <w:color w:val="auto"/>
          <w:kern w:val="2"/>
          <w:sz w:val="32"/>
          <w:szCs w:val="32"/>
          <w:lang w:val="en-US" w:eastAsia="zh-CN" w:bidi="ar-SA"/>
        </w:rPr>
        <w:t>行业主管部门，纳入工业区统一承包商 “黑名单”</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（十二）将承包商在本企业发生的生产安全事故纳入本企业的事故管理</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（十三）法律法规、规章等规定的其他职责</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第六条</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承包商应当严格遵守安全生产相关法律法规，切实落实本单位安全生产主体责任。</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承包商负有下列现场安全职责：</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（一）遵守企业的各项管理规定，接受安全管理、监督和指导，做好各类安全问题和隐患的整改</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（二）制定作业方案，明确作业内容、作业范围、作业步骤、安全管理要求及安全防范措施等</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（三）按规定设置安全管理人员，做好现场安全检查和日常安全管理工作，落实作业安全防范措施</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（四）按照法律法规，对进入现场的</w:t>
      </w:r>
      <w:r>
        <w:rPr>
          <w:rFonts w:hint="eastAsia" w:ascii="Times New Roman" w:hAnsi="Times New Roman" w:eastAsia="仿宋_GB2312" w:cs="Times New Roman"/>
          <w:snapToGrid/>
          <w:color w:val="auto"/>
          <w:kern w:val="2"/>
          <w:sz w:val="32"/>
          <w:szCs w:val="32"/>
          <w:lang w:val="en-US" w:eastAsia="zh-CN" w:bidi="ar-SA"/>
        </w:rPr>
        <w:t>设施</w:t>
      </w:r>
      <w:r>
        <w:rPr>
          <w:rFonts w:hint="default" w:ascii="Times New Roman" w:hAnsi="Times New Roman" w:eastAsia="仿宋_GB2312" w:cs="Times New Roman"/>
          <w:snapToGrid/>
          <w:color w:val="auto"/>
          <w:kern w:val="2"/>
          <w:sz w:val="32"/>
          <w:szCs w:val="32"/>
          <w:lang w:val="en-US" w:eastAsia="zh-CN" w:bidi="ar-SA"/>
        </w:rPr>
        <w:t>、设备进行自检或检验检测，确保达到法律法规和安全标准的要求</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（五）按规定为施工人员配备符合要求的劳动防护用品，监督正确使用</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（六）制定作业现场的生产安全事故应急预案或现场处置方案，参与企业的应急演练，及时向企业报告作业过程中发生的事故以及不安全的状况</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（七）依法为作业人员缴纳工伤等社会保险</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（八）负责员工的安全生产教育培训</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方正仿宋简体" w:hAnsi="方正仿宋简体" w:eastAsia="方正仿宋简体" w:cs="方正仿宋简体"/>
          <w:i w:val="0"/>
          <w:iCs w:val="0"/>
          <w:caps w:val="0"/>
          <w:color w:val="0F1115"/>
          <w:spacing w:val="0"/>
          <w:sz w:val="32"/>
          <w:szCs w:val="32"/>
          <w:shd w:val="clear" w:fill="FFFFFF"/>
          <w:lang w:val="en-US" w:eastAsia="zh-CN"/>
        </w:rPr>
      </w:pPr>
      <w:r>
        <w:rPr>
          <w:rFonts w:hint="default" w:ascii="Times New Roman" w:hAnsi="Times New Roman" w:eastAsia="仿宋_GB2312" w:cs="Times New Roman"/>
          <w:snapToGrid/>
          <w:color w:val="auto"/>
          <w:kern w:val="2"/>
          <w:sz w:val="32"/>
          <w:szCs w:val="32"/>
          <w:lang w:val="en-US" w:eastAsia="zh-CN" w:bidi="ar-SA"/>
        </w:rPr>
        <w:t>（九）法律法规、规章等规定的其他职责。</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第七条</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Times New Roman" w:hAnsi="Times New Roman" w:eastAsia="仿宋_GB2312" w:cs="Times New Roman"/>
          <w:snapToGrid/>
          <w:color w:val="auto"/>
          <w:kern w:val="2"/>
          <w:sz w:val="32"/>
          <w:szCs w:val="32"/>
          <w:lang w:val="en-US" w:eastAsia="zh-CN" w:bidi="ar-SA"/>
        </w:rPr>
        <w:t>工业区各相关职能部门应当依据自身法定职责将本行业领域企业承包商纳入安全监督管理范畴，定期对承包商安全管理情况进行检查和抽查，发现存在重大安全隐患的，依法依规采取约谈、挂牌督办、责令停工、行政处罚等措施。负责收集、核实并及时更新本行业领域企业合格承包商名录、承包商“黑名单”和承包商退出名单，录入园区智能化管控平台，实现对承包商全流程信息化动态管理。</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根据“三管三必须”原则，对各相关职能部门承包商管理职责划分如下：</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（一）揭阳大南海石化工业区经济发展局牵头负责涉及能源、长输管道等行业领域承包商管理；</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（二）揭阳大南海石化工业区建设管理局牵头负责建筑施工、建筑安装、工程设计、工程勘察、工程监理、市政基础设施建设等行业领域承包商管理；</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（三）揭阳大南海石化工业区安全生产应急管理局牵头负责已投产危化企业等行业领域承包商管理；</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（四）揭阳市市场监督管理局大南海分局牵头负责特种设备安装、特种设备检验检测、计量等领域承包商管理；</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（五）揭阳市城市管理和综合执法局大南海分局牵头负责工业区市政设施、园林绿化、市容和环境卫生等行业领域承包商管理；</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（六）揭阳市生态环境局大南海分局牵头负责涉及工业区相关污染防治、生态保护、环评审批等行业领域承包商管理；</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（七）涉及工业区公共基础设施和公共配套设施建设的，由项目建设单位负责承包商管理；</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eastAsia" w:ascii="方正仿宋简体" w:hAnsi="方正仿宋简体" w:eastAsia="方正仿宋简体" w:cs="方正仿宋简体"/>
          <w:i w:val="0"/>
          <w:iCs w:val="0"/>
          <w:caps w:val="0"/>
          <w:color w:val="0F1115"/>
          <w:spacing w:val="0"/>
          <w:sz w:val="32"/>
          <w:szCs w:val="32"/>
          <w:shd w:val="clear" w:fill="FFFFFF"/>
          <w:lang w:val="en-US" w:eastAsia="zh-CN"/>
        </w:rPr>
      </w:pP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jc w:val="center"/>
        <w:textAlignment w:val="auto"/>
        <w:rPr>
          <w:rFonts w:hint="default" w:ascii="方正黑体简体" w:hAnsi="Arial" w:eastAsia="方正黑体简体" w:cs="Times New Roman"/>
          <w:b w:val="0"/>
          <w:bCs/>
          <w:snapToGrid/>
          <w:kern w:val="2"/>
          <w:sz w:val="32"/>
          <w:szCs w:val="32"/>
          <w:lang w:val="en-US" w:eastAsia="zh-CN" w:bidi="ar-SA"/>
        </w:rPr>
      </w:pPr>
      <w:r>
        <w:rPr>
          <w:rFonts w:hint="default" w:ascii="方正黑体简体" w:hAnsi="Arial" w:eastAsia="方正黑体简体" w:cs="Times New Roman"/>
          <w:b w:val="0"/>
          <w:bCs/>
          <w:snapToGrid/>
          <w:kern w:val="2"/>
          <w:sz w:val="32"/>
          <w:szCs w:val="32"/>
          <w:lang w:val="en-US" w:eastAsia="zh-CN" w:bidi="ar-SA"/>
        </w:rPr>
        <w:t>第三章 承包商全过程安全管理</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auto"/>
          <w:spacing w:val="0"/>
          <w:kern w:val="2"/>
          <w:sz w:val="32"/>
          <w:szCs w:val="32"/>
          <w:shd w:val="clear" w:fill="FFFFFF"/>
          <w:lang w:val="en-US" w:eastAsia="zh-CN" w:bidi="ar-SA"/>
        </w:rPr>
        <w:t>第八条</w:t>
      </w:r>
      <w:r>
        <w:rPr>
          <w:rFonts w:hint="eastAsia" w:ascii="方正仿宋简体" w:hAnsi="方正仿宋简体" w:eastAsia="方正仿宋简体" w:cs="方正仿宋简体"/>
          <w:b/>
          <w:bCs/>
          <w:i w:val="0"/>
          <w:iCs w:val="0"/>
          <w:caps w:val="0"/>
          <w:color w:val="auto"/>
          <w:spacing w:val="0"/>
          <w:kern w:val="2"/>
          <w:sz w:val="32"/>
          <w:szCs w:val="32"/>
          <w:shd w:val="clear" w:fill="FFFFFF"/>
          <w:lang w:val="en-US" w:eastAsia="zh-CN" w:bidi="ar-SA"/>
        </w:rPr>
        <w:t xml:space="preserve"> </w:t>
      </w:r>
      <w:r>
        <w:rPr>
          <w:rFonts w:hint="eastAsia" w:ascii="Times New Roman" w:hAnsi="Times New Roman" w:eastAsia="仿宋_GB2312" w:cs="Times New Roman"/>
          <w:snapToGrid/>
          <w:color w:val="auto"/>
          <w:kern w:val="2"/>
          <w:sz w:val="32"/>
          <w:szCs w:val="32"/>
          <w:lang w:val="en-US" w:eastAsia="zh-CN" w:bidi="ar-SA"/>
        </w:rPr>
        <w:t>承包商准入管理：企业应当明确对外委托项目所需承包商资格条件，组织分析、评估发包项目风险和要求。在获得承包商相关信息后，应当对承包商的安全资格进行审查（附件</w:t>
      </w:r>
      <w:r>
        <w:rPr>
          <w:rFonts w:hint="default" w:ascii="Times New Roman" w:hAnsi="Times New Roman" w:eastAsia="仿宋_GB2312" w:cs="Times New Roman"/>
          <w:snapToGrid/>
          <w:color w:val="auto"/>
          <w:kern w:val="2"/>
          <w:sz w:val="32"/>
          <w:szCs w:val="32"/>
          <w:lang w:val="en-US" w:eastAsia="zh-CN" w:bidi="ar-SA"/>
        </w:rPr>
        <w:t>2</w:t>
      </w:r>
      <w:r>
        <w:rPr>
          <w:rFonts w:hint="eastAsia" w:ascii="Times New Roman" w:hAnsi="Times New Roman" w:eastAsia="仿宋_GB2312" w:cs="Times New Roman"/>
          <w:snapToGrid/>
          <w:color w:val="auto"/>
          <w:kern w:val="2"/>
          <w:sz w:val="32"/>
          <w:szCs w:val="32"/>
          <w:lang w:val="en-US" w:eastAsia="zh-CN" w:bidi="ar-SA"/>
        </w:rPr>
        <w:t>），资格审查应当至少包括以下内容：</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（一）资质、资格许可证（营业执照、建筑业企业资质、安全生产许可证等；咨询服务、信息技术服务类承包商应具备相应行业资质或能力证明）</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（二）近三年安全生产事故、监管行政处罚记录，准入前交叉核查信用平台、工业区承包商黑名单失信记录</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（三）安全计划书或服务方案（含安全措施、风险管控内容）</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（四）安全管理机构设置及安全管理人员配备情况</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（五）项目负责人、安全管理人员、特种作业人员、特种设备作业人员的</w:t>
      </w:r>
      <w:r>
        <w:rPr>
          <w:rFonts w:hint="eastAsia" w:ascii="Times New Roman" w:hAnsi="Times New Roman" w:eastAsia="仿宋_GB2312" w:cs="Times New Roman"/>
          <w:snapToGrid/>
          <w:color w:val="auto"/>
          <w:kern w:val="2"/>
          <w:sz w:val="32"/>
          <w:szCs w:val="32"/>
          <w:lang w:val="en-US" w:eastAsia="zh-CN" w:bidi="ar-SA"/>
        </w:rPr>
        <w:t>有效</w:t>
      </w:r>
      <w:r>
        <w:rPr>
          <w:rFonts w:hint="default" w:ascii="Times New Roman" w:hAnsi="Times New Roman" w:eastAsia="仿宋_GB2312" w:cs="Times New Roman"/>
          <w:snapToGrid/>
          <w:color w:val="auto"/>
          <w:kern w:val="2"/>
          <w:sz w:val="32"/>
          <w:szCs w:val="32"/>
          <w:lang w:val="en-US" w:eastAsia="zh-CN" w:bidi="ar-SA"/>
        </w:rPr>
        <w:t>资格证书</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（六）全体从业人员安全教育培训完整档案</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（七）承包商安全管理制度、操作规程、应急预案及演练记录</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（八）承包商安全生产书面承诺</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eastAsia"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（九）施工机械、特种设备定期检验检测合格报告</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eastAsia"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（十）是否按规定投保安责险，并提供有效的保险凭证。</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第九条</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承包商选择：企业应根据项目施工类型、作业风险等情况，明确对承包商的安全管理要求，综合评定承包商的能力，优先选择具有良好安全业绩和表现的承包商，</w:t>
      </w:r>
      <w:r>
        <w:rPr>
          <w:rFonts w:hint="eastAsia" w:ascii="Times New Roman" w:hAnsi="Times New Roman" w:eastAsia="仿宋_GB2312" w:cs="Times New Roman"/>
          <w:snapToGrid/>
          <w:color w:val="auto"/>
          <w:kern w:val="2"/>
          <w:sz w:val="32"/>
          <w:szCs w:val="32"/>
          <w:lang w:val="en-US" w:eastAsia="zh-CN" w:bidi="ar-SA"/>
        </w:rPr>
        <w:t>不得以最低价中标作为唯一评标标准</w:t>
      </w: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应设置合理的安全投入占比门槛，</w:t>
      </w:r>
      <w:r>
        <w:rPr>
          <w:rFonts w:hint="default" w:ascii="Times New Roman" w:hAnsi="Times New Roman" w:eastAsia="仿宋_GB2312" w:cs="Times New Roman"/>
          <w:snapToGrid/>
          <w:color w:val="auto"/>
          <w:kern w:val="2"/>
          <w:sz w:val="32"/>
          <w:szCs w:val="32"/>
          <w:lang w:val="en-US" w:eastAsia="zh-CN" w:bidi="ar-SA"/>
        </w:rPr>
        <w:t>杜绝因恶性低价竞争降低项目安全生产条件。</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第十条</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签订安全协议：企业与承包商在签订项目承包合同时，应签订安全协议或合同附件，明确双方的安全责任、义务和要求。安全协议应当至少包括以下内容：</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（一）企业安全规章制度告知</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（二）双方工作范围和安全责任界定</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（三）企业提出的确保施工安全的组织、安全、技术措施及现场考核规定</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（四）有关事故报告、调查、统计、责任划分的规定</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（五）对承包商人员进行安全教育、终止施工特殊条款</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方正仿宋简体" w:hAnsi="方正仿宋简体" w:eastAsia="方正仿宋简体" w:cs="方正仿宋简体"/>
          <w:i w:val="0"/>
          <w:iCs w:val="0"/>
          <w:caps w:val="0"/>
          <w:color w:val="0F1115"/>
          <w:spacing w:val="0"/>
          <w:sz w:val="32"/>
          <w:szCs w:val="32"/>
          <w:shd w:val="clear" w:fill="FFFFFF"/>
          <w:lang w:val="en-US" w:eastAsia="zh-CN"/>
        </w:rPr>
      </w:pPr>
      <w:r>
        <w:rPr>
          <w:rFonts w:hint="default" w:ascii="Times New Roman" w:hAnsi="Times New Roman" w:eastAsia="仿宋_GB2312" w:cs="Times New Roman"/>
          <w:snapToGrid/>
          <w:color w:val="auto"/>
          <w:kern w:val="2"/>
          <w:sz w:val="32"/>
          <w:szCs w:val="32"/>
          <w:lang w:val="en-US" w:eastAsia="zh-CN" w:bidi="ar-SA"/>
        </w:rPr>
        <w:t>（六）承包商不得擅自将工程转包、分包的规定。</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第十一条</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企业应当将承包商进入现场施工人员纳入本企业从业人员管理，对其安全培训应当至少包括以下内容：</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（一）工程概况、施工特点和安全管理要求</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（二）施工区域的危险作业项目、风险辨识及管控措施</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（三）施工现场的安全、健康及环保要求</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（四）施工现场的职业危害因素、个体防护用品的使用要求</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（五）施工现场的应急响应和异常处置要求。</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第十二条</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存在下列情形时，承包商应当对作业人员重新进行安全培训考核，合格后方可上岗作业，并报企业备案。</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（一）作业人员离岗一个月以上的</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（二）施工工艺和设备发生变更的</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（三）施工环境发生变化的</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（四）采用新工艺、新技术、新材料、新设备的。</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方正仿宋简体" w:hAnsi="方正仿宋简体" w:eastAsia="方正仿宋简体" w:cs="方正仿宋简体"/>
          <w:i w:val="0"/>
          <w:iCs w:val="0"/>
          <w:caps w:val="0"/>
          <w:color w:val="0F1115"/>
          <w:spacing w:val="0"/>
          <w:sz w:val="32"/>
          <w:szCs w:val="32"/>
          <w:shd w:val="clear" w:fill="FFFFFF"/>
          <w:lang w:val="en-US" w:eastAsia="zh-CN"/>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第十三条</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企业应当对承包商入厂（场）人员进行登记备案，根据人数和施工期限办理入厂（场）证，保证人证相符。</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第十四条</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开工前协调：开工前，企业与承包商双方应当召开协调会议，明确以下内容：</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（一）合同中的安全管理要求</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（二）承包商人员进出施工现场控制要求</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（三）施工现场环境、设备、设施、安全等管理要求</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（四）承包商对人员、设备管理情况的说明，特别是保障作业人员资质的措施</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（五）现场安全监督、奖惩、审核、作业许可等要求，包括劳保用品穿戴规定等</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（六）现场作业风险辨识及控制要求</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（七）现场作业条件的确认</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（八）现场应急措施</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（九）指定双方责任人员或安全管理联系人，确定现场负责人。</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方正仿宋简体" w:hAnsi="方正仿宋简体" w:eastAsia="方正仿宋简体" w:cs="方正仿宋简体"/>
          <w:i w:val="0"/>
          <w:iCs w:val="0"/>
          <w:caps w:val="0"/>
          <w:color w:val="0F1115"/>
          <w:spacing w:val="0"/>
          <w:sz w:val="32"/>
          <w:szCs w:val="32"/>
          <w:shd w:val="clear" w:fill="FFFFFF"/>
          <w:lang w:val="en-US" w:eastAsia="zh-CN"/>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第十五条</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 xml:space="preserve"> </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编制作业文件：针对存在火灾、爆炸、触电、中毒窒息、</w:t>
      </w:r>
      <w:r>
        <w:rPr>
          <w:rFonts w:hint="eastAsia" w:ascii="Times New Roman" w:hAnsi="Times New Roman" w:eastAsia="仿宋_GB2312" w:cs="Times New Roman"/>
          <w:snapToGrid/>
          <w:color w:val="auto"/>
          <w:kern w:val="2"/>
          <w:sz w:val="32"/>
          <w:szCs w:val="32"/>
          <w:lang w:val="en-US" w:eastAsia="zh-CN" w:bidi="ar-SA"/>
        </w:rPr>
        <w:t>高空坠落、</w:t>
      </w:r>
      <w:r>
        <w:rPr>
          <w:rFonts w:hint="default" w:ascii="Times New Roman" w:hAnsi="Times New Roman" w:eastAsia="仿宋_GB2312" w:cs="Times New Roman"/>
          <w:snapToGrid/>
          <w:color w:val="auto"/>
          <w:kern w:val="2"/>
          <w:sz w:val="32"/>
          <w:szCs w:val="32"/>
          <w:lang w:val="en-US" w:eastAsia="zh-CN" w:bidi="ar-SA"/>
        </w:rPr>
        <w:t>机械伤害、灼伤等风险的施工作业，承包商须编制专项施工方案及安全作业规程，并联合发包企业制定现场处置方案；所有施工作业，须严格遵照《危险化学品企业特殊作业规范》（GB30871-2022）《化工企业设备检修作业安全规范》（AQ3026-2026</w:t>
      </w:r>
      <w:r>
        <w:rPr>
          <w:rFonts w:hint="eastAsia" w:ascii="Times New Roman" w:hAnsi="Times New Roman" w:eastAsia="仿宋_GB2312" w:cs="Times New Roman"/>
          <w:snapToGrid/>
          <w:color w:val="auto"/>
          <w:kern w:val="2"/>
          <w:sz w:val="32"/>
          <w:szCs w:val="32"/>
          <w:lang w:val="en-US" w:eastAsia="zh-CN" w:bidi="ar-SA"/>
        </w:rPr>
        <w:t>）</w:t>
      </w:r>
      <w:r>
        <w:rPr>
          <w:rFonts w:hint="default" w:ascii="Times New Roman" w:hAnsi="Times New Roman" w:eastAsia="仿宋_GB2312" w:cs="Times New Roman"/>
          <w:snapToGrid/>
          <w:color w:val="auto"/>
          <w:kern w:val="2"/>
          <w:sz w:val="32"/>
          <w:szCs w:val="32"/>
          <w:lang w:val="en-US" w:eastAsia="zh-CN" w:bidi="ar-SA"/>
        </w:rPr>
        <w:t>相关规定实施。</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第十六条</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安全技术交底：企业应当对承包商现场作业人员进行安全技术交底，内容至少包括：</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（一）作业过程中可能存在的泄漏、火灾、爆炸、中毒、窒息、触电、坠落、物体打击和机械伤害等方面的危险有害因素、安全措施与应急措施</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（二）作业过程中可能出现影响人身、环境安全的异常工况等场景时，及时终止作业、撤离人员的要求</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（三）作业票证管理、临时用电、厂内机动车等特殊要求；涉及断路、动土作业时，应对作业现场的地下隐蔽工程进行交底</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（四）装置退料、吹扫、能量隔离措施等</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（五）组织作业人员了解和熟悉现场环境，核实安全措施的可靠性，熟悉应急救援器材的位置及分布。</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方正仿宋简体" w:hAnsi="方正仿宋简体" w:eastAsia="方正仿宋简体" w:cs="方正仿宋简体"/>
          <w:i w:val="0"/>
          <w:iCs w:val="0"/>
          <w:caps w:val="0"/>
          <w:color w:val="0F1115"/>
          <w:spacing w:val="0"/>
          <w:sz w:val="32"/>
          <w:szCs w:val="32"/>
          <w:shd w:val="clear" w:fill="FFFFFF"/>
          <w:lang w:val="en-US" w:eastAsia="zh-CN"/>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第十七条</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Times New Roman" w:hAnsi="Times New Roman" w:eastAsia="仿宋_GB2312" w:cs="Times New Roman"/>
          <w:snapToGrid/>
          <w:color w:val="auto"/>
          <w:kern w:val="2"/>
          <w:sz w:val="32"/>
          <w:szCs w:val="32"/>
          <w:lang w:val="en-US" w:eastAsia="zh-CN" w:bidi="ar-SA"/>
        </w:rPr>
        <w:t>设施、设备</w:t>
      </w:r>
      <w:r>
        <w:rPr>
          <w:rFonts w:hint="default" w:ascii="Times New Roman" w:hAnsi="Times New Roman" w:eastAsia="仿宋_GB2312" w:cs="Times New Roman"/>
          <w:snapToGrid/>
          <w:color w:val="auto"/>
          <w:kern w:val="2"/>
          <w:sz w:val="32"/>
          <w:szCs w:val="32"/>
          <w:lang w:val="en-US" w:eastAsia="zh-CN" w:bidi="ar-SA"/>
        </w:rPr>
        <w:t>确认：</w:t>
      </w:r>
      <w:r>
        <w:rPr>
          <w:rFonts w:hint="eastAsia" w:ascii="Times New Roman" w:hAnsi="Times New Roman" w:eastAsia="仿宋_GB2312" w:cs="Times New Roman"/>
          <w:snapToGrid/>
          <w:color w:val="auto"/>
          <w:kern w:val="2"/>
          <w:sz w:val="32"/>
          <w:szCs w:val="32"/>
          <w:lang w:val="en-US" w:eastAsia="zh-CN" w:bidi="ar-SA"/>
        </w:rPr>
        <w:t>承包商应提供符合安全标准的设施、设备和个体防护装备；</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企业应对施工材料和备件规范管理，确保使用的所有材料和备件符合技术规范和安全标准。</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方正仿宋简体" w:hAnsi="方正仿宋简体" w:eastAsia="方正仿宋简体" w:cs="方正仿宋简体"/>
          <w:i w:val="0"/>
          <w:iCs w:val="0"/>
          <w:caps w:val="0"/>
          <w:color w:val="0F1115"/>
          <w:spacing w:val="0"/>
          <w:sz w:val="32"/>
          <w:szCs w:val="32"/>
          <w:shd w:val="clear" w:fill="FFFFFF"/>
          <w:lang w:val="en-US" w:eastAsia="zh-CN"/>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第十八条</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承包商现场办公区的设置应当满足安全要求，与作业区保持安全防护距离，并经企业许可。</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第十九条</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作业过程安全管理基本要求：</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一）企业应当对承包商作业现场实施全过程安全监管，及时发现并制止违章违纪行为，消除各类安全隐患，对特级动火作业、进入受限空间作业应当全程视频监控。发现承包商作业人员不满足安全要求时，应当立即终止作业，采取人员更换或再培训等措施</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（二）同一作业区域内有两个及以上承包商进行可能危及对方的作业活动时，企业应当组织各方签订安全生产管理协议并指定专职安全生产管理人员进行安全检查、协调管理</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（三）承包商作业活动内容、地点等发生变化时，应当履行企业变更管理程序，修改安全协议和施工方案，经企业审核批准后实施</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（四）承包商应当严格执行企业作业许可管理，在危险化学品企业开展动火、受限空间等特殊作业的，应当满足GB30871有关规定</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（五）企业和承包商应当监督作业人员正确使用劳动防护用品</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六）承包商应当在施工现场入口处、起重机械、临时用电设施、脚手架、出入通道口、楼梯口、电梯井口、孔洞口、基坑边沿等危险部位，爆破物、有毒有害气体和液体储存场所，设置明显的安全警示标志。设备、管线倒空、置换干净后进行能量隔离</w:t>
      </w:r>
      <w:r>
        <w:rPr>
          <w:rFonts w:hint="eastAsia" w:ascii="Times New Roman" w:hAnsi="Times New Roman" w:eastAsia="仿宋_GB2312" w:cs="Times New Roman"/>
          <w:snapToGrid/>
          <w:color w:val="auto"/>
          <w:kern w:val="2"/>
          <w:sz w:val="32"/>
          <w:szCs w:val="32"/>
          <w:lang w:val="en-US" w:eastAsia="zh-CN" w:bidi="ar-SA"/>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方正仿宋简体" w:hAnsi="方正仿宋简体" w:eastAsia="方正仿宋简体" w:cs="方正仿宋简体"/>
          <w:i w:val="0"/>
          <w:iCs w:val="0"/>
          <w:caps w:val="0"/>
          <w:color w:val="0F1115"/>
          <w:spacing w:val="0"/>
          <w:sz w:val="32"/>
          <w:szCs w:val="32"/>
          <w:shd w:val="clear" w:fill="FFFFFF"/>
          <w:lang w:val="en-US" w:eastAsia="zh-CN"/>
        </w:rPr>
      </w:pPr>
      <w:r>
        <w:rPr>
          <w:rFonts w:hint="default" w:ascii="Times New Roman" w:hAnsi="Times New Roman" w:eastAsia="仿宋_GB2312" w:cs="Times New Roman"/>
          <w:snapToGrid/>
          <w:color w:val="auto"/>
          <w:kern w:val="2"/>
          <w:sz w:val="32"/>
          <w:szCs w:val="32"/>
          <w:lang w:val="en-US" w:eastAsia="zh-CN" w:bidi="ar-SA"/>
        </w:rPr>
        <w:t>（七）作业完成后，企业和承包商应当进行完工验收，共同对现场情况进行检查和确认。</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第二十条</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Times New Roman" w:hAnsi="Times New Roman" w:eastAsia="仿宋_GB2312" w:cs="Times New Roman"/>
          <w:snapToGrid/>
          <w:color w:val="auto"/>
          <w:kern w:val="2"/>
          <w:sz w:val="32"/>
          <w:szCs w:val="32"/>
          <w:lang w:val="en-US" w:eastAsia="zh-CN" w:bidi="ar-SA"/>
        </w:rPr>
        <w:t>工业区</w:t>
      </w:r>
      <w:r>
        <w:rPr>
          <w:rFonts w:hint="default" w:ascii="Times New Roman" w:hAnsi="Times New Roman" w:eastAsia="仿宋_GB2312" w:cs="Times New Roman"/>
          <w:snapToGrid/>
          <w:color w:val="auto"/>
          <w:kern w:val="2"/>
          <w:sz w:val="32"/>
          <w:szCs w:val="32"/>
          <w:lang w:val="en-US" w:eastAsia="zh-CN" w:bidi="ar-SA"/>
        </w:rPr>
        <w:t>各相应行业主管部门应当参照本制度第八条至第十九条规定的要求，</w:t>
      </w:r>
      <w:r>
        <w:rPr>
          <w:rFonts w:hint="eastAsia" w:ascii="Times New Roman" w:hAnsi="Times New Roman" w:eastAsia="仿宋_GB2312" w:cs="Times New Roman"/>
          <w:snapToGrid/>
          <w:color w:val="auto"/>
          <w:kern w:val="2"/>
          <w:sz w:val="32"/>
          <w:szCs w:val="32"/>
          <w:lang w:val="en-US" w:eastAsia="zh-CN" w:bidi="ar-SA"/>
        </w:rPr>
        <w:t>依据自身法定职责和相关法律法规</w:t>
      </w:r>
      <w:r>
        <w:rPr>
          <w:rFonts w:hint="default" w:ascii="Times New Roman" w:hAnsi="Times New Roman" w:eastAsia="仿宋_GB2312" w:cs="Times New Roman"/>
          <w:snapToGrid/>
          <w:color w:val="auto"/>
          <w:kern w:val="2"/>
          <w:sz w:val="32"/>
          <w:szCs w:val="32"/>
          <w:lang w:val="en-US" w:eastAsia="zh-CN" w:bidi="ar-SA"/>
        </w:rPr>
        <w:t>对本行业领域承包商加强日常监督管理。</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方正仿宋简体" w:cs="Times New Roman"/>
          <w:i w:val="0"/>
          <w:iCs w:val="0"/>
          <w:caps w:val="0"/>
          <w:color w:val="0F1115"/>
          <w:spacing w:val="0"/>
          <w:sz w:val="32"/>
          <w:szCs w:val="32"/>
          <w:shd w:val="clear" w:fill="FFFFFF"/>
          <w:lang w:val="en-US" w:eastAsia="zh-CN"/>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第二十一条</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考核评价：企业应当定期对承包商安全业绩进行评价（附件3），评价总分86～100分的为优秀档次，76～85分的为良好档次，66～75分的为合格档次，65分及以下的为不合格档次。评价结果作为续聘的依据，承包商评价应当至少包括以下内容：</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（一）在承包商选择阶段，以量化评估方式对承包商资质、安全业绩、安全管理、施工专项等方面进行评价；</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（二）在项目实施阶段，对承包商培训、技术措施、安全措施、遵章守纪等情况进行定期评价；</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三）项目结束后，对承包商全过程进行综合评价。项目周期超过一年的承包商，在每年12月底前进行承包商安全业绩评价。项目周期少于一年的承包商，在项目完成后进行承包商安全业绩评价（或统一到12月底前评价）。</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方正仿宋简体" w:cs="Times New Roman"/>
          <w:i w:val="0"/>
          <w:iCs w:val="0"/>
          <w:caps w:val="0"/>
          <w:color w:val="0F1115"/>
          <w:spacing w:val="0"/>
          <w:sz w:val="32"/>
          <w:szCs w:val="32"/>
          <w:shd w:val="clear" w:fill="FFFFFF"/>
          <w:lang w:val="en-US" w:eastAsia="zh-CN"/>
        </w:rPr>
      </w:pPr>
    </w:p>
    <w:p>
      <w:pPr>
        <w:pStyle w:val="4"/>
        <w:keepNext w:val="0"/>
        <w:keepLines w:val="0"/>
        <w:pageBreakBefore w:val="0"/>
        <w:widowControl/>
        <w:numPr>
          <w:ilvl w:val="2"/>
          <w:numId w:val="0"/>
        </w:numPr>
        <w:suppressLineNumbers w:val="0"/>
        <w:shd w:val="clear" w:fill="FFFFFF"/>
        <w:kinsoku/>
        <w:wordWrap/>
        <w:overflowPunct/>
        <w:topLinePunct w:val="0"/>
        <w:autoSpaceDE/>
        <w:autoSpaceDN/>
        <w:bidi w:val="0"/>
        <w:adjustRightInd w:val="0"/>
        <w:snapToGrid w:val="0"/>
        <w:spacing w:before="0" w:beforeLines="0" w:beforeAutospacing="0" w:after="0" w:afterLines="0" w:afterAutospacing="0" w:line="560" w:lineRule="exact"/>
        <w:ind w:leftChars="0" w:right="0" w:rightChars="0"/>
        <w:jc w:val="center"/>
        <w:textAlignment w:val="auto"/>
        <w:rPr>
          <w:rFonts w:hint="default" w:ascii="方正黑体简体" w:hAnsi="方正黑体简体" w:eastAsia="方正黑体简体" w:cs="方正黑体简体"/>
          <w:b/>
          <w:bCs/>
          <w:caps w:val="0"/>
          <w:color w:val="0F1115"/>
          <w:spacing w:val="0"/>
          <w:sz w:val="32"/>
          <w:szCs w:val="32"/>
          <w:shd w:val="clear" w:fill="FFFFFF"/>
          <w:lang w:val="en-US" w:eastAsia="zh-CN"/>
        </w:rPr>
      </w:pPr>
      <w:r>
        <w:rPr>
          <w:rFonts w:hint="default" w:ascii="方正黑体简体" w:hAnsi="Arial" w:eastAsia="方正黑体简体" w:cs="Times New Roman"/>
          <w:b w:val="0"/>
          <w:bCs/>
          <w:snapToGrid/>
          <w:kern w:val="2"/>
          <w:sz w:val="32"/>
          <w:szCs w:val="32"/>
          <w:lang w:val="en-US" w:eastAsia="zh-CN" w:bidi="ar-SA"/>
        </w:rPr>
        <w:t>第</w:t>
      </w:r>
      <w:r>
        <w:rPr>
          <w:rFonts w:hint="eastAsia" w:ascii="方正黑体简体" w:hAnsi="Arial" w:eastAsia="方正黑体简体" w:cs="Times New Roman"/>
          <w:b w:val="0"/>
          <w:bCs/>
          <w:snapToGrid/>
          <w:kern w:val="2"/>
          <w:sz w:val="32"/>
          <w:szCs w:val="32"/>
          <w:lang w:val="en-US" w:eastAsia="zh-CN" w:bidi="ar-SA"/>
        </w:rPr>
        <w:t>四</w:t>
      </w:r>
      <w:r>
        <w:rPr>
          <w:rFonts w:hint="default" w:ascii="方正黑体简体" w:hAnsi="Arial" w:eastAsia="方正黑体简体" w:cs="Times New Roman"/>
          <w:b w:val="0"/>
          <w:bCs/>
          <w:snapToGrid/>
          <w:kern w:val="2"/>
          <w:sz w:val="32"/>
          <w:szCs w:val="32"/>
          <w:lang w:val="en-US" w:eastAsia="zh-CN" w:bidi="ar-SA"/>
        </w:rPr>
        <w:t>章 承包商退出管理</w:t>
      </w:r>
      <w:r>
        <w:rPr>
          <w:rFonts w:hint="eastAsia" w:ascii="方正黑体简体" w:hAnsi="Arial" w:eastAsia="方正黑体简体" w:cs="Times New Roman"/>
          <w:b w:val="0"/>
          <w:bCs/>
          <w:snapToGrid/>
          <w:kern w:val="2"/>
          <w:sz w:val="32"/>
          <w:szCs w:val="32"/>
          <w:lang w:val="en-US" w:eastAsia="zh-CN" w:bidi="ar-SA"/>
        </w:rPr>
        <w:t>及黑名单</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二</w:t>
      </w: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十二条</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发生下列情形之一的承包商，予以正常退出，不纳入黑名单，整改合格后可再次参与</w:t>
      </w:r>
      <w:r>
        <w:rPr>
          <w:rFonts w:hint="eastAsia" w:ascii="Times New Roman" w:hAnsi="Times New Roman" w:eastAsia="仿宋_GB2312" w:cs="Times New Roman"/>
          <w:snapToGrid/>
          <w:color w:val="auto"/>
          <w:kern w:val="2"/>
          <w:sz w:val="32"/>
          <w:szCs w:val="32"/>
          <w:lang w:val="en-US" w:eastAsia="zh-CN" w:bidi="ar-SA"/>
        </w:rPr>
        <w:t>工业</w:t>
      </w:r>
      <w:r>
        <w:rPr>
          <w:rFonts w:hint="default" w:ascii="Times New Roman" w:hAnsi="Times New Roman" w:eastAsia="仿宋_GB2312" w:cs="Times New Roman"/>
          <w:snapToGrid/>
          <w:color w:val="auto"/>
          <w:kern w:val="2"/>
          <w:sz w:val="32"/>
          <w:szCs w:val="32"/>
          <w:lang w:val="en-US" w:eastAsia="zh-CN" w:bidi="ar-SA"/>
        </w:rPr>
        <w:t>区项目准入：</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（一）项目合同履约完毕、双方不再续约；</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二</w:t>
      </w:r>
      <w:r>
        <w:rPr>
          <w:rFonts w:hint="default" w:ascii="Times New Roman" w:hAnsi="Times New Roman" w:eastAsia="仿宋_GB2312" w:cs="Times New Roman"/>
          <w:snapToGrid/>
          <w:color w:val="auto"/>
          <w:kern w:val="2"/>
          <w:sz w:val="32"/>
          <w:szCs w:val="32"/>
          <w:lang w:val="en-US" w:eastAsia="zh-CN" w:bidi="ar-SA"/>
        </w:rPr>
        <w:t>）承包商主动申请终止</w:t>
      </w:r>
      <w:r>
        <w:rPr>
          <w:rFonts w:hint="eastAsia" w:ascii="Times New Roman" w:hAnsi="Times New Roman" w:eastAsia="仿宋_GB2312" w:cs="Times New Roman"/>
          <w:snapToGrid/>
          <w:color w:val="auto"/>
          <w:kern w:val="2"/>
          <w:sz w:val="32"/>
          <w:szCs w:val="32"/>
          <w:lang w:val="en-US" w:eastAsia="zh-CN" w:bidi="ar-SA"/>
        </w:rPr>
        <w:t>工业区</w:t>
      </w:r>
      <w:r>
        <w:rPr>
          <w:rFonts w:hint="default" w:ascii="Times New Roman" w:hAnsi="Times New Roman" w:eastAsia="仿宋_GB2312" w:cs="Times New Roman"/>
          <w:snapToGrid/>
          <w:color w:val="auto"/>
          <w:kern w:val="2"/>
          <w:sz w:val="32"/>
          <w:szCs w:val="32"/>
          <w:lang w:val="en-US" w:eastAsia="zh-CN" w:bidi="ar-SA"/>
        </w:rPr>
        <w:t>内所有合作业务；</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三</w:t>
      </w:r>
      <w:r>
        <w:rPr>
          <w:rFonts w:hint="default" w:ascii="Times New Roman" w:hAnsi="Times New Roman" w:eastAsia="仿宋_GB2312" w:cs="Times New Roman"/>
          <w:snapToGrid/>
          <w:color w:val="auto"/>
          <w:kern w:val="2"/>
          <w:sz w:val="32"/>
          <w:szCs w:val="32"/>
          <w:lang w:val="en-US" w:eastAsia="zh-CN" w:bidi="ar-SA"/>
        </w:rPr>
        <w:t>）年度安全业绩评价得分 65 分及以下，经限期整改仍达不到合作要求；</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四</w:t>
      </w:r>
      <w:r>
        <w:rPr>
          <w:rFonts w:hint="default" w:ascii="Times New Roman" w:hAnsi="Times New Roman" w:eastAsia="仿宋_GB2312" w:cs="Times New Roman"/>
          <w:snapToGrid/>
          <w:color w:val="auto"/>
          <w:kern w:val="2"/>
          <w:sz w:val="32"/>
          <w:szCs w:val="32"/>
          <w:lang w:val="en-US" w:eastAsia="zh-CN" w:bidi="ar-SA"/>
        </w:rPr>
        <w:t>）作业过程存在一般安全、质量、环保违规，限期整改后仍未落实闭环管控。</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第二十三条</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承包商（含施工、监理、勘察、设计、技术服务、维保等各类单位）存在下列严重失信、违法违规行为之一，责令立即停止</w:t>
      </w:r>
      <w:r>
        <w:rPr>
          <w:rFonts w:hint="eastAsia" w:ascii="Times New Roman" w:hAnsi="Times New Roman" w:eastAsia="仿宋_GB2312" w:cs="Times New Roman"/>
          <w:snapToGrid/>
          <w:color w:val="auto"/>
          <w:kern w:val="2"/>
          <w:sz w:val="32"/>
          <w:szCs w:val="32"/>
          <w:lang w:val="en-US" w:eastAsia="zh-CN" w:bidi="ar-SA"/>
        </w:rPr>
        <w:t>工业区</w:t>
      </w:r>
      <w:r>
        <w:rPr>
          <w:rFonts w:hint="default" w:ascii="Times New Roman" w:hAnsi="Times New Roman" w:eastAsia="仿宋_GB2312" w:cs="Times New Roman"/>
          <w:snapToGrid/>
          <w:color w:val="auto"/>
          <w:kern w:val="2"/>
          <w:sz w:val="32"/>
          <w:szCs w:val="32"/>
          <w:lang w:val="en-US" w:eastAsia="zh-CN" w:bidi="ar-SA"/>
        </w:rPr>
        <w:t>所有作业、退出工业区，同步纳入承包商黑名单，自列入之日起1年内不得在工业区内参与任何招投标、承接各类作业及技术服务项目：</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（一）采取伪造资质、虚假业绩、隐瞒重大事故等欺骗手段骗取准入资格；</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二</w:t>
      </w:r>
      <w:r>
        <w:rPr>
          <w:rFonts w:hint="default" w:ascii="Times New Roman" w:hAnsi="Times New Roman" w:eastAsia="仿宋_GB2312" w:cs="Times New Roman"/>
          <w:snapToGrid/>
          <w:color w:val="auto"/>
          <w:kern w:val="2"/>
          <w:sz w:val="32"/>
          <w:szCs w:val="32"/>
          <w:lang w:val="en-US" w:eastAsia="zh-CN" w:bidi="ar-SA"/>
        </w:rPr>
        <w:t>）通过行贿、串标、围标等不法手段承揽项目；</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三</w:t>
      </w:r>
      <w:r>
        <w:rPr>
          <w:rFonts w:hint="default" w:ascii="Times New Roman" w:hAnsi="Times New Roman" w:eastAsia="仿宋_GB2312" w:cs="Times New Roman"/>
          <w:snapToGrid/>
          <w:color w:val="auto"/>
          <w:kern w:val="2"/>
          <w:sz w:val="32"/>
          <w:szCs w:val="32"/>
          <w:lang w:val="en-US" w:eastAsia="zh-CN" w:bidi="ar-SA"/>
        </w:rPr>
        <w:t>）出借、挂靠资质，允许其他单位 / 个人以本单位名义承接业务，或转包、违法分包项目；</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四</w:t>
      </w:r>
      <w:r>
        <w:rPr>
          <w:rFonts w:hint="default" w:ascii="Times New Roman" w:hAnsi="Times New Roman" w:eastAsia="仿宋_GB2312" w:cs="Times New Roman"/>
          <w:snapToGrid/>
          <w:color w:val="auto"/>
          <w:kern w:val="2"/>
          <w:sz w:val="32"/>
          <w:szCs w:val="32"/>
          <w:lang w:val="en-US" w:eastAsia="zh-CN" w:bidi="ar-SA"/>
        </w:rPr>
        <w:t>）超越自身资质许可范围开展施工、监理、勘察、设计、技术服务等业务；</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五</w:t>
      </w:r>
      <w:r>
        <w:rPr>
          <w:rFonts w:hint="default" w:ascii="Times New Roman" w:hAnsi="Times New Roman" w:eastAsia="仿宋_GB2312" w:cs="Times New Roman"/>
          <w:snapToGrid/>
          <w:color w:val="auto"/>
          <w:kern w:val="2"/>
          <w:sz w:val="32"/>
          <w:szCs w:val="32"/>
          <w:lang w:val="en-US" w:eastAsia="zh-CN" w:bidi="ar-SA"/>
        </w:rPr>
        <w:t>）发生生产安全、工程质量、生态环保责任事故，且存在迟报、瞒报、谎报事故，或破坏事故现场、阻碍事故调查取证；</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六</w:t>
      </w:r>
      <w:r>
        <w:rPr>
          <w:rFonts w:hint="default" w:ascii="Times New Roman" w:hAnsi="Times New Roman" w:eastAsia="仿宋_GB2312" w:cs="Times New Roman"/>
          <w:snapToGrid/>
          <w:color w:val="auto"/>
          <w:kern w:val="2"/>
          <w:sz w:val="32"/>
          <w:szCs w:val="32"/>
          <w:lang w:val="en-US" w:eastAsia="zh-CN" w:bidi="ar-SA"/>
        </w:rPr>
        <w:t>）拒不配合、阻挠</w:t>
      </w:r>
      <w:r>
        <w:rPr>
          <w:rFonts w:hint="eastAsia" w:ascii="Times New Roman" w:hAnsi="Times New Roman" w:eastAsia="仿宋_GB2312" w:cs="Times New Roman"/>
          <w:snapToGrid/>
          <w:color w:val="auto"/>
          <w:kern w:val="2"/>
          <w:sz w:val="32"/>
          <w:szCs w:val="32"/>
          <w:lang w:val="en-US" w:eastAsia="zh-CN" w:bidi="ar-SA"/>
        </w:rPr>
        <w:t>工业区</w:t>
      </w:r>
      <w:r>
        <w:rPr>
          <w:rFonts w:hint="default" w:ascii="Times New Roman" w:hAnsi="Times New Roman" w:eastAsia="仿宋_GB2312" w:cs="Times New Roman"/>
          <w:snapToGrid/>
          <w:color w:val="auto"/>
          <w:kern w:val="2"/>
          <w:sz w:val="32"/>
          <w:szCs w:val="32"/>
          <w:lang w:val="en-US" w:eastAsia="zh-CN" w:bidi="ar-SA"/>
        </w:rPr>
        <w:t>各行业主管部门依法开展监督检查；</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七</w:t>
      </w:r>
      <w:r>
        <w:rPr>
          <w:rFonts w:hint="default" w:ascii="Times New Roman" w:hAnsi="Times New Roman" w:eastAsia="仿宋_GB2312" w:cs="Times New Roman"/>
          <w:snapToGrid/>
          <w:color w:val="auto"/>
          <w:kern w:val="2"/>
          <w:sz w:val="32"/>
          <w:szCs w:val="32"/>
          <w:lang w:val="en-US" w:eastAsia="zh-CN" w:bidi="ar-SA"/>
        </w:rPr>
        <w:t>）特种作业、特种设备作业人员无证上岗，人员无证作业问题情节严重；</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八</w:t>
      </w:r>
      <w:r>
        <w:rPr>
          <w:rFonts w:hint="default" w:ascii="Times New Roman" w:hAnsi="Times New Roman" w:eastAsia="仿宋_GB2312" w:cs="Times New Roman"/>
          <w:snapToGrid/>
          <w:color w:val="auto"/>
          <w:kern w:val="2"/>
          <w:sz w:val="32"/>
          <w:szCs w:val="32"/>
          <w:lang w:val="en-US" w:eastAsia="zh-CN" w:bidi="ar-SA"/>
        </w:rPr>
        <w:t>）违反安全生产、工程建设强制性标准，违规施工且拒不停工整改；</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九</w:t>
      </w:r>
      <w:r>
        <w:rPr>
          <w:rFonts w:hint="default" w:ascii="Times New Roman" w:hAnsi="Times New Roman" w:eastAsia="仿宋_GB2312" w:cs="Times New Roman"/>
          <w:snapToGrid/>
          <w:color w:val="auto"/>
          <w:kern w:val="2"/>
          <w:sz w:val="32"/>
          <w:szCs w:val="32"/>
          <w:lang w:val="en-US" w:eastAsia="zh-CN" w:bidi="ar-SA"/>
        </w:rPr>
        <w:t>）在全国范围内经省级以上主管部门认定的重大安全生产失信记录；</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十</w:t>
      </w:r>
      <w:r>
        <w:rPr>
          <w:rFonts w:hint="default" w:ascii="Times New Roman" w:hAnsi="Times New Roman" w:eastAsia="仿宋_GB2312" w:cs="Times New Roman"/>
          <w:snapToGrid/>
          <w:color w:val="auto"/>
          <w:kern w:val="2"/>
          <w:sz w:val="32"/>
          <w:szCs w:val="32"/>
          <w:lang w:val="en-US" w:eastAsia="zh-CN" w:bidi="ar-SA"/>
        </w:rPr>
        <w:t>）各类报告、方案未实地现场勘查，内容与现场实际严重不符，造成安全、质量风险；</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十</w:t>
      </w:r>
      <w:r>
        <w:rPr>
          <w:rFonts w:hint="default" w:ascii="Times New Roman" w:hAnsi="Times New Roman" w:eastAsia="仿宋_GB2312" w:cs="Times New Roman"/>
          <w:snapToGrid/>
          <w:color w:val="auto"/>
          <w:kern w:val="2"/>
          <w:sz w:val="32"/>
          <w:szCs w:val="32"/>
          <w:lang w:val="en-US" w:eastAsia="zh-CN" w:bidi="ar-SA"/>
        </w:rPr>
        <w:t>一）其他违反法律法规，给</w:t>
      </w:r>
      <w:r>
        <w:rPr>
          <w:rFonts w:hint="eastAsia" w:ascii="Times New Roman" w:hAnsi="Times New Roman" w:eastAsia="仿宋_GB2312" w:cs="Times New Roman"/>
          <w:snapToGrid/>
          <w:color w:val="auto"/>
          <w:kern w:val="2"/>
          <w:sz w:val="32"/>
          <w:szCs w:val="32"/>
          <w:lang w:val="en-US" w:eastAsia="zh-CN" w:bidi="ar-SA"/>
        </w:rPr>
        <w:t>工业区</w:t>
      </w:r>
      <w:r>
        <w:rPr>
          <w:rFonts w:hint="default" w:ascii="Times New Roman" w:hAnsi="Times New Roman" w:eastAsia="仿宋_GB2312" w:cs="Times New Roman"/>
          <w:snapToGrid/>
          <w:color w:val="auto"/>
          <w:kern w:val="2"/>
          <w:sz w:val="32"/>
          <w:szCs w:val="32"/>
          <w:lang w:val="en-US" w:eastAsia="zh-CN" w:bidi="ar-SA"/>
        </w:rPr>
        <w:t>企业造成重大经济损失、重大声誉负面影响的行为。</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第二十</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四</w:t>
      </w: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条</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除适用第二十三条规定外</w:t>
      </w:r>
      <w:r>
        <w:rPr>
          <w:rFonts w:hint="eastAsia" w:ascii="Times New Roman" w:hAnsi="Times New Roman" w:eastAsia="仿宋_GB2312" w:cs="Times New Roman"/>
          <w:snapToGrid/>
          <w:color w:val="auto"/>
          <w:kern w:val="2"/>
          <w:sz w:val="32"/>
          <w:szCs w:val="32"/>
          <w:lang w:val="en-US" w:eastAsia="zh-CN" w:bidi="ar-SA"/>
        </w:rPr>
        <w:t>，</w:t>
      </w:r>
      <w:r>
        <w:rPr>
          <w:rFonts w:hint="default" w:ascii="Times New Roman" w:hAnsi="Times New Roman" w:eastAsia="仿宋_GB2312" w:cs="Times New Roman"/>
          <w:snapToGrid/>
          <w:color w:val="auto"/>
          <w:kern w:val="2"/>
          <w:sz w:val="32"/>
          <w:szCs w:val="32"/>
          <w:lang w:val="en-US" w:eastAsia="zh-CN" w:bidi="ar-SA"/>
        </w:rPr>
        <w:t>施工单位存在下列严重失信、违法违规行为之一，责令立即停止</w:t>
      </w:r>
      <w:r>
        <w:rPr>
          <w:rFonts w:hint="eastAsia" w:ascii="Times New Roman" w:hAnsi="Times New Roman" w:eastAsia="仿宋_GB2312" w:cs="Times New Roman"/>
          <w:snapToGrid/>
          <w:color w:val="auto"/>
          <w:kern w:val="2"/>
          <w:sz w:val="32"/>
          <w:szCs w:val="32"/>
          <w:lang w:val="en-US" w:eastAsia="zh-CN" w:bidi="ar-SA"/>
        </w:rPr>
        <w:t>工业区</w:t>
      </w:r>
      <w:r>
        <w:rPr>
          <w:rFonts w:hint="default" w:ascii="Times New Roman" w:hAnsi="Times New Roman" w:eastAsia="仿宋_GB2312" w:cs="Times New Roman"/>
          <w:snapToGrid/>
          <w:color w:val="auto"/>
          <w:kern w:val="2"/>
          <w:sz w:val="32"/>
          <w:szCs w:val="32"/>
          <w:lang w:val="en-US" w:eastAsia="zh-CN" w:bidi="ar-SA"/>
        </w:rPr>
        <w:t>所有作业、退出工业区，同步纳入承包商黑名单，自列入之日起1年内不得在工业区内参与任何招投标、承接各类作业及技术服务项目：</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（一）未按规定派驻专职项目经理，未落实现场质量、安全、进度常态化管理；</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方正仿宋简体" w:cs="Times New Roman"/>
          <w:i w:val="0"/>
          <w:iCs w:val="0"/>
          <w:caps w:val="0"/>
          <w:color w:val="0F1115"/>
          <w:spacing w:val="0"/>
          <w:sz w:val="32"/>
          <w:szCs w:val="32"/>
          <w:shd w:val="clear" w:fill="FFFFFF"/>
          <w:lang w:val="en-US" w:eastAsia="zh-CN"/>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二</w:t>
      </w:r>
      <w:r>
        <w:rPr>
          <w:rFonts w:hint="default" w:ascii="Times New Roman" w:hAnsi="Times New Roman" w:eastAsia="仿宋_GB2312" w:cs="Times New Roman"/>
          <w:snapToGrid/>
          <w:color w:val="auto"/>
          <w:kern w:val="2"/>
          <w:sz w:val="32"/>
          <w:szCs w:val="32"/>
          <w:lang w:val="en-US" w:eastAsia="zh-CN" w:bidi="ar-SA"/>
        </w:rPr>
        <w:t>）严重违反工程建设强制性标准，存在重大结构性、安全隐患拒不整改。</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第二十</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五</w:t>
      </w: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条</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除适用第二十三条规定外</w:t>
      </w:r>
      <w:r>
        <w:rPr>
          <w:rFonts w:hint="eastAsia" w:ascii="Times New Roman" w:hAnsi="Times New Roman" w:eastAsia="仿宋_GB2312" w:cs="Times New Roman"/>
          <w:snapToGrid/>
          <w:color w:val="auto"/>
          <w:kern w:val="2"/>
          <w:sz w:val="32"/>
          <w:szCs w:val="32"/>
          <w:lang w:val="en-US" w:eastAsia="zh-CN" w:bidi="ar-SA"/>
        </w:rPr>
        <w:t>，</w:t>
      </w:r>
      <w:r>
        <w:rPr>
          <w:rFonts w:hint="default" w:ascii="Times New Roman" w:hAnsi="Times New Roman" w:eastAsia="仿宋_GB2312" w:cs="Times New Roman"/>
          <w:snapToGrid/>
          <w:color w:val="auto"/>
          <w:kern w:val="2"/>
          <w:sz w:val="32"/>
          <w:szCs w:val="32"/>
          <w:lang w:val="en-US" w:eastAsia="zh-CN" w:bidi="ar-SA"/>
        </w:rPr>
        <w:t>工程监理单位存在下列严重失信、违法违规行为之一，责令立即停止</w:t>
      </w:r>
      <w:r>
        <w:rPr>
          <w:rFonts w:hint="eastAsia" w:ascii="Times New Roman" w:hAnsi="Times New Roman" w:eastAsia="仿宋_GB2312" w:cs="Times New Roman"/>
          <w:snapToGrid/>
          <w:color w:val="auto"/>
          <w:kern w:val="2"/>
          <w:sz w:val="32"/>
          <w:szCs w:val="32"/>
          <w:lang w:val="en-US" w:eastAsia="zh-CN" w:bidi="ar-SA"/>
        </w:rPr>
        <w:t>工业区</w:t>
      </w:r>
      <w:r>
        <w:rPr>
          <w:rFonts w:hint="default" w:ascii="Times New Roman" w:hAnsi="Times New Roman" w:eastAsia="仿宋_GB2312" w:cs="Times New Roman"/>
          <w:snapToGrid/>
          <w:color w:val="auto"/>
          <w:kern w:val="2"/>
          <w:sz w:val="32"/>
          <w:szCs w:val="32"/>
          <w:lang w:val="en-US" w:eastAsia="zh-CN" w:bidi="ar-SA"/>
        </w:rPr>
        <w:t>所有作业、退出工业区，同步纳入承包商黑名单，自列入之日起1年内不得在工业区内参与任何招投标、承接各类作业及技术服务项目：</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（一）与建设、施工单位串通，弄虚作假、降低工程质量；</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未落实旁站监理制度，人为管控失序造成重大工期延误或安全隐患；</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二</w:t>
      </w:r>
      <w:r>
        <w:rPr>
          <w:rFonts w:hint="default" w:ascii="Times New Roman" w:hAnsi="Times New Roman" w:eastAsia="仿宋_GB2312" w:cs="Times New Roman"/>
          <w:snapToGrid/>
          <w:color w:val="auto"/>
          <w:kern w:val="2"/>
          <w:sz w:val="32"/>
          <w:szCs w:val="32"/>
          <w:lang w:val="en-US" w:eastAsia="zh-CN" w:bidi="ar-SA"/>
        </w:rPr>
        <w:t>）将不合格工程、材料、构配件、设备签字判定为合格；</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三</w:t>
      </w:r>
      <w:r>
        <w:rPr>
          <w:rFonts w:hint="default" w:ascii="Times New Roman" w:hAnsi="Times New Roman" w:eastAsia="仿宋_GB2312" w:cs="Times New Roman"/>
          <w:snapToGrid/>
          <w:color w:val="auto"/>
          <w:kern w:val="2"/>
          <w:sz w:val="32"/>
          <w:szCs w:val="32"/>
          <w:lang w:val="en-US" w:eastAsia="zh-CN" w:bidi="ar-SA"/>
        </w:rPr>
        <w:t>）转让监理业务，未履行监理安全职责并引发安全事故；</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四</w:t>
      </w:r>
      <w:r>
        <w:rPr>
          <w:rFonts w:hint="default" w:ascii="Times New Roman" w:hAnsi="Times New Roman" w:eastAsia="仿宋_GB2312" w:cs="Times New Roman"/>
          <w:snapToGrid/>
          <w:color w:val="auto"/>
          <w:kern w:val="2"/>
          <w:sz w:val="32"/>
          <w:szCs w:val="32"/>
          <w:lang w:val="en-US" w:eastAsia="zh-CN" w:bidi="ar-SA"/>
        </w:rPr>
        <w:t>）对施工单位重大违章、重大安全隐患放任不管、处置不力。</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第二十</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六</w:t>
      </w: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条</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除适用第二十三条规定外</w:t>
      </w:r>
      <w:r>
        <w:rPr>
          <w:rFonts w:hint="eastAsia" w:ascii="Times New Roman" w:hAnsi="Times New Roman" w:eastAsia="仿宋_GB2312" w:cs="Times New Roman"/>
          <w:snapToGrid/>
          <w:color w:val="auto"/>
          <w:kern w:val="2"/>
          <w:sz w:val="32"/>
          <w:szCs w:val="32"/>
          <w:lang w:val="en-US" w:eastAsia="zh-CN" w:bidi="ar-SA"/>
        </w:rPr>
        <w:t>，</w:t>
      </w:r>
      <w:r>
        <w:rPr>
          <w:rFonts w:hint="default" w:ascii="Times New Roman" w:hAnsi="Times New Roman" w:eastAsia="仿宋_GB2312" w:cs="Times New Roman"/>
          <w:snapToGrid/>
          <w:color w:val="auto"/>
          <w:kern w:val="2"/>
          <w:sz w:val="32"/>
          <w:szCs w:val="32"/>
          <w:lang w:val="en-US" w:eastAsia="zh-CN" w:bidi="ar-SA"/>
        </w:rPr>
        <w:t>勘察、设计单位存在下列严重失信、违法违规行为之一，责令立即停止</w:t>
      </w:r>
      <w:r>
        <w:rPr>
          <w:rFonts w:hint="eastAsia" w:ascii="Times New Roman" w:hAnsi="Times New Roman" w:eastAsia="仿宋_GB2312" w:cs="Times New Roman"/>
          <w:snapToGrid/>
          <w:color w:val="auto"/>
          <w:kern w:val="2"/>
          <w:sz w:val="32"/>
          <w:szCs w:val="32"/>
          <w:lang w:val="en-US" w:eastAsia="zh-CN" w:bidi="ar-SA"/>
        </w:rPr>
        <w:t>工业区</w:t>
      </w:r>
      <w:r>
        <w:rPr>
          <w:rFonts w:hint="default" w:ascii="Times New Roman" w:hAnsi="Times New Roman" w:eastAsia="仿宋_GB2312" w:cs="Times New Roman"/>
          <w:snapToGrid/>
          <w:color w:val="auto"/>
          <w:kern w:val="2"/>
          <w:sz w:val="32"/>
          <w:szCs w:val="32"/>
          <w:lang w:val="en-US" w:eastAsia="zh-CN" w:bidi="ar-SA"/>
        </w:rPr>
        <w:t>所有作业、退出工业区，同步纳入承包商黑名单，自列入之日起1年内不得在工业区内参与任何招投标、承接各类作业及技术服务项目：</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（一）违规指定建筑材料、设备、构配件生产供应商；</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二</w:t>
      </w:r>
      <w:r>
        <w:rPr>
          <w:rFonts w:hint="default" w:ascii="Times New Roman" w:hAnsi="Times New Roman" w:eastAsia="仿宋_GB2312" w:cs="Times New Roman"/>
          <w:snapToGrid/>
          <w:color w:val="auto"/>
          <w:kern w:val="2"/>
          <w:sz w:val="32"/>
          <w:szCs w:val="32"/>
          <w:lang w:val="en-US" w:eastAsia="zh-CN" w:bidi="ar-SA"/>
        </w:rPr>
        <w:t>）转让资质证书、出借图章图签供第三方使用；</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仿宋_GB2312" w:cs="Times New Roman"/>
          <w:snapToGrid/>
          <w:color w:val="auto"/>
          <w:kern w:val="2"/>
          <w:sz w:val="32"/>
          <w:szCs w:val="32"/>
          <w:lang w:val="en-US" w:eastAsia="zh-CN" w:bidi="ar-SA"/>
        </w:rPr>
        <w:t>（</w:t>
      </w:r>
      <w:r>
        <w:rPr>
          <w:rFonts w:hint="eastAsia" w:ascii="Times New Roman" w:hAnsi="Times New Roman" w:eastAsia="仿宋_GB2312" w:cs="Times New Roman"/>
          <w:snapToGrid/>
          <w:color w:val="auto"/>
          <w:kern w:val="2"/>
          <w:sz w:val="32"/>
          <w:szCs w:val="32"/>
          <w:lang w:val="en-US" w:eastAsia="zh-CN" w:bidi="ar-SA"/>
        </w:rPr>
        <w:t>三</w:t>
      </w:r>
      <w:r>
        <w:rPr>
          <w:rFonts w:hint="default" w:ascii="Times New Roman" w:hAnsi="Times New Roman" w:eastAsia="仿宋_GB2312" w:cs="Times New Roman"/>
          <w:snapToGrid/>
          <w:color w:val="auto"/>
          <w:kern w:val="2"/>
          <w:sz w:val="32"/>
          <w:szCs w:val="32"/>
          <w:lang w:val="en-US" w:eastAsia="zh-CN" w:bidi="ar-SA"/>
        </w:rPr>
        <w:t>）未按要求派驻现场设计代表，因勘察设计缺陷引发重大质量安全事故、重大经济损失。</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方正仿宋简体" w:hAnsi="方正仿宋简体" w:eastAsia="方正仿宋简体" w:cs="方正仿宋简体"/>
          <w:i w:val="0"/>
          <w:iCs w:val="0"/>
          <w:caps w:val="0"/>
          <w:color w:val="0F1115"/>
          <w:spacing w:val="0"/>
          <w:sz w:val="32"/>
          <w:szCs w:val="32"/>
          <w:shd w:val="clear" w:fill="FFFFFF"/>
          <w:lang w:val="en-US" w:eastAsia="zh-CN"/>
        </w:rPr>
      </w:pPr>
    </w:p>
    <w:p>
      <w:pPr>
        <w:pStyle w:val="4"/>
        <w:keepNext w:val="0"/>
        <w:keepLines w:val="0"/>
        <w:pageBreakBefore w:val="0"/>
        <w:widowControl/>
        <w:numPr>
          <w:ilvl w:val="2"/>
          <w:numId w:val="0"/>
        </w:numPr>
        <w:suppressLineNumbers w:val="0"/>
        <w:shd w:val="clear" w:fill="FFFFFF"/>
        <w:kinsoku/>
        <w:wordWrap/>
        <w:overflowPunct/>
        <w:topLinePunct w:val="0"/>
        <w:autoSpaceDE/>
        <w:autoSpaceDN/>
        <w:bidi w:val="0"/>
        <w:adjustRightInd w:val="0"/>
        <w:snapToGrid w:val="0"/>
        <w:spacing w:before="0" w:beforeLines="0" w:beforeAutospacing="0" w:after="0" w:afterLines="0" w:afterAutospacing="0" w:line="560" w:lineRule="exact"/>
        <w:ind w:leftChars="0" w:right="0" w:rightChars="0" w:firstLine="2560" w:firstLineChars="800"/>
        <w:jc w:val="both"/>
        <w:textAlignment w:val="auto"/>
        <w:rPr>
          <w:rFonts w:hint="default" w:ascii="方正黑体简体" w:hAnsi="方正黑体简体" w:eastAsia="方正黑体简体" w:cs="方正黑体简体"/>
          <w:b/>
          <w:bCs/>
          <w:caps w:val="0"/>
          <w:color w:val="0F1115"/>
          <w:spacing w:val="0"/>
          <w:sz w:val="32"/>
          <w:szCs w:val="32"/>
          <w:shd w:val="clear" w:fill="FFFFFF"/>
          <w:lang w:val="en-US" w:eastAsia="zh-CN"/>
        </w:rPr>
      </w:pPr>
      <w:r>
        <w:rPr>
          <w:rFonts w:hint="default" w:ascii="方正黑体简体" w:hAnsi="Arial" w:eastAsia="方正黑体简体" w:cs="Times New Roman"/>
          <w:b w:val="0"/>
          <w:bCs/>
          <w:snapToGrid/>
          <w:kern w:val="2"/>
          <w:sz w:val="32"/>
          <w:szCs w:val="32"/>
          <w:lang w:val="en-US" w:eastAsia="zh-CN" w:bidi="ar-SA"/>
        </w:rPr>
        <w:t>第</w:t>
      </w:r>
      <w:r>
        <w:rPr>
          <w:rFonts w:hint="eastAsia" w:ascii="方正黑体简体" w:hAnsi="Arial" w:eastAsia="方正黑体简体" w:cs="Times New Roman"/>
          <w:b w:val="0"/>
          <w:bCs/>
          <w:snapToGrid/>
          <w:kern w:val="2"/>
          <w:sz w:val="32"/>
          <w:szCs w:val="32"/>
          <w:lang w:val="en-US" w:eastAsia="zh-CN" w:bidi="ar-SA"/>
        </w:rPr>
        <w:t>五</w:t>
      </w:r>
      <w:r>
        <w:rPr>
          <w:rFonts w:hint="default" w:ascii="方正黑体简体" w:hAnsi="Arial" w:eastAsia="方正黑体简体" w:cs="Times New Roman"/>
          <w:b w:val="0"/>
          <w:bCs/>
          <w:snapToGrid/>
          <w:kern w:val="2"/>
          <w:sz w:val="32"/>
          <w:szCs w:val="32"/>
          <w:lang w:val="en-US" w:eastAsia="zh-CN" w:bidi="ar-SA"/>
        </w:rPr>
        <w:t>章 黑名单实施</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auto"/>
          <w:spacing w:val="0"/>
          <w:sz w:val="32"/>
          <w:szCs w:val="32"/>
          <w:shd w:val="clear" w:fill="FFFFFF"/>
          <w:lang w:val="en-US" w:eastAsia="zh-CN"/>
        </w:rPr>
        <w:t>第二十</w:t>
      </w:r>
      <w:r>
        <w:rPr>
          <w:rFonts w:hint="eastAsia" w:ascii="方正仿宋简体" w:hAnsi="方正仿宋简体" w:eastAsia="方正仿宋简体" w:cs="方正仿宋简体"/>
          <w:b/>
          <w:bCs/>
          <w:i w:val="0"/>
          <w:iCs w:val="0"/>
          <w:caps w:val="0"/>
          <w:color w:val="auto"/>
          <w:spacing w:val="0"/>
          <w:sz w:val="32"/>
          <w:szCs w:val="32"/>
          <w:shd w:val="clear" w:fill="FFFFFF"/>
          <w:lang w:val="en-US" w:eastAsia="zh-CN"/>
        </w:rPr>
        <w:t>七</w:t>
      </w:r>
      <w:r>
        <w:rPr>
          <w:rFonts w:hint="default" w:ascii="方正仿宋简体" w:hAnsi="方正仿宋简体" w:eastAsia="方正仿宋简体" w:cs="方正仿宋简体"/>
          <w:b/>
          <w:bCs/>
          <w:i w:val="0"/>
          <w:iCs w:val="0"/>
          <w:caps w:val="0"/>
          <w:color w:val="auto"/>
          <w:spacing w:val="0"/>
          <w:sz w:val="32"/>
          <w:szCs w:val="32"/>
          <w:shd w:val="clear" w:fill="FFFFFF"/>
          <w:lang w:val="en-US" w:eastAsia="zh-CN"/>
        </w:rPr>
        <w:t>条</w:t>
      </w:r>
      <w:r>
        <w:rPr>
          <w:rFonts w:hint="eastAsia" w:ascii="方正仿宋简体" w:hAnsi="方正仿宋简体" w:eastAsia="方正仿宋简体" w:cs="方正仿宋简体"/>
          <w:b/>
          <w:bCs/>
          <w:i w:val="0"/>
          <w:iCs w:val="0"/>
          <w:caps w:val="0"/>
          <w:color w:val="auto"/>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承包商“黑名单”由各企业负责初步认定，相应行业主管部门复核，</w:t>
      </w:r>
      <w:r>
        <w:rPr>
          <w:rFonts w:hint="eastAsia" w:ascii="Times New Roman" w:hAnsi="Times New Roman" w:eastAsia="仿宋_GB2312" w:cs="Times New Roman"/>
          <w:snapToGrid/>
          <w:color w:val="auto"/>
          <w:kern w:val="2"/>
          <w:sz w:val="32"/>
          <w:szCs w:val="32"/>
          <w:lang w:val="en-US" w:eastAsia="zh-CN" w:bidi="ar-SA"/>
        </w:rPr>
        <w:t>揭阳大南海石化工业区</w:t>
      </w:r>
      <w:r>
        <w:rPr>
          <w:rFonts w:hint="default" w:ascii="Times New Roman" w:hAnsi="Times New Roman" w:eastAsia="仿宋_GB2312" w:cs="Times New Roman"/>
          <w:snapToGrid/>
          <w:color w:val="auto"/>
          <w:kern w:val="2"/>
          <w:sz w:val="32"/>
          <w:szCs w:val="32"/>
          <w:lang w:val="en-US" w:eastAsia="zh-CN" w:bidi="ar-SA"/>
        </w:rPr>
        <w:t>安全生产委员会</w:t>
      </w:r>
      <w:r>
        <w:rPr>
          <w:rFonts w:hint="eastAsia" w:ascii="Times New Roman" w:hAnsi="Times New Roman" w:eastAsia="仿宋_GB2312" w:cs="Times New Roman"/>
          <w:snapToGrid/>
          <w:color w:val="auto"/>
          <w:kern w:val="2"/>
          <w:sz w:val="32"/>
          <w:szCs w:val="32"/>
          <w:lang w:val="en-US" w:eastAsia="zh-CN" w:bidi="ar-SA"/>
        </w:rPr>
        <w:t>（以下简称“区安委会”）</w:t>
      </w:r>
      <w:r>
        <w:rPr>
          <w:rFonts w:hint="default" w:ascii="Times New Roman" w:hAnsi="Times New Roman" w:eastAsia="仿宋_GB2312" w:cs="Times New Roman"/>
          <w:snapToGrid/>
          <w:color w:val="auto"/>
          <w:kern w:val="2"/>
          <w:sz w:val="32"/>
          <w:szCs w:val="32"/>
          <w:lang w:val="en-US" w:eastAsia="zh-CN" w:bidi="ar-SA"/>
        </w:rPr>
        <w:t>最终认定。</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方正仿宋简体" w:hAnsi="方正仿宋简体" w:eastAsia="方正仿宋简体" w:cs="方正仿宋简体"/>
          <w:i w:val="0"/>
          <w:iCs w:val="0"/>
          <w:caps w:val="0"/>
          <w:color w:val="0F1115"/>
          <w:spacing w:val="0"/>
          <w:sz w:val="32"/>
          <w:szCs w:val="32"/>
          <w:shd w:val="clear" w:fill="FFFFFF"/>
          <w:lang w:val="en-US" w:eastAsia="zh-CN"/>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第二十</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八</w:t>
      </w: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条</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承包商“黑名单”认定工作遵循真实、准确、全面、公开的原则。各行业主管部门每年至少依</w:t>
      </w:r>
      <w:r>
        <w:rPr>
          <w:rFonts w:hint="eastAsia" w:ascii="Times New Roman" w:hAnsi="Times New Roman" w:eastAsia="仿宋_GB2312" w:cs="Times New Roman"/>
          <w:snapToGrid/>
          <w:color w:val="auto"/>
          <w:kern w:val="2"/>
          <w:sz w:val="32"/>
          <w:szCs w:val="32"/>
          <w:lang w:val="en-US" w:eastAsia="zh-CN" w:bidi="ar-SA"/>
        </w:rPr>
        <w:t>据</w:t>
      </w:r>
      <w:r>
        <w:rPr>
          <w:rFonts w:hint="default" w:ascii="Times New Roman" w:hAnsi="Times New Roman" w:eastAsia="仿宋_GB2312" w:cs="Times New Roman"/>
          <w:snapToGrid/>
          <w:color w:val="auto"/>
          <w:kern w:val="2"/>
          <w:sz w:val="32"/>
          <w:szCs w:val="32"/>
          <w:lang w:val="en-US" w:eastAsia="zh-CN" w:bidi="ar-SA"/>
        </w:rPr>
        <w:t>《承包商安全业绩评价表》</w:t>
      </w:r>
      <w:r>
        <w:rPr>
          <w:rFonts w:hint="eastAsia" w:ascii="Times New Roman" w:hAnsi="Times New Roman" w:eastAsia="仿宋_GB2312" w:cs="Times New Roman"/>
          <w:snapToGrid/>
          <w:color w:val="auto"/>
          <w:kern w:val="2"/>
          <w:sz w:val="32"/>
          <w:szCs w:val="32"/>
          <w:lang w:val="en-US" w:eastAsia="zh-CN" w:bidi="ar-SA"/>
        </w:rPr>
        <w:t>或者本行业相关管理规定</w:t>
      </w:r>
      <w:r>
        <w:rPr>
          <w:rFonts w:hint="default" w:ascii="Times New Roman" w:hAnsi="Times New Roman" w:eastAsia="仿宋_GB2312" w:cs="Times New Roman"/>
          <w:snapToGrid/>
          <w:color w:val="auto"/>
          <w:kern w:val="2"/>
          <w:sz w:val="32"/>
          <w:szCs w:val="32"/>
          <w:lang w:val="en-US" w:eastAsia="zh-CN" w:bidi="ar-SA"/>
        </w:rPr>
        <w:t>开展一次承包商安全管理专项抽查；对抽查判定安全业绩不合格、且存在本制度第</w:t>
      </w:r>
      <w:r>
        <w:rPr>
          <w:rFonts w:hint="eastAsia" w:ascii="Times New Roman" w:hAnsi="Times New Roman" w:eastAsia="仿宋_GB2312" w:cs="Times New Roman"/>
          <w:snapToGrid/>
          <w:color w:val="auto"/>
          <w:kern w:val="2"/>
          <w:sz w:val="32"/>
          <w:szCs w:val="32"/>
          <w:lang w:val="en-US" w:eastAsia="zh-CN" w:bidi="ar-SA"/>
        </w:rPr>
        <w:t>二</w:t>
      </w:r>
      <w:r>
        <w:rPr>
          <w:rFonts w:hint="default" w:ascii="Times New Roman" w:hAnsi="Times New Roman" w:eastAsia="仿宋_GB2312" w:cs="Times New Roman"/>
          <w:snapToGrid/>
          <w:color w:val="auto"/>
          <w:kern w:val="2"/>
          <w:sz w:val="32"/>
          <w:szCs w:val="32"/>
          <w:lang w:val="en-US" w:eastAsia="zh-CN" w:bidi="ar-SA"/>
        </w:rPr>
        <w:t>十三条</w:t>
      </w:r>
      <w:r>
        <w:rPr>
          <w:rFonts w:hint="eastAsia" w:ascii="Times New Roman" w:hAnsi="Times New Roman" w:eastAsia="仿宋_GB2312" w:cs="Times New Roman"/>
          <w:snapToGrid/>
          <w:color w:val="auto"/>
          <w:kern w:val="2"/>
          <w:sz w:val="32"/>
          <w:szCs w:val="32"/>
          <w:lang w:val="en-US" w:eastAsia="zh-CN" w:bidi="ar-SA"/>
        </w:rPr>
        <w:t>至 第二十六条</w:t>
      </w:r>
      <w:r>
        <w:rPr>
          <w:rFonts w:hint="default" w:ascii="Times New Roman" w:hAnsi="Times New Roman" w:eastAsia="仿宋_GB2312" w:cs="Times New Roman"/>
          <w:snapToGrid/>
          <w:color w:val="auto"/>
          <w:kern w:val="2"/>
          <w:sz w:val="32"/>
          <w:szCs w:val="32"/>
          <w:lang w:val="en-US" w:eastAsia="zh-CN" w:bidi="ar-SA"/>
        </w:rPr>
        <w:t>严重失信情形的承包商，按黑名单认定流程开展核查、书面告知并给予3个工作日陈述申辩期，申辩理由不成立或逾期未申辩的，提交区安委会审定，纳入承包商“黑名单”实施惩戒。</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方正仿宋简体" w:cs="Times New Roman"/>
          <w:i w:val="0"/>
          <w:iCs w:val="0"/>
          <w:caps w:val="0"/>
          <w:color w:val="0F1115"/>
          <w:spacing w:val="0"/>
          <w:sz w:val="32"/>
          <w:szCs w:val="32"/>
          <w:shd w:val="clear" w:fill="FFFFFF"/>
          <w:lang w:val="en-US" w:eastAsia="zh-CN"/>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第二十</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九</w:t>
      </w: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条</w:t>
      </w:r>
      <w:r>
        <w:rPr>
          <w:rFonts w:hint="default" w:ascii="Times New Roman" w:hAnsi="Times New Roman" w:eastAsia="方正仿宋简体" w:cs="Times New Roman"/>
          <w:i w:val="0"/>
          <w:iCs w:val="0"/>
          <w:caps w:val="0"/>
          <w:color w:val="0F1115"/>
          <w:spacing w:val="0"/>
          <w:sz w:val="32"/>
          <w:szCs w:val="32"/>
          <w:shd w:val="clear" w:fill="FFFFFF"/>
          <w:lang w:val="en-US" w:eastAsia="zh-CN"/>
        </w:rPr>
        <w:t xml:space="preserve"> </w:t>
      </w:r>
      <w:r>
        <w:rPr>
          <w:rFonts w:hint="eastAsia" w:ascii="Times New Roman" w:hAnsi="Times New Roman" w:eastAsia="方正仿宋简体" w:cs="Times New Roman"/>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承包商“黑名单”实行动态更新机制。企业初步判定相关承包商符合列入情形的，应当在3个工作日内填写《拟纳入安全生产黑名单登记表》（附件4）报送对应行业主管部门；行业主管部门</w:t>
      </w:r>
      <w:r>
        <w:rPr>
          <w:rFonts w:hint="eastAsia" w:ascii="Times New Roman" w:hAnsi="Times New Roman" w:eastAsia="仿宋_GB2312" w:cs="Times New Roman"/>
          <w:snapToGrid/>
          <w:color w:val="auto"/>
          <w:kern w:val="2"/>
          <w:sz w:val="32"/>
          <w:szCs w:val="32"/>
          <w:lang w:val="en-US" w:eastAsia="zh-CN" w:bidi="ar-SA"/>
        </w:rPr>
        <w:t>复</w:t>
      </w:r>
      <w:r>
        <w:rPr>
          <w:rFonts w:hint="default" w:ascii="Times New Roman" w:hAnsi="Times New Roman" w:eastAsia="仿宋_GB2312" w:cs="Times New Roman"/>
          <w:snapToGrid/>
          <w:color w:val="auto"/>
          <w:kern w:val="2"/>
          <w:sz w:val="32"/>
          <w:szCs w:val="32"/>
          <w:lang w:val="en-US" w:eastAsia="zh-CN" w:bidi="ar-SA"/>
        </w:rPr>
        <w:t>核后报送工业区安委</w:t>
      </w:r>
      <w:r>
        <w:rPr>
          <w:rFonts w:hint="eastAsia" w:ascii="Times New Roman" w:hAnsi="Times New Roman" w:eastAsia="仿宋_GB2312" w:cs="Times New Roman"/>
          <w:snapToGrid/>
          <w:color w:val="auto"/>
          <w:kern w:val="2"/>
          <w:sz w:val="32"/>
          <w:szCs w:val="32"/>
          <w:lang w:val="en-US" w:eastAsia="zh-CN" w:bidi="ar-SA"/>
        </w:rPr>
        <w:t>会</w:t>
      </w:r>
      <w:r>
        <w:rPr>
          <w:rFonts w:hint="default" w:ascii="Times New Roman" w:hAnsi="Times New Roman" w:eastAsia="仿宋_GB2312" w:cs="Times New Roman"/>
          <w:snapToGrid/>
          <w:color w:val="auto"/>
          <w:kern w:val="2"/>
          <w:sz w:val="32"/>
          <w:szCs w:val="32"/>
          <w:lang w:val="en-US" w:eastAsia="zh-CN" w:bidi="ar-SA"/>
        </w:rPr>
        <w:t>汇总。工业区安委</w:t>
      </w:r>
      <w:r>
        <w:rPr>
          <w:rFonts w:hint="eastAsia" w:ascii="Times New Roman" w:hAnsi="Times New Roman" w:eastAsia="仿宋_GB2312" w:cs="Times New Roman"/>
          <w:snapToGrid/>
          <w:color w:val="auto"/>
          <w:kern w:val="2"/>
          <w:sz w:val="32"/>
          <w:szCs w:val="32"/>
          <w:lang w:val="en-US" w:eastAsia="zh-CN" w:bidi="ar-SA"/>
        </w:rPr>
        <w:t>会</w:t>
      </w:r>
      <w:r>
        <w:rPr>
          <w:rFonts w:hint="default" w:ascii="Times New Roman" w:hAnsi="Times New Roman" w:eastAsia="仿宋_GB2312" w:cs="Times New Roman"/>
          <w:snapToGrid/>
          <w:color w:val="auto"/>
          <w:kern w:val="2"/>
          <w:sz w:val="32"/>
          <w:szCs w:val="32"/>
          <w:lang w:val="en-US" w:eastAsia="zh-CN" w:bidi="ar-SA"/>
        </w:rPr>
        <w:t>汇总后，须先向涉事承包商出具拟列入黑名单</w:t>
      </w:r>
      <w:r>
        <w:rPr>
          <w:rFonts w:hint="eastAsia" w:ascii="Times New Roman" w:hAnsi="Times New Roman" w:eastAsia="仿宋_GB2312" w:cs="Times New Roman"/>
          <w:snapToGrid/>
          <w:color w:val="auto"/>
          <w:kern w:val="2"/>
          <w:sz w:val="32"/>
          <w:szCs w:val="32"/>
          <w:lang w:val="en-US" w:eastAsia="zh-CN" w:bidi="ar-SA"/>
        </w:rPr>
        <w:t>的</w:t>
      </w:r>
      <w:r>
        <w:rPr>
          <w:rFonts w:hint="default" w:ascii="Times New Roman" w:hAnsi="Times New Roman" w:eastAsia="仿宋_GB2312" w:cs="Times New Roman"/>
          <w:snapToGrid/>
          <w:color w:val="auto"/>
          <w:kern w:val="2"/>
          <w:sz w:val="32"/>
          <w:szCs w:val="32"/>
          <w:lang w:val="en-US" w:eastAsia="zh-CN" w:bidi="ar-SA"/>
        </w:rPr>
        <w:t>书面告知书，载明违法违规事实、认定依据、惩戒措施，并给予承包商3个工作日的陈述申辩期限；逾期未提交申辩材料或申辩理由不成立的，提交</w:t>
      </w:r>
      <w:r>
        <w:rPr>
          <w:rFonts w:hint="eastAsia" w:ascii="Times New Roman" w:hAnsi="Times New Roman" w:eastAsia="仿宋_GB2312" w:cs="Times New Roman"/>
          <w:snapToGrid/>
          <w:color w:val="auto"/>
          <w:kern w:val="2"/>
          <w:sz w:val="32"/>
          <w:szCs w:val="32"/>
          <w:lang w:val="en-US" w:eastAsia="zh-CN" w:bidi="ar-SA"/>
        </w:rPr>
        <w:t>区安委会</w:t>
      </w:r>
      <w:r>
        <w:rPr>
          <w:rFonts w:hint="default" w:ascii="Times New Roman" w:hAnsi="Times New Roman" w:eastAsia="仿宋_GB2312" w:cs="Times New Roman"/>
          <w:snapToGrid/>
          <w:color w:val="auto"/>
          <w:kern w:val="2"/>
          <w:sz w:val="32"/>
          <w:szCs w:val="32"/>
          <w:lang w:val="en-US" w:eastAsia="zh-CN" w:bidi="ar-SA"/>
        </w:rPr>
        <w:t>完成最终认定。认定完成后，由</w:t>
      </w:r>
      <w:r>
        <w:rPr>
          <w:rFonts w:hint="eastAsia" w:ascii="Times New Roman" w:hAnsi="Times New Roman" w:eastAsia="仿宋_GB2312" w:cs="Times New Roman"/>
          <w:snapToGrid/>
          <w:color w:val="auto"/>
          <w:kern w:val="2"/>
          <w:sz w:val="32"/>
          <w:szCs w:val="32"/>
          <w:lang w:val="en-US" w:eastAsia="zh-CN" w:bidi="ar-SA"/>
        </w:rPr>
        <w:t>区安委会办公室</w:t>
      </w:r>
      <w:bookmarkStart w:id="0" w:name="_GoBack"/>
      <w:bookmarkEnd w:id="0"/>
      <w:r>
        <w:rPr>
          <w:rFonts w:hint="default" w:ascii="Times New Roman" w:hAnsi="Times New Roman" w:eastAsia="仿宋_GB2312" w:cs="Times New Roman"/>
          <w:snapToGrid/>
          <w:color w:val="auto"/>
          <w:kern w:val="2"/>
          <w:sz w:val="32"/>
          <w:szCs w:val="32"/>
          <w:lang w:val="en-US" w:eastAsia="zh-CN" w:bidi="ar-SA"/>
        </w:rPr>
        <w:t>在</w:t>
      </w:r>
      <w:r>
        <w:rPr>
          <w:rFonts w:hint="eastAsia" w:ascii="Times New Roman" w:hAnsi="Times New Roman" w:eastAsia="仿宋_GB2312" w:cs="Times New Roman"/>
          <w:snapToGrid/>
          <w:color w:val="auto"/>
          <w:kern w:val="2"/>
          <w:sz w:val="32"/>
          <w:szCs w:val="32"/>
          <w:lang w:val="en-US" w:eastAsia="zh-CN" w:bidi="ar-SA"/>
        </w:rPr>
        <w:t>园区智能化管控平台</w:t>
      </w:r>
      <w:r>
        <w:rPr>
          <w:rFonts w:hint="default" w:ascii="Times New Roman" w:hAnsi="Times New Roman" w:eastAsia="仿宋_GB2312" w:cs="Times New Roman"/>
          <w:snapToGrid/>
          <w:color w:val="auto"/>
          <w:kern w:val="2"/>
          <w:sz w:val="32"/>
          <w:szCs w:val="32"/>
          <w:lang w:val="en-US" w:eastAsia="zh-CN" w:bidi="ar-SA"/>
        </w:rPr>
        <w:t>统一公示承包商“黑名单”信息。</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方正仿宋简体" w:cs="Times New Roman"/>
          <w:i w:val="0"/>
          <w:iCs w:val="0"/>
          <w:caps w:val="0"/>
          <w:color w:val="0F1115"/>
          <w:spacing w:val="0"/>
          <w:sz w:val="32"/>
          <w:szCs w:val="32"/>
          <w:shd w:val="clear" w:fill="FFFFFF"/>
          <w:lang w:val="en-US" w:eastAsia="zh-CN"/>
        </w:rPr>
      </w:pPr>
      <w:r>
        <w:rPr>
          <w:rFonts w:hint="default" w:ascii="方正仿宋简体" w:hAnsi="方正仿宋简体" w:eastAsia="方正仿宋简体" w:cs="方正仿宋简体"/>
          <w:b/>
          <w:bCs/>
          <w:i w:val="0"/>
          <w:iCs w:val="0"/>
          <w:caps w:val="0"/>
          <w:color w:val="auto"/>
          <w:spacing w:val="0"/>
          <w:sz w:val="32"/>
          <w:szCs w:val="32"/>
          <w:shd w:val="clear" w:fill="FFFFFF"/>
          <w:lang w:val="en-US" w:eastAsia="zh-CN"/>
        </w:rPr>
        <w:t>第</w:t>
      </w:r>
      <w:r>
        <w:rPr>
          <w:rFonts w:hint="eastAsia" w:ascii="方正仿宋简体" w:hAnsi="方正仿宋简体" w:eastAsia="方正仿宋简体" w:cs="方正仿宋简体"/>
          <w:b/>
          <w:bCs/>
          <w:i w:val="0"/>
          <w:iCs w:val="0"/>
          <w:caps w:val="0"/>
          <w:color w:val="auto"/>
          <w:spacing w:val="0"/>
          <w:sz w:val="32"/>
          <w:szCs w:val="32"/>
          <w:shd w:val="clear" w:fill="FFFFFF"/>
          <w:lang w:val="en-US" w:eastAsia="zh-CN"/>
        </w:rPr>
        <w:t>三十</w:t>
      </w:r>
      <w:r>
        <w:rPr>
          <w:rFonts w:hint="default" w:ascii="方正仿宋简体" w:hAnsi="方正仿宋简体" w:eastAsia="方正仿宋简体" w:cs="方正仿宋简体"/>
          <w:b/>
          <w:bCs/>
          <w:i w:val="0"/>
          <w:iCs w:val="0"/>
          <w:caps w:val="0"/>
          <w:color w:val="auto"/>
          <w:spacing w:val="0"/>
          <w:sz w:val="32"/>
          <w:szCs w:val="32"/>
          <w:shd w:val="clear" w:fill="FFFFFF"/>
          <w:lang w:val="en-US" w:eastAsia="zh-CN"/>
        </w:rPr>
        <w:t>条</w:t>
      </w:r>
      <w:r>
        <w:rPr>
          <w:rFonts w:hint="eastAsia" w:ascii="方正仿宋简体" w:hAnsi="方正仿宋简体" w:eastAsia="方正仿宋简体" w:cs="方正仿宋简体"/>
          <w:b/>
          <w:bCs/>
          <w:i w:val="0"/>
          <w:iCs w:val="0"/>
          <w:caps w:val="0"/>
          <w:color w:val="auto"/>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auto"/>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公示内容包括被纳入“黑名单”的承包商名称、经营地址、统一社会信用代码、法定代表人或者负责人姓名以及管理期限（起止日期）等信息。</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Times New Roman" w:hAnsi="Times New Roman" w:eastAsia="方正仿宋简体" w:cs="Times New Roman"/>
          <w:b/>
          <w:bCs/>
          <w:i w:val="0"/>
          <w:iCs w:val="0"/>
          <w:caps w:val="0"/>
          <w:color w:val="0F1115"/>
          <w:spacing w:val="0"/>
          <w:sz w:val="32"/>
          <w:szCs w:val="32"/>
          <w:shd w:val="clear" w:fill="FFFFFF"/>
          <w:lang w:val="en-US" w:eastAsia="zh-CN"/>
        </w:rPr>
        <w:t>第</w:t>
      </w:r>
      <w:r>
        <w:rPr>
          <w:rFonts w:hint="eastAsia" w:ascii="Times New Roman" w:hAnsi="Times New Roman" w:eastAsia="方正仿宋简体" w:cs="Times New Roman"/>
          <w:b/>
          <w:bCs/>
          <w:i w:val="0"/>
          <w:iCs w:val="0"/>
          <w:caps w:val="0"/>
          <w:color w:val="0F1115"/>
          <w:spacing w:val="0"/>
          <w:sz w:val="32"/>
          <w:szCs w:val="32"/>
          <w:shd w:val="clear" w:fill="FFFFFF"/>
          <w:lang w:val="en-US" w:eastAsia="zh-CN"/>
        </w:rPr>
        <w:t>三十一</w:t>
      </w:r>
      <w:r>
        <w:rPr>
          <w:rFonts w:hint="default" w:ascii="Times New Roman" w:hAnsi="Times New Roman" w:eastAsia="方正仿宋简体" w:cs="Times New Roman"/>
          <w:b/>
          <w:bCs/>
          <w:i w:val="0"/>
          <w:iCs w:val="0"/>
          <w:caps w:val="0"/>
          <w:color w:val="0F1115"/>
          <w:spacing w:val="0"/>
          <w:sz w:val="32"/>
          <w:szCs w:val="32"/>
          <w:shd w:val="clear" w:fill="FFFFFF"/>
          <w:lang w:val="en-US" w:eastAsia="zh-CN"/>
        </w:rPr>
        <w:t>条</w:t>
      </w:r>
      <w:r>
        <w:rPr>
          <w:rFonts w:hint="eastAsia" w:ascii="Times New Roman" w:hAnsi="Times New Roman" w:eastAsia="方正仿宋简体" w:cs="Times New Roman"/>
          <w:b/>
          <w:bCs/>
          <w:i w:val="0"/>
          <w:iCs w:val="0"/>
          <w:caps w:val="0"/>
          <w:color w:val="0F1115"/>
          <w:spacing w:val="0"/>
          <w:sz w:val="32"/>
          <w:szCs w:val="32"/>
          <w:shd w:val="clear" w:fill="FFFFFF"/>
          <w:lang w:val="en-US" w:eastAsia="zh-CN"/>
        </w:rPr>
        <w:t xml:space="preserve"> </w:t>
      </w:r>
      <w:r>
        <w:rPr>
          <w:rFonts w:hint="eastAsia" w:ascii="Times New Roman" w:hAnsi="Times New Roman" w:eastAsia="方正仿宋简体" w:cs="Times New Roman"/>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被列入“黑名单”管理的承包商，管理期限为1年。在管理期限届满前1个月，承包商可向</w:t>
      </w:r>
      <w:r>
        <w:rPr>
          <w:rFonts w:hint="eastAsia" w:ascii="Times New Roman" w:hAnsi="Times New Roman" w:eastAsia="仿宋_GB2312" w:cs="Times New Roman"/>
          <w:snapToGrid/>
          <w:color w:val="auto"/>
          <w:kern w:val="2"/>
          <w:sz w:val="32"/>
          <w:szCs w:val="32"/>
          <w:lang w:val="en-US" w:eastAsia="zh-CN" w:bidi="ar-SA"/>
        </w:rPr>
        <w:t>区安委会</w:t>
      </w:r>
      <w:r>
        <w:rPr>
          <w:rFonts w:hint="default" w:ascii="Times New Roman" w:hAnsi="Times New Roman" w:eastAsia="仿宋_GB2312" w:cs="Times New Roman"/>
          <w:snapToGrid/>
          <w:color w:val="auto"/>
          <w:kern w:val="2"/>
          <w:sz w:val="32"/>
          <w:szCs w:val="32"/>
          <w:lang w:val="en-US" w:eastAsia="zh-CN" w:bidi="ar-SA"/>
        </w:rPr>
        <w:t>办公室提出解除申请</w:t>
      </w:r>
      <w:r>
        <w:rPr>
          <w:rFonts w:hint="eastAsia" w:ascii="Times New Roman" w:hAnsi="Times New Roman" w:eastAsia="仿宋_GB2312" w:cs="Times New Roman"/>
          <w:snapToGrid/>
          <w:color w:val="auto"/>
          <w:kern w:val="2"/>
          <w:sz w:val="32"/>
          <w:szCs w:val="32"/>
          <w:lang w:val="en-US" w:eastAsia="zh-CN" w:bidi="ar-SA"/>
        </w:rPr>
        <w:t>（附件5）</w:t>
      </w:r>
      <w:r>
        <w:rPr>
          <w:rFonts w:hint="default" w:ascii="Times New Roman" w:hAnsi="Times New Roman" w:eastAsia="仿宋_GB2312" w:cs="Times New Roman"/>
          <w:snapToGrid/>
          <w:color w:val="auto"/>
          <w:kern w:val="2"/>
          <w:sz w:val="32"/>
          <w:szCs w:val="32"/>
          <w:lang w:val="en-US" w:eastAsia="zh-CN" w:bidi="ar-SA"/>
        </w:rPr>
        <w:t>，由区</w:t>
      </w:r>
      <w:r>
        <w:rPr>
          <w:rFonts w:hint="eastAsia" w:ascii="Times New Roman" w:hAnsi="Times New Roman" w:eastAsia="仿宋_GB2312" w:cs="Times New Roman"/>
          <w:snapToGrid/>
          <w:color w:val="auto"/>
          <w:kern w:val="2"/>
          <w:sz w:val="32"/>
          <w:szCs w:val="32"/>
          <w:lang w:val="en-US" w:eastAsia="zh-CN" w:bidi="ar-SA"/>
        </w:rPr>
        <w:t>安委会办公室</w:t>
      </w:r>
      <w:r>
        <w:rPr>
          <w:rFonts w:hint="default" w:ascii="Times New Roman" w:hAnsi="Times New Roman" w:eastAsia="仿宋_GB2312" w:cs="Times New Roman"/>
          <w:snapToGrid/>
          <w:color w:val="auto"/>
          <w:kern w:val="2"/>
          <w:sz w:val="32"/>
          <w:szCs w:val="32"/>
          <w:lang w:val="en-US" w:eastAsia="zh-CN" w:bidi="ar-SA"/>
        </w:rPr>
        <w:t>组织相应行业主管部门进行验收。对于已整改并未再发生本管理制度第二十三条至</w:t>
      </w:r>
      <w:r>
        <w:rPr>
          <w:rFonts w:hint="eastAsia" w:ascii="Times New Roman" w:hAnsi="Times New Roman" w:eastAsia="仿宋_GB2312" w:cs="Times New Roman"/>
          <w:snapToGrid/>
          <w:color w:val="auto"/>
          <w:kern w:val="2"/>
          <w:sz w:val="32"/>
          <w:szCs w:val="32"/>
          <w:lang w:val="en-US" w:eastAsia="zh-CN" w:bidi="ar-SA"/>
        </w:rPr>
        <w:t>第</w:t>
      </w:r>
      <w:r>
        <w:rPr>
          <w:rFonts w:hint="default" w:ascii="Times New Roman" w:hAnsi="Times New Roman" w:eastAsia="仿宋_GB2312" w:cs="Times New Roman"/>
          <w:snapToGrid/>
          <w:color w:val="auto"/>
          <w:kern w:val="2"/>
          <w:sz w:val="32"/>
          <w:szCs w:val="32"/>
          <w:lang w:val="en-US" w:eastAsia="zh-CN" w:bidi="ar-SA"/>
        </w:rPr>
        <w:t>二十六条所规定情形的，由相应行业主管部门出具同意终止的审查意见</w:t>
      </w:r>
      <w:r>
        <w:rPr>
          <w:rFonts w:hint="eastAsia" w:ascii="Times New Roman" w:hAnsi="Times New Roman" w:eastAsia="仿宋_GB2312" w:cs="Times New Roman"/>
          <w:snapToGrid/>
          <w:color w:val="auto"/>
          <w:kern w:val="2"/>
          <w:sz w:val="32"/>
          <w:szCs w:val="32"/>
          <w:lang w:val="en-US" w:eastAsia="zh-CN" w:bidi="ar-SA"/>
        </w:rPr>
        <w:t>（附件6）</w:t>
      </w:r>
      <w:r>
        <w:rPr>
          <w:rFonts w:hint="default" w:ascii="Times New Roman" w:hAnsi="Times New Roman" w:eastAsia="仿宋_GB2312" w:cs="Times New Roman"/>
          <w:snapToGrid/>
          <w:color w:val="auto"/>
          <w:kern w:val="2"/>
          <w:sz w:val="32"/>
          <w:szCs w:val="32"/>
          <w:lang w:val="en-US" w:eastAsia="zh-CN" w:bidi="ar-SA"/>
        </w:rPr>
        <w:t>后，经区</w:t>
      </w:r>
      <w:r>
        <w:rPr>
          <w:rFonts w:hint="eastAsia" w:ascii="Times New Roman" w:hAnsi="Times New Roman" w:eastAsia="仿宋_GB2312" w:cs="Times New Roman"/>
          <w:snapToGrid/>
          <w:color w:val="auto"/>
          <w:kern w:val="2"/>
          <w:sz w:val="32"/>
          <w:szCs w:val="32"/>
          <w:lang w:val="en-US" w:eastAsia="zh-CN" w:bidi="ar-SA"/>
        </w:rPr>
        <w:t>安委</w:t>
      </w:r>
      <w:r>
        <w:rPr>
          <w:rFonts w:hint="default" w:ascii="Times New Roman" w:hAnsi="Times New Roman" w:eastAsia="仿宋_GB2312" w:cs="Times New Roman"/>
          <w:snapToGrid/>
          <w:color w:val="auto"/>
          <w:kern w:val="2"/>
          <w:sz w:val="32"/>
          <w:szCs w:val="32"/>
          <w:lang w:val="en-US" w:eastAsia="zh-CN" w:bidi="ar-SA"/>
        </w:rPr>
        <w:t>会</w:t>
      </w:r>
      <w:r>
        <w:rPr>
          <w:rFonts w:hint="eastAsia" w:ascii="Times New Roman" w:hAnsi="Times New Roman" w:eastAsia="仿宋_GB2312" w:cs="Times New Roman"/>
          <w:snapToGrid/>
          <w:color w:val="auto"/>
          <w:kern w:val="2"/>
          <w:sz w:val="32"/>
          <w:szCs w:val="32"/>
          <w:lang w:val="en-US" w:eastAsia="zh-CN" w:bidi="ar-SA"/>
        </w:rPr>
        <w:t>办公室</w:t>
      </w:r>
      <w:r>
        <w:rPr>
          <w:rFonts w:hint="default" w:ascii="Times New Roman" w:hAnsi="Times New Roman" w:eastAsia="仿宋_GB2312" w:cs="Times New Roman"/>
          <w:snapToGrid/>
          <w:color w:val="auto"/>
          <w:kern w:val="2"/>
          <w:sz w:val="32"/>
          <w:szCs w:val="32"/>
          <w:lang w:val="en-US" w:eastAsia="zh-CN" w:bidi="ar-SA"/>
        </w:rPr>
        <w:t>审核后，将其从“黑名单”中移除。</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方正仿宋简体" w:hAnsi="方正仿宋简体" w:eastAsia="方正仿宋简体" w:cs="方正仿宋简体"/>
          <w:i w:val="0"/>
          <w:iCs w:val="0"/>
          <w:caps w:val="0"/>
          <w:color w:val="0F1115"/>
          <w:spacing w:val="0"/>
          <w:sz w:val="32"/>
          <w:szCs w:val="32"/>
          <w:shd w:val="clear" w:fill="FFFFFF"/>
          <w:lang w:val="en-US" w:eastAsia="zh-CN"/>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三十二</w:t>
      </w: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条</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根据被列入“黑名单”管理的承包商存在问题的严重程度和整改要求，未按期整改到位，不得予以验收通过，继续延长其“黑名单”管理期限，直至消除隐患。</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方正仿宋简体" w:hAnsi="方正仿宋简体" w:eastAsia="方正仿宋简体" w:cs="方正仿宋简体"/>
          <w:i w:val="0"/>
          <w:iCs w:val="0"/>
          <w:caps w:val="0"/>
          <w:color w:val="0F1115"/>
          <w:spacing w:val="0"/>
          <w:sz w:val="32"/>
          <w:szCs w:val="32"/>
          <w:shd w:val="clear" w:fill="FFFFFF"/>
          <w:lang w:val="en-US" w:eastAsia="zh-CN"/>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三十三</w:t>
      </w: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条</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被列入“黑名单”的承包商，自列入之日起1年内不得参加工业区范围内任何公开或磋商的招投标及服务项目，也不得进入工业区内从事施工作业或技术服务。</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三十四</w:t>
      </w: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条</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 xml:space="preserve"> </w:t>
      </w:r>
      <w:r>
        <w:rPr>
          <w:rFonts w:hint="eastAsia" w:ascii="方正仿宋简体" w:hAnsi="方正仿宋简体" w:eastAsia="方正仿宋简体" w:cs="方正仿宋简体"/>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工业区各企业在选用承包商前，应当查询承包商“黑名单”，</w:t>
      </w:r>
      <w:r>
        <w:rPr>
          <w:rFonts w:hint="eastAsia" w:ascii="Times New Roman" w:hAnsi="Times New Roman" w:eastAsia="仿宋_GB2312" w:cs="Times New Roman"/>
          <w:snapToGrid/>
          <w:color w:val="auto"/>
          <w:kern w:val="2"/>
          <w:sz w:val="32"/>
          <w:szCs w:val="32"/>
          <w:lang w:val="en-US" w:eastAsia="zh-CN" w:bidi="ar-SA"/>
        </w:rPr>
        <w:t>工业区</w:t>
      </w:r>
      <w:r>
        <w:rPr>
          <w:rFonts w:hint="default" w:ascii="Times New Roman" w:hAnsi="Times New Roman" w:eastAsia="仿宋_GB2312" w:cs="Times New Roman"/>
          <w:snapToGrid/>
          <w:color w:val="auto"/>
          <w:kern w:val="2"/>
          <w:sz w:val="32"/>
          <w:szCs w:val="32"/>
          <w:lang w:val="en-US" w:eastAsia="zh-CN" w:bidi="ar-SA"/>
        </w:rPr>
        <w:t>招投标平台、</w:t>
      </w:r>
      <w:r>
        <w:rPr>
          <w:rFonts w:hint="eastAsia" w:ascii="Times New Roman" w:hAnsi="Times New Roman" w:eastAsia="仿宋_GB2312" w:cs="Times New Roman"/>
          <w:snapToGrid/>
          <w:color w:val="auto"/>
          <w:kern w:val="2"/>
          <w:sz w:val="32"/>
          <w:szCs w:val="32"/>
          <w:lang w:val="en-US" w:eastAsia="zh-CN" w:bidi="ar-SA"/>
        </w:rPr>
        <w:t>园区智能化管控平台</w:t>
      </w:r>
      <w:r>
        <w:rPr>
          <w:rFonts w:hint="default" w:ascii="Times New Roman" w:hAnsi="Times New Roman" w:eastAsia="仿宋_GB2312" w:cs="Times New Roman"/>
          <w:snapToGrid/>
          <w:color w:val="auto"/>
          <w:kern w:val="2"/>
          <w:sz w:val="32"/>
          <w:szCs w:val="32"/>
          <w:lang w:val="en-US" w:eastAsia="zh-CN" w:bidi="ar-SA"/>
        </w:rPr>
        <w:t>自动拦截黑名单单位，各行业主管审批项目时同步校验黑名单库</w:t>
      </w:r>
      <w:r>
        <w:rPr>
          <w:rFonts w:hint="eastAsia" w:ascii="Times New Roman" w:hAnsi="Times New Roman" w:eastAsia="仿宋_GB2312" w:cs="Times New Roman"/>
          <w:snapToGrid/>
          <w:color w:val="auto"/>
          <w:kern w:val="2"/>
          <w:sz w:val="32"/>
          <w:szCs w:val="32"/>
          <w:lang w:val="en-US" w:eastAsia="zh-CN" w:bidi="ar-SA"/>
        </w:rPr>
        <w:t>，</w:t>
      </w:r>
      <w:r>
        <w:rPr>
          <w:rFonts w:hint="default" w:ascii="Times New Roman" w:hAnsi="Times New Roman" w:eastAsia="仿宋_GB2312" w:cs="Times New Roman"/>
          <w:snapToGrid/>
          <w:color w:val="auto"/>
          <w:kern w:val="2"/>
          <w:sz w:val="32"/>
          <w:szCs w:val="32"/>
          <w:lang w:val="en-US" w:eastAsia="zh-CN" w:bidi="ar-SA"/>
        </w:rPr>
        <w:t>严禁被纳入“黑名单”的承包商进入工业区及工业区内企业服务。</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3" w:firstLineChars="200"/>
        <w:textAlignment w:val="auto"/>
        <w:rPr>
          <w:rFonts w:hint="default" w:ascii="方正仿宋简体" w:hAnsi="方正仿宋简体" w:eastAsia="方正仿宋简体" w:cs="方正仿宋简体"/>
          <w:i w:val="0"/>
          <w:iCs w:val="0"/>
          <w:caps w:val="0"/>
          <w:color w:val="0F1115"/>
          <w:spacing w:val="0"/>
          <w:sz w:val="32"/>
          <w:szCs w:val="32"/>
          <w:shd w:val="clear" w:fill="FFFFFF"/>
          <w:lang w:val="en-US" w:eastAsia="zh-CN"/>
        </w:rPr>
      </w:pP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第</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三十五</w:t>
      </w:r>
      <w:r>
        <w:rPr>
          <w:rFonts w:hint="default" w:ascii="方正仿宋简体" w:hAnsi="方正仿宋简体" w:eastAsia="方正仿宋简体" w:cs="方正仿宋简体"/>
          <w:b/>
          <w:bCs/>
          <w:i w:val="0"/>
          <w:iCs w:val="0"/>
          <w:caps w:val="0"/>
          <w:color w:val="0F1115"/>
          <w:spacing w:val="0"/>
          <w:sz w:val="32"/>
          <w:szCs w:val="32"/>
          <w:shd w:val="clear" w:fill="FFFFFF"/>
          <w:lang w:val="en-US" w:eastAsia="zh-CN"/>
        </w:rPr>
        <w:t>条</w:t>
      </w:r>
      <w:r>
        <w:rPr>
          <w:rFonts w:hint="eastAsia" w:ascii="方正仿宋简体" w:hAnsi="方正仿宋简体" w:eastAsia="方正仿宋简体" w:cs="方正仿宋简体"/>
          <w:b/>
          <w:bCs/>
          <w:i w:val="0"/>
          <w:iCs w:val="0"/>
          <w:caps w:val="0"/>
          <w:color w:val="0F1115"/>
          <w:spacing w:val="0"/>
          <w:sz w:val="32"/>
          <w:szCs w:val="32"/>
          <w:shd w:val="clear" w:fill="FFFFFF"/>
          <w:lang w:val="en-US" w:eastAsia="zh-CN"/>
        </w:rPr>
        <w:t xml:space="preserve">  </w:t>
      </w:r>
      <w:r>
        <w:rPr>
          <w:rFonts w:hint="default" w:ascii="Times New Roman" w:hAnsi="Times New Roman" w:eastAsia="仿宋_GB2312" w:cs="Times New Roman"/>
          <w:snapToGrid/>
          <w:color w:val="auto"/>
          <w:kern w:val="2"/>
          <w:sz w:val="32"/>
          <w:szCs w:val="32"/>
          <w:lang w:val="en-US" w:eastAsia="zh-CN" w:bidi="ar-SA"/>
        </w:rPr>
        <w:t>如因上级政策调整，本制度与相关法律法规规定不符的，以相关法律法规规定为准。</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default" w:ascii="方正仿宋简体" w:hAnsi="方正仿宋简体" w:eastAsia="方正仿宋简体" w:cs="方正仿宋简体"/>
          <w:i w:val="0"/>
          <w:iCs w:val="0"/>
          <w:caps w:val="0"/>
          <w:color w:val="0F1115"/>
          <w:spacing w:val="0"/>
          <w:sz w:val="32"/>
          <w:szCs w:val="32"/>
          <w:shd w:val="clear" w:fill="FFFFFF"/>
          <w:lang w:val="en-US" w:eastAsia="zh-CN"/>
        </w:rPr>
      </w:pPr>
    </w:p>
    <w:p>
      <w:pPr>
        <w:pStyle w:val="4"/>
        <w:keepNext w:val="0"/>
        <w:keepLines w:val="0"/>
        <w:pageBreakBefore w:val="0"/>
        <w:widowControl/>
        <w:numPr>
          <w:ilvl w:val="2"/>
          <w:numId w:val="0"/>
        </w:numPr>
        <w:suppressLineNumbers w:val="0"/>
        <w:shd w:val="clear" w:fill="FFFFFF"/>
        <w:kinsoku/>
        <w:wordWrap/>
        <w:overflowPunct/>
        <w:topLinePunct w:val="0"/>
        <w:autoSpaceDE/>
        <w:autoSpaceDN/>
        <w:bidi w:val="0"/>
        <w:adjustRightInd w:val="0"/>
        <w:snapToGrid w:val="0"/>
        <w:spacing w:before="0" w:beforeLines="0" w:beforeAutospacing="0" w:after="0" w:afterLines="0" w:afterAutospacing="0" w:line="560" w:lineRule="exact"/>
        <w:ind w:leftChars="0" w:right="0" w:rightChars="0" w:firstLine="2560" w:firstLineChars="800"/>
        <w:jc w:val="both"/>
        <w:textAlignment w:val="auto"/>
        <w:rPr>
          <w:rFonts w:hint="default" w:ascii="方正黑体简体" w:hAnsi="Arial" w:eastAsia="方正黑体简体" w:cs="Times New Roman"/>
          <w:b w:val="0"/>
          <w:bCs/>
          <w:snapToGrid/>
          <w:kern w:val="2"/>
          <w:sz w:val="32"/>
          <w:szCs w:val="32"/>
          <w:lang w:val="en-US" w:eastAsia="zh-CN" w:bidi="ar-SA"/>
        </w:rPr>
      </w:pPr>
      <w:r>
        <w:rPr>
          <w:rFonts w:hint="default" w:ascii="方正黑体简体" w:hAnsi="Arial" w:eastAsia="方正黑体简体" w:cs="Times New Roman"/>
          <w:b w:val="0"/>
          <w:bCs/>
          <w:snapToGrid/>
          <w:kern w:val="2"/>
          <w:sz w:val="32"/>
          <w:szCs w:val="32"/>
          <w:lang w:val="en-US" w:eastAsia="zh-CN" w:bidi="ar-SA"/>
        </w:rPr>
        <w:t>第</w:t>
      </w:r>
      <w:r>
        <w:rPr>
          <w:rFonts w:hint="eastAsia" w:ascii="方正黑体简体" w:hAnsi="Arial" w:eastAsia="方正黑体简体" w:cs="Times New Roman"/>
          <w:b w:val="0"/>
          <w:bCs/>
          <w:snapToGrid/>
          <w:kern w:val="2"/>
          <w:sz w:val="32"/>
          <w:szCs w:val="32"/>
          <w:lang w:val="en-US" w:eastAsia="zh-CN" w:bidi="ar-SA"/>
        </w:rPr>
        <w:t>六</w:t>
      </w:r>
      <w:r>
        <w:rPr>
          <w:rFonts w:hint="default" w:ascii="方正黑体简体" w:hAnsi="Arial" w:eastAsia="方正黑体简体" w:cs="Times New Roman"/>
          <w:b w:val="0"/>
          <w:bCs/>
          <w:snapToGrid/>
          <w:kern w:val="2"/>
          <w:sz w:val="32"/>
          <w:szCs w:val="32"/>
          <w:lang w:val="en-US" w:eastAsia="zh-CN" w:bidi="ar-SA"/>
        </w:rPr>
        <w:t>章 附则</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right="0" w:firstLine="643" w:firstLineChars="200"/>
        <w:textAlignment w:val="auto"/>
        <w:rPr>
          <w:rFonts w:hint="default" w:ascii="Segoe UI" w:hAnsi="Segoe UI" w:eastAsia="Segoe UI" w:cs="Segoe UI"/>
          <w:i w:val="0"/>
          <w:iCs w:val="0"/>
          <w:caps w:val="0"/>
          <w:color w:val="0F1115"/>
          <w:spacing w:val="0"/>
          <w:sz w:val="19"/>
          <w:szCs w:val="19"/>
        </w:rPr>
      </w:pPr>
      <w:r>
        <w:rPr>
          <w:rFonts w:hint="default" w:ascii="方正仿宋简体" w:hAnsi="方正仿宋简体" w:eastAsia="方正仿宋简体" w:cs="方正仿宋简体"/>
          <w:b/>
          <w:bCs/>
          <w:i w:val="0"/>
          <w:iCs w:val="0"/>
          <w:caps w:val="0"/>
          <w:color w:val="0F1115"/>
          <w:spacing w:val="0"/>
          <w:kern w:val="2"/>
          <w:sz w:val="32"/>
          <w:szCs w:val="32"/>
          <w:shd w:val="clear" w:fill="FFFFFF"/>
          <w:lang w:val="en-US" w:eastAsia="zh-CN" w:bidi="ar-SA"/>
        </w:rPr>
        <w:t>第</w:t>
      </w:r>
      <w:r>
        <w:rPr>
          <w:rFonts w:hint="eastAsia" w:ascii="方正仿宋简体" w:hAnsi="方正仿宋简体" w:eastAsia="方正仿宋简体" w:cs="方正仿宋简体"/>
          <w:b/>
          <w:bCs/>
          <w:i w:val="0"/>
          <w:iCs w:val="0"/>
          <w:caps w:val="0"/>
          <w:color w:val="0F1115"/>
          <w:spacing w:val="0"/>
          <w:kern w:val="2"/>
          <w:sz w:val="32"/>
          <w:szCs w:val="32"/>
          <w:shd w:val="clear" w:fill="FFFFFF"/>
          <w:lang w:val="en-US" w:eastAsia="zh-CN" w:bidi="ar-SA"/>
        </w:rPr>
        <w:t>三十六</w:t>
      </w:r>
      <w:r>
        <w:rPr>
          <w:rFonts w:hint="default" w:ascii="方正仿宋简体" w:hAnsi="方正仿宋简体" w:eastAsia="方正仿宋简体" w:cs="方正仿宋简体"/>
          <w:b/>
          <w:bCs/>
          <w:i w:val="0"/>
          <w:iCs w:val="0"/>
          <w:caps w:val="0"/>
          <w:color w:val="0F1115"/>
          <w:spacing w:val="0"/>
          <w:kern w:val="2"/>
          <w:sz w:val="32"/>
          <w:szCs w:val="32"/>
          <w:shd w:val="clear" w:fill="FFFFFF"/>
          <w:lang w:val="en-US" w:eastAsia="zh-CN" w:bidi="ar-SA"/>
        </w:rPr>
        <w:t>条</w:t>
      </w:r>
      <w:r>
        <w:rPr>
          <w:rFonts w:hint="eastAsia" w:ascii="方正仿宋简体" w:hAnsi="方正仿宋简体" w:eastAsia="方正仿宋简体" w:cs="方正仿宋简体"/>
          <w:b/>
          <w:bCs/>
          <w:i w:val="0"/>
          <w:iCs w:val="0"/>
          <w:caps w:val="0"/>
          <w:color w:val="0F1115"/>
          <w:spacing w:val="0"/>
          <w:kern w:val="2"/>
          <w:sz w:val="32"/>
          <w:szCs w:val="32"/>
          <w:shd w:val="clear" w:fill="FFFFFF"/>
          <w:lang w:val="en-US" w:eastAsia="zh-CN" w:bidi="ar-SA"/>
        </w:rPr>
        <w:t xml:space="preserve">  </w:t>
      </w:r>
      <w:r>
        <w:rPr>
          <w:rFonts w:hint="default" w:ascii="Times New Roman" w:hAnsi="Times New Roman" w:eastAsia="仿宋_GB2312" w:cs="Times New Roman"/>
          <w:snapToGrid/>
          <w:color w:val="auto"/>
          <w:kern w:val="2"/>
          <w:sz w:val="32"/>
          <w:szCs w:val="32"/>
          <w:lang w:val="en-US" w:eastAsia="zh-CN" w:bidi="ar-SA"/>
        </w:rPr>
        <w:t>本制度由</w:t>
      </w:r>
      <w:r>
        <w:rPr>
          <w:rFonts w:hint="eastAsia" w:ascii="Times New Roman" w:hAnsi="Times New Roman" w:eastAsia="仿宋_GB2312" w:cs="Times New Roman"/>
          <w:snapToGrid/>
          <w:color w:val="auto"/>
          <w:kern w:val="2"/>
          <w:sz w:val="32"/>
          <w:szCs w:val="32"/>
          <w:lang w:val="en-US" w:eastAsia="zh-CN" w:bidi="ar-SA"/>
        </w:rPr>
        <w:t>区安委会办公室</w:t>
      </w:r>
      <w:r>
        <w:rPr>
          <w:rFonts w:hint="default" w:ascii="Times New Roman" w:hAnsi="Times New Roman" w:eastAsia="仿宋_GB2312" w:cs="Times New Roman"/>
          <w:snapToGrid/>
          <w:color w:val="auto"/>
          <w:kern w:val="2"/>
          <w:sz w:val="32"/>
          <w:szCs w:val="32"/>
          <w:lang w:val="en-US" w:eastAsia="zh-CN" w:bidi="ar-SA"/>
        </w:rPr>
        <w:t>负责解释</w:t>
      </w:r>
      <w:r>
        <w:rPr>
          <w:rFonts w:hint="default" w:ascii="方正仿宋简体" w:hAnsi="方正仿宋简体" w:eastAsia="方正仿宋简体" w:cs="方正仿宋简体"/>
          <w:i w:val="0"/>
          <w:iCs w:val="0"/>
          <w:caps w:val="0"/>
          <w:color w:val="0F1115"/>
          <w:spacing w:val="0"/>
          <w:sz w:val="32"/>
          <w:szCs w:val="32"/>
          <w:shd w:val="clear" w:fill="FFFFFF"/>
          <w:lang w:val="en-US" w:eastAsia="zh-CN"/>
        </w:rPr>
        <w:t>。</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right="0" w:firstLine="643" w:firstLineChars="200"/>
        <w:textAlignment w:val="auto"/>
        <w:rPr>
          <w:rFonts w:hint="default" w:ascii="方正仿宋简体" w:hAnsi="方正仿宋简体" w:eastAsia="方正仿宋简体" w:cs="方正仿宋简体"/>
          <w:i w:val="0"/>
          <w:iCs w:val="0"/>
          <w:caps w:val="0"/>
          <w:color w:val="0F1115"/>
          <w:spacing w:val="0"/>
          <w:sz w:val="32"/>
          <w:szCs w:val="32"/>
          <w:shd w:val="clear" w:fill="FFFFFF"/>
          <w:lang w:val="en-US" w:eastAsia="zh-CN"/>
        </w:rPr>
      </w:pPr>
      <w:r>
        <w:rPr>
          <w:rFonts w:hint="default" w:ascii="方正仿宋简体" w:hAnsi="方正仿宋简体" w:eastAsia="方正仿宋简体" w:cs="方正仿宋简体"/>
          <w:b/>
          <w:bCs/>
          <w:i w:val="0"/>
          <w:iCs w:val="0"/>
          <w:caps w:val="0"/>
          <w:color w:val="0F1115"/>
          <w:spacing w:val="0"/>
          <w:kern w:val="2"/>
          <w:sz w:val="32"/>
          <w:szCs w:val="32"/>
          <w:shd w:val="clear" w:fill="FFFFFF"/>
          <w:lang w:val="en-US" w:eastAsia="zh-CN" w:bidi="ar-SA"/>
        </w:rPr>
        <w:t>第</w:t>
      </w:r>
      <w:r>
        <w:rPr>
          <w:rFonts w:hint="eastAsia" w:ascii="方正仿宋简体" w:hAnsi="方正仿宋简体" w:eastAsia="方正仿宋简体" w:cs="方正仿宋简体"/>
          <w:b/>
          <w:bCs/>
          <w:i w:val="0"/>
          <w:iCs w:val="0"/>
          <w:caps w:val="0"/>
          <w:color w:val="0F1115"/>
          <w:spacing w:val="0"/>
          <w:kern w:val="2"/>
          <w:sz w:val="32"/>
          <w:szCs w:val="32"/>
          <w:shd w:val="clear" w:fill="FFFFFF"/>
          <w:lang w:val="en-US" w:eastAsia="zh-CN" w:bidi="ar-SA"/>
        </w:rPr>
        <w:t>三十七</w:t>
      </w:r>
      <w:r>
        <w:rPr>
          <w:rFonts w:hint="default" w:ascii="方正仿宋简体" w:hAnsi="方正仿宋简体" w:eastAsia="方正仿宋简体" w:cs="方正仿宋简体"/>
          <w:b/>
          <w:bCs/>
          <w:i w:val="0"/>
          <w:iCs w:val="0"/>
          <w:caps w:val="0"/>
          <w:color w:val="0F1115"/>
          <w:spacing w:val="0"/>
          <w:kern w:val="2"/>
          <w:sz w:val="32"/>
          <w:szCs w:val="32"/>
          <w:shd w:val="clear" w:fill="FFFFFF"/>
          <w:lang w:val="en-US" w:eastAsia="zh-CN" w:bidi="ar-SA"/>
        </w:rPr>
        <w:t>条</w:t>
      </w:r>
      <w:r>
        <w:rPr>
          <w:rFonts w:hint="eastAsia" w:ascii="方正仿宋简体" w:hAnsi="方正仿宋简体" w:eastAsia="方正仿宋简体" w:cs="方正仿宋简体"/>
          <w:b/>
          <w:bCs/>
          <w:i w:val="0"/>
          <w:iCs w:val="0"/>
          <w:caps w:val="0"/>
          <w:color w:val="0F1115"/>
          <w:spacing w:val="0"/>
          <w:kern w:val="2"/>
          <w:sz w:val="32"/>
          <w:szCs w:val="32"/>
          <w:shd w:val="clear" w:fill="FFFFFF"/>
          <w:lang w:val="en-US" w:eastAsia="zh-CN" w:bidi="ar-SA"/>
        </w:rPr>
        <w:t xml:space="preserve">  </w:t>
      </w:r>
      <w:r>
        <w:rPr>
          <w:rFonts w:hint="default" w:ascii="Times New Roman" w:hAnsi="Times New Roman" w:eastAsia="仿宋_GB2312" w:cs="Times New Roman"/>
          <w:snapToGrid/>
          <w:color w:val="auto"/>
          <w:kern w:val="2"/>
          <w:sz w:val="32"/>
          <w:szCs w:val="32"/>
          <w:lang w:val="en-US" w:eastAsia="zh-CN" w:bidi="ar-SA"/>
        </w:rPr>
        <w:t>本制度自印发之日起施行。</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right="0" w:firstLine="640" w:firstLineChars="200"/>
        <w:textAlignment w:val="auto"/>
        <w:rPr>
          <w:rFonts w:hint="default" w:ascii="方正仿宋简体" w:hAnsi="方正仿宋简体" w:eastAsia="方正仿宋简体" w:cs="方正仿宋简体"/>
          <w:i w:val="0"/>
          <w:iCs w:val="0"/>
          <w:caps w:val="0"/>
          <w:color w:val="0F1115"/>
          <w:spacing w:val="0"/>
          <w:sz w:val="32"/>
          <w:szCs w:val="32"/>
          <w:shd w:val="clear" w:fill="FFFFFF"/>
          <w:lang w:val="en-US" w:eastAsia="zh-CN"/>
        </w:rPr>
      </w:pP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right="0" w:firstLine="640" w:firstLineChars="200"/>
        <w:textAlignment w:val="auto"/>
        <w:rPr>
          <w:rFonts w:hint="default"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附件：1.企业合格承包商名录（样式）</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right="0" w:firstLine="1600" w:firstLineChars="500"/>
        <w:textAlignment w:val="auto"/>
        <w:rPr>
          <w:rFonts w:hint="default"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2.承包商资格审查（样式）</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right="0" w:firstLine="1600" w:firstLineChars="500"/>
        <w:textAlignment w:val="auto"/>
        <w:rPr>
          <w:rFonts w:hint="default"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3.承包商安全业绩评价表（样式）</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right="0" w:firstLine="1600" w:firstLineChars="500"/>
        <w:textAlignment w:val="auto"/>
        <w:rPr>
          <w:rFonts w:hint="default"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4.拟纳入承包商黑名单登记表（样式）</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right="0" w:firstLine="1600" w:firstLineChars="500"/>
        <w:textAlignment w:val="auto"/>
        <w:rPr>
          <w:rFonts w:hint="default"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5.承包商“黑名单”终止管理验收申请书（样式）</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right="0" w:firstLine="1600" w:firstLineChars="500"/>
        <w:textAlignment w:val="auto"/>
        <w:rPr>
          <w:rFonts w:hint="default" w:ascii="Times New Roman" w:hAnsi="Times New Roman" w:eastAsia="仿宋_GB2312" w:cs="Times New Roman"/>
          <w:snapToGrid/>
          <w:color w:val="auto"/>
          <w:kern w:val="2"/>
          <w:sz w:val="32"/>
          <w:szCs w:val="32"/>
          <w:lang w:val="en-US" w:eastAsia="zh-CN" w:bidi="ar-SA"/>
        </w:rPr>
      </w:pPr>
      <w:r>
        <w:rPr>
          <w:rFonts w:hint="eastAsia" w:ascii="Times New Roman" w:hAnsi="Times New Roman" w:eastAsia="仿宋_GB2312" w:cs="Times New Roman"/>
          <w:snapToGrid/>
          <w:color w:val="auto"/>
          <w:kern w:val="2"/>
          <w:sz w:val="32"/>
          <w:szCs w:val="32"/>
          <w:lang w:val="en-US" w:eastAsia="zh-CN" w:bidi="ar-SA"/>
        </w:rPr>
        <w:t>6.承包商“黑名单”终止管理审查意见书（样式）</w:t>
      </w:r>
    </w:p>
    <w:p>
      <w:pPr>
        <w:keepNext w:val="0"/>
        <w:keepLines w:val="0"/>
        <w:pageBreakBefore w:val="0"/>
        <w:kinsoku/>
        <w:wordWrap/>
        <w:overflowPunct/>
        <w:topLinePunct w:val="0"/>
        <w:autoSpaceDE/>
        <w:autoSpaceDN/>
        <w:bidi w:val="0"/>
        <w:adjustRightInd w:val="0"/>
        <w:snapToGrid w:val="0"/>
        <w:spacing w:after="0" w:afterLines="0" w:line="560" w:lineRule="exact"/>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r>
        <w:rPr>
          <w:rFonts w:hint="eastAsia" w:ascii="Times New Roman" w:hAnsi="Times New Roman" w:eastAsia="方正仿宋简体" w:cs="Times New Roman"/>
          <w:i w:val="0"/>
          <w:iCs w:val="0"/>
          <w:caps w:val="0"/>
          <w:color w:val="0F1115"/>
          <w:spacing w:val="0"/>
          <w:sz w:val="32"/>
          <w:szCs w:val="32"/>
          <w:shd w:val="clear" w:fill="FFFFFF"/>
          <w:lang w:val="en-US" w:eastAsia="zh-CN"/>
        </w:rPr>
        <w:br w:type="page"/>
      </w:r>
    </w:p>
    <w:p>
      <w:pPr>
        <w:pStyle w:val="23"/>
        <w:keepNext w:val="0"/>
        <w:keepLines w:val="0"/>
        <w:pageBreakBefore w:val="0"/>
        <w:widowControl/>
        <w:suppressLineNumbers w:val="0"/>
        <w:shd w:val="clear" w:fill="FFFFFF"/>
        <w:kinsoku/>
        <w:wordWrap/>
        <w:overflowPunct/>
        <w:topLinePunct w:val="0"/>
        <w:autoSpaceDE/>
        <w:autoSpaceDN/>
        <w:bidi w:val="0"/>
        <w:adjustRightInd/>
        <w:snapToGrid w:val="0"/>
        <w:spacing w:before="192" w:beforeAutospacing="0" w:after="0" w:afterLines="0" w:afterAutospacing="0" w:line="560" w:lineRule="exact"/>
        <w:ind w:right="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r>
        <w:rPr>
          <w:rFonts w:hint="eastAsia" w:ascii="方正黑体简体" w:hAnsi="方正黑体简体" w:eastAsia="方正黑体简体" w:cs="方正黑体简体"/>
          <w:i w:val="0"/>
          <w:iCs w:val="0"/>
          <w:caps w:val="0"/>
          <w:color w:val="0F1115"/>
          <w:spacing w:val="0"/>
          <w:sz w:val="32"/>
          <w:szCs w:val="32"/>
          <w:shd w:val="clear" w:fill="FFFFFF"/>
          <w:lang w:val="en-US" w:eastAsia="zh-CN"/>
        </w:rPr>
        <w:t>附件</w:t>
      </w:r>
      <w:r>
        <w:rPr>
          <w:rFonts w:hint="default" w:ascii="Times New Roman" w:hAnsi="Times New Roman" w:eastAsia="方正黑体简体" w:cs="Times New Roman"/>
          <w:i w:val="0"/>
          <w:iCs w:val="0"/>
          <w:caps w:val="0"/>
          <w:color w:val="0F1115"/>
          <w:spacing w:val="0"/>
          <w:sz w:val="32"/>
          <w:szCs w:val="32"/>
          <w:shd w:val="clear" w:fill="FFFFFF"/>
          <w:lang w:val="en-US" w:eastAsia="zh-CN"/>
        </w:rPr>
        <w:t>1</w:t>
      </w:r>
    </w:p>
    <w:p>
      <w:pPr>
        <w:keepNext w:val="0"/>
        <w:keepLines w:val="0"/>
        <w:pageBreakBefore w:val="0"/>
        <w:widowControl/>
        <w:tabs>
          <w:tab w:val="left" w:pos="1080"/>
        </w:tabs>
        <w:kinsoku/>
        <w:wordWrap/>
        <w:overflowPunct/>
        <w:topLinePunct w:val="0"/>
        <w:autoSpaceDE/>
        <w:autoSpaceDN/>
        <w:bidi w:val="0"/>
        <w:adjustRightInd/>
        <w:snapToGrid w:val="0"/>
        <w:spacing w:after="0" w:afterLines="0" w:afterAutospacing="0" w:line="560" w:lineRule="exact"/>
        <w:jc w:val="center"/>
        <w:textAlignment w:val="auto"/>
        <w:rPr>
          <w:rFonts w:hint="eastAsia" w:ascii="方正小标宋简体" w:hAnsi="Times New Roman" w:eastAsia="方正小标宋简体" w:cs="Times New Roman"/>
          <w:snapToGrid/>
          <w:sz w:val="44"/>
          <w:szCs w:val="44"/>
          <w:lang w:val="en-US" w:eastAsia="zh-CN"/>
        </w:rPr>
      </w:pPr>
      <w:r>
        <w:rPr>
          <w:rFonts w:hint="eastAsia" w:ascii="方正小标宋简体" w:hAnsi="Times New Roman" w:eastAsia="方正小标宋简体" w:cs="Times New Roman"/>
          <w:snapToGrid/>
          <w:sz w:val="44"/>
          <w:szCs w:val="44"/>
          <w:lang w:val="en-US" w:eastAsia="zh-CN"/>
        </w:rPr>
        <w:t>XX企业合格承包商目录（样式）</w:t>
      </w:r>
    </w:p>
    <w:tbl>
      <w:tblPr>
        <w:tblStyle w:val="27"/>
        <w:tblW w:w="9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
        <w:gridCol w:w="1284"/>
        <w:gridCol w:w="1201"/>
        <w:gridCol w:w="1487"/>
        <w:gridCol w:w="1219"/>
        <w:gridCol w:w="1219"/>
        <w:gridCol w:w="1260"/>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Lines="0" w:afterAutospacing="0" w:line="560" w:lineRule="exact"/>
              <w:ind w:left="0" w:leftChars="0"/>
              <w:jc w:val="left"/>
              <w:textAlignment w:val="auto"/>
              <w:rPr>
                <w:rFonts w:hint="eastAsia" w:asciiTheme="minorEastAsia" w:hAnsiTheme="minorEastAsia" w:eastAsiaTheme="minorEastAsia" w:cstheme="minorEastAsia"/>
                <w:b w:val="0"/>
                <w:bCs w:val="0"/>
                <w:snapToGrid/>
                <w:color w:val="auto"/>
                <w:w w:val="100"/>
                <w:kern w:val="21"/>
                <w:sz w:val="28"/>
                <w:szCs w:val="28"/>
                <w:vertAlign w:val="baseline"/>
                <w:lang w:val="en-US" w:eastAsia="zh-CN" w:bidi="ar-SA"/>
              </w:rPr>
            </w:pPr>
            <w:r>
              <w:rPr>
                <w:rFonts w:hint="eastAsia" w:asciiTheme="minorEastAsia" w:hAnsiTheme="minorEastAsia" w:eastAsiaTheme="minorEastAsia" w:cstheme="minorEastAsia"/>
                <w:b w:val="0"/>
                <w:bCs w:val="0"/>
                <w:snapToGrid/>
                <w:color w:val="auto"/>
                <w:w w:val="100"/>
                <w:kern w:val="21"/>
                <w:sz w:val="28"/>
                <w:szCs w:val="28"/>
                <w:vertAlign w:val="baseline"/>
                <w:lang w:val="en-US" w:eastAsia="zh-CN" w:bidi="ar-SA"/>
              </w:rPr>
              <w:t>序号</w:t>
            </w:r>
          </w:p>
        </w:tc>
        <w:tc>
          <w:tcPr>
            <w:tcW w:w="1284"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Lines="0" w:afterAutospacing="0" w:line="560" w:lineRule="exact"/>
              <w:ind w:left="0" w:leftChars="0"/>
              <w:jc w:val="left"/>
              <w:textAlignment w:val="auto"/>
              <w:rPr>
                <w:rFonts w:hint="eastAsia" w:asciiTheme="minorEastAsia" w:hAnsiTheme="minorEastAsia" w:eastAsiaTheme="minorEastAsia" w:cstheme="minorEastAsia"/>
                <w:b w:val="0"/>
                <w:bCs w:val="0"/>
                <w:snapToGrid/>
                <w:color w:val="auto"/>
                <w:w w:val="100"/>
                <w:kern w:val="21"/>
                <w:sz w:val="28"/>
                <w:szCs w:val="28"/>
                <w:vertAlign w:val="baseline"/>
                <w:lang w:val="en-US" w:eastAsia="zh-CN" w:bidi="ar-SA"/>
              </w:rPr>
            </w:pPr>
            <w:r>
              <w:rPr>
                <w:rFonts w:hint="eastAsia" w:asciiTheme="minorEastAsia" w:hAnsiTheme="minorEastAsia" w:eastAsiaTheme="minorEastAsia" w:cstheme="minorEastAsia"/>
                <w:b w:val="0"/>
                <w:bCs w:val="0"/>
                <w:snapToGrid/>
                <w:color w:val="auto"/>
                <w:w w:val="100"/>
                <w:kern w:val="21"/>
                <w:sz w:val="28"/>
                <w:szCs w:val="28"/>
                <w:vertAlign w:val="baseline"/>
                <w:lang w:val="en-US" w:eastAsia="zh-CN" w:bidi="ar-SA"/>
              </w:rPr>
              <w:t>承包商名称</w:t>
            </w:r>
          </w:p>
        </w:tc>
        <w:tc>
          <w:tcPr>
            <w:tcW w:w="1201"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Lines="0" w:afterAutospacing="0" w:line="560" w:lineRule="exact"/>
              <w:ind w:left="0" w:leftChars="0"/>
              <w:jc w:val="left"/>
              <w:textAlignment w:val="auto"/>
              <w:rPr>
                <w:rFonts w:hint="eastAsia" w:asciiTheme="minorEastAsia" w:hAnsiTheme="minorEastAsia" w:eastAsiaTheme="minorEastAsia" w:cstheme="minorEastAsia"/>
                <w:b w:val="0"/>
                <w:bCs w:val="0"/>
                <w:snapToGrid/>
                <w:color w:val="auto"/>
                <w:w w:val="100"/>
                <w:kern w:val="21"/>
                <w:sz w:val="28"/>
                <w:szCs w:val="28"/>
                <w:vertAlign w:val="baseline"/>
                <w:lang w:val="en-US" w:eastAsia="zh-CN" w:bidi="ar-SA"/>
              </w:rPr>
            </w:pPr>
            <w:r>
              <w:rPr>
                <w:rFonts w:hint="eastAsia" w:asciiTheme="minorEastAsia" w:hAnsiTheme="minorEastAsia" w:eastAsiaTheme="minorEastAsia" w:cstheme="minorEastAsia"/>
                <w:b w:val="0"/>
                <w:bCs w:val="0"/>
                <w:snapToGrid/>
                <w:color w:val="auto"/>
                <w:w w:val="100"/>
                <w:kern w:val="21"/>
                <w:sz w:val="28"/>
                <w:szCs w:val="28"/>
                <w:vertAlign w:val="baseline"/>
                <w:lang w:val="en-US" w:eastAsia="zh-CN" w:bidi="ar-SA"/>
              </w:rPr>
              <w:t>地址</w:t>
            </w:r>
          </w:p>
        </w:tc>
        <w:tc>
          <w:tcPr>
            <w:tcW w:w="1487"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Lines="0" w:afterAutospacing="0" w:line="560" w:lineRule="exact"/>
              <w:ind w:left="0" w:leftChars="0"/>
              <w:jc w:val="left"/>
              <w:textAlignment w:val="auto"/>
              <w:rPr>
                <w:rFonts w:hint="eastAsia" w:asciiTheme="minorEastAsia" w:hAnsiTheme="minorEastAsia" w:eastAsiaTheme="minorEastAsia" w:cstheme="minorEastAsia"/>
                <w:b w:val="0"/>
                <w:bCs w:val="0"/>
                <w:snapToGrid/>
                <w:color w:val="auto"/>
                <w:w w:val="100"/>
                <w:kern w:val="21"/>
                <w:sz w:val="28"/>
                <w:szCs w:val="28"/>
                <w:vertAlign w:val="baseline"/>
                <w:lang w:val="en-US" w:eastAsia="zh-CN" w:bidi="ar-SA"/>
              </w:rPr>
            </w:pPr>
            <w:r>
              <w:rPr>
                <w:rFonts w:hint="eastAsia" w:asciiTheme="minorEastAsia" w:hAnsiTheme="minorEastAsia" w:eastAsiaTheme="minorEastAsia" w:cstheme="minorEastAsia"/>
                <w:b w:val="0"/>
                <w:bCs w:val="0"/>
                <w:snapToGrid/>
                <w:color w:val="auto"/>
                <w:w w:val="100"/>
                <w:kern w:val="21"/>
                <w:sz w:val="28"/>
                <w:szCs w:val="28"/>
                <w:vertAlign w:val="baseline"/>
                <w:lang w:val="en-US" w:eastAsia="zh-CN" w:bidi="ar-SA"/>
              </w:rPr>
              <w:t>承包项目</w:t>
            </w:r>
          </w:p>
        </w:tc>
        <w:tc>
          <w:tcPr>
            <w:tcW w:w="1219"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Lines="0" w:afterAutospacing="0" w:line="560" w:lineRule="exact"/>
              <w:ind w:left="0" w:leftChars="0"/>
              <w:jc w:val="left"/>
              <w:textAlignment w:val="auto"/>
              <w:rPr>
                <w:rFonts w:hint="eastAsia" w:asciiTheme="minorEastAsia" w:hAnsiTheme="minorEastAsia" w:eastAsiaTheme="minorEastAsia" w:cstheme="minorEastAsia"/>
                <w:b w:val="0"/>
                <w:bCs w:val="0"/>
                <w:snapToGrid/>
                <w:color w:val="auto"/>
                <w:w w:val="100"/>
                <w:kern w:val="21"/>
                <w:sz w:val="28"/>
                <w:szCs w:val="28"/>
                <w:vertAlign w:val="baseline"/>
                <w:lang w:val="en-US" w:eastAsia="zh-CN" w:bidi="ar-SA"/>
              </w:rPr>
            </w:pPr>
            <w:r>
              <w:rPr>
                <w:rFonts w:hint="eastAsia" w:asciiTheme="minorEastAsia" w:hAnsiTheme="minorEastAsia" w:eastAsiaTheme="minorEastAsia" w:cstheme="minorEastAsia"/>
                <w:b w:val="0"/>
                <w:bCs w:val="0"/>
                <w:snapToGrid/>
                <w:color w:val="auto"/>
                <w:w w:val="100"/>
                <w:kern w:val="21"/>
                <w:sz w:val="28"/>
                <w:szCs w:val="28"/>
                <w:vertAlign w:val="baseline"/>
                <w:lang w:val="en-US" w:eastAsia="zh-CN" w:bidi="ar-SA"/>
              </w:rPr>
              <w:t>资质有效期</w:t>
            </w:r>
          </w:p>
        </w:tc>
        <w:tc>
          <w:tcPr>
            <w:tcW w:w="1219"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Lines="0" w:afterAutospacing="0" w:line="560" w:lineRule="exact"/>
              <w:ind w:left="0" w:leftChars="0"/>
              <w:jc w:val="left"/>
              <w:textAlignment w:val="auto"/>
              <w:rPr>
                <w:rFonts w:hint="eastAsia" w:asciiTheme="minorEastAsia" w:hAnsiTheme="minorEastAsia" w:eastAsiaTheme="minorEastAsia" w:cstheme="minorEastAsia"/>
                <w:b w:val="0"/>
                <w:bCs w:val="0"/>
                <w:snapToGrid/>
                <w:color w:val="auto"/>
                <w:w w:val="100"/>
                <w:kern w:val="21"/>
                <w:sz w:val="28"/>
                <w:szCs w:val="28"/>
                <w:vertAlign w:val="baseline"/>
                <w:lang w:val="en-US" w:eastAsia="zh-CN" w:bidi="ar-SA"/>
              </w:rPr>
            </w:pPr>
            <w:r>
              <w:rPr>
                <w:rFonts w:hint="eastAsia" w:asciiTheme="minorEastAsia" w:hAnsiTheme="minorEastAsia" w:eastAsiaTheme="minorEastAsia" w:cstheme="minorEastAsia"/>
                <w:b w:val="0"/>
                <w:bCs w:val="0"/>
                <w:snapToGrid/>
                <w:color w:val="auto"/>
                <w:w w:val="100"/>
                <w:kern w:val="21"/>
                <w:sz w:val="28"/>
                <w:szCs w:val="28"/>
                <w:vertAlign w:val="baseline"/>
                <w:lang w:val="en-US" w:eastAsia="zh-CN" w:bidi="ar-SA"/>
              </w:rPr>
              <w:t>年度评价得分</w:t>
            </w:r>
          </w:p>
        </w:tc>
        <w:tc>
          <w:tcPr>
            <w:tcW w:w="1260"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Lines="0" w:afterAutospacing="0" w:line="560" w:lineRule="exact"/>
              <w:ind w:left="0" w:leftChars="0"/>
              <w:jc w:val="left"/>
              <w:textAlignment w:val="auto"/>
              <w:rPr>
                <w:rFonts w:hint="eastAsia" w:asciiTheme="minorEastAsia" w:hAnsiTheme="minorEastAsia" w:eastAsiaTheme="minorEastAsia" w:cstheme="minorEastAsia"/>
                <w:b w:val="0"/>
                <w:bCs w:val="0"/>
                <w:snapToGrid/>
                <w:color w:val="auto"/>
                <w:w w:val="100"/>
                <w:kern w:val="21"/>
                <w:sz w:val="28"/>
                <w:szCs w:val="28"/>
                <w:vertAlign w:val="baseline"/>
                <w:lang w:val="en-US" w:eastAsia="zh-CN" w:bidi="ar-SA"/>
              </w:rPr>
            </w:pPr>
            <w:r>
              <w:rPr>
                <w:rFonts w:hint="eastAsia" w:asciiTheme="minorEastAsia" w:hAnsiTheme="minorEastAsia" w:eastAsiaTheme="minorEastAsia" w:cstheme="minorEastAsia"/>
                <w:b w:val="0"/>
                <w:bCs w:val="0"/>
                <w:snapToGrid/>
                <w:color w:val="auto"/>
                <w:w w:val="100"/>
                <w:kern w:val="21"/>
                <w:sz w:val="28"/>
                <w:szCs w:val="28"/>
                <w:vertAlign w:val="baseline"/>
                <w:lang w:val="en-US" w:eastAsia="zh-CN" w:bidi="ar-SA"/>
              </w:rPr>
              <w:t>安责险到期日</w:t>
            </w:r>
          </w:p>
        </w:tc>
        <w:tc>
          <w:tcPr>
            <w:tcW w:w="1180"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Lines="0" w:afterAutospacing="0" w:line="560" w:lineRule="exact"/>
              <w:ind w:left="0" w:leftChars="0"/>
              <w:jc w:val="left"/>
              <w:textAlignment w:val="auto"/>
              <w:rPr>
                <w:rFonts w:hint="eastAsia" w:asciiTheme="minorEastAsia" w:hAnsiTheme="minorEastAsia" w:eastAsiaTheme="minorEastAsia" w:cstheme="minorEastAsia"/>
                <w:b w:val="0"/>
                <w:bCs w:val="0"/>
                <w:snapToGrid/>
                <w:color w:val="auto"/>
                <w:w w:val="100"/>
                <w:kern w:val="21"/>
                <w:sz w:val="28"/>
                <w:szCs w:val="28"/>
                <w:vertAlign w:val="baseline"/>
                <w:lang w:val="en-US" w:eastAsia="zh-CN" w:bidi="ar-SA"/>
              </w:rPr>
            </w:pPr>
            <w:r>
              <w:rPr>
                <w:rFonts w:hint="eastAsia" w:asciiTheme="minorEastAsia" w:hAnsiTheme="minorEastAsia" w:eastAsiaTheme="minorEastAsia" w:cstheme="minorEastAsia"/>
                <w:b w:val="0"/>
                <w:bCs w:val="0"/>
                <w:snapToGrid/>
                <w:color w:val="auto"/>
                <w:w w:val="100"/>
                <w:kern w:val="21"/>
                <w:sz w:val="28"/>
                <w:szCs w:val="28"/>
                <w:vertAlign w:val="baseline"/>
                <w:lang w:val="en-US" w:eastAsia="zh-CN" w:bidi="ar-SA"/>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84"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01"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487"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19"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19"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60"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180"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84"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01"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487"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19"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19"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60"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180"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84"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01"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487"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19"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19"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60"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180"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84"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01"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487"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19"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19"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60"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180"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84"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01"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487"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19"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19"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60"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180"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84"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01"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487"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19"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19"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60"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180"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05"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84"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01"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487"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19"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19"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260"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c>
          <w:tcPr>
            <w:tcW w:w="1180" w:type="dxa"/>
            <w:tcBorders>
              <w:top w:val="single" w:color="auto" w:sz="4" w:space="0"/>
              <w:left w:val="single" w:color="auto" w:sz="4" w:space="0"/>
              <w:bottom w:val="single" w:color="auto" w:sz="4" w:space="0"/>
              <w:right w:val="single" w:color="auto" w:sz="4" w:space="0"/>
            </w:tcBorders>
            <w:vAlign w:val="center"/>
          </w:tcPr>
          <w:p>
            <w:pPr>
              <w:pStyle w:val="23"/>
              <w:keepNext w:val="0"/>
              <w:keepLines w:val="0"/>
              <w:pageBreakBefore w:val="0"/>
              <w:widowControl/>
              <w:suppressLineNumbers w:val="0"/>
              <w:kinsoku/>
              <w:wordWrap/>
              <w:overflowPunct/>
              <w:topLinePunct w:val="0"/>
              <w:autoSpaceDE/>
              <w:autoSpaceDN/>
              <w:bidi w:val="0"/>
              <w:adjustRightInd w:val="0"/>
              <w:snapToGrid w:val="0"/>
              <w:spacing w:beforeAutospacing="0" w:after="0" w:afterLines="0" w:afterAutospacing="0" w:line="560" w:lineRule="exact"/>
              <w:jc w:val="left"/>
              <w:textAlignment w:val="auto"/>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p>
        </w:tc>
      </w:tr>
    </w:tbl>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Lines="0" w:afterAutospacing="0" w:line="560" w:lineRule="exact"/>
        <w:ind w:left="323" w:right="0"/>
        <w:textAlignment w:val="auto"/>
        <w:rPr>
          <w:rFonts w:hint="eastAsia" w:ascii="方正仿宋简体" w:hAnsi="方正仿宋简体" w:eastAsia="方正仿宋简体" w:cs="方正仿宋简体"/>
          <w:color w:val="333333"/>
          <w:spacing w:val="-13"/>
          <w:sz w:val="30"/>
          <w:szCs w:val="30"/>
          <w:lang w:val="en-US" w:eastAsia="zh-CN"/>
        </w:rPr>
      </w:pPr>
      <w:r>
        <w:rPr>
          <w:rFonts w:hint="eastAsia" w:ascii="方正仿宋简体" w:hAnsi="方正仿宋简体" w:eastAsia="方正仿宋简体" w:cs="方正仿宋简体"/>
          <w:color w:val="333333"/>
          <w:spacing w:val="-13"/>
          <w:sz w:val="30"/>
          <w:szCs w:val="30"/>
          <w:lang w:val="en-US" w:eastAsia="zh-CN"/>
        </w:rPr>
        <w:t>审查部门负责人（签字）：</w:t>
      </w:r>
    </w:p>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Lines="0" w:afterAutospacing="0" w:line="560" w:lineRule="exact"/>
        <w:ind w:left="323" w:right="0"/>
        <w:textAlignment w:val="auto"/>
        <w:rPr>
          <w:rFonts w:hint="eastAsia" w:ascii="方正仿宋简体" w:hAnsi="方正仿宋简体" w:eastAsia="方正仿宋简体" w:cs="方正仿宋简体"/>
          <w:i w:val="0"/>
          <w:iCs w:val="0"/>
          <w:caps w:val="0"/>
          <w:color w:val="0F1115"/>
          <w:spacing w:val="0"/>
          <w:sz w:val="32"/>
          <w:szCs w:val="32"/>
          <w:shd w:val="clear" w:fill="FFFFFF"/>
          <w:vertAlign w:val="baseline"/>
          <w:lang w:val="en-US" w:eastAsia="zh-CN"/>
        </w:rPr>
      </w:pPr>
      <w:r>
        <w:rPr>
          <w:rFonts w:hint="eastAsia" w:ascii="方正仿宋简体" w:hAnsi="方正仿宋简体" w:eastAsia="方正仿宋简体" w:cs="方正仿宋简体"/>
          <w:color w:val="333333"/>
          <w:spacing w:val="-13"/>
          <w:sz w:val="30"/>
          <w:szCs w:val="30"/>
          <w:lang w:val="en-US" w:eastAsia="zh-CN"/>
        </w:rPr>
        <w:t>审查企业负责人（签字）：</w:t>
      </w:r>
    </w:p>
    <w:p>
      <w:pPr>
        <w:rPr>
          <w:rFonts w:hint="eastAsia" w:ascii="方正黑体简体" w:hAnsi="方正黑体简体" w:eastAsia="方正黑体简体" w:cs="方正黑体简体"/>
          <w:i w:val="0"/>
          <w:iCs w:val="0"/>
          <w:caps w:val="0"/>
          <w:color w:val="0F1115"/>
          <w:spacing w:val="0"/>
          <w:sz w:val="32"/>
          <w:szCs w:val="32"/>
          <w:shd w:val="clear" w:fill="FFFFFF"/>
          <w:lang w:val="en-US" w:eastAsia="zh-CN"/>
        </w:rPr>
      </w:pPr>
      <w:r>
        <w:rPr>
          <w:rFonts w:hint="eastAsia" w:ascii="方正黑体简体" w:hAnsi="方正黑体简体" w:eastAsia="方正黑体简体" w:cs="方正黑体简体"/>
          <w:i w:val="0"/>
          <w:iCs w:val="0"/>
          <w:caps w:val="0"/>
          <w:color w:val="0F1115"/>
          <w:spacing w:val="0"/>
          <w:sz w:val="32"/>
          <w:szCs w:val="32"/>
          <w:shd w:val="clear" w:fill="FFFFFF"/>
          <w:lang w:val="en-US" w:eastAsia="zh-CN"/>
        </w:rPr>
        <w:br w:type="page"/>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right="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r>
        <w:rPr>
          <w:rFonts w:hint="eastAsia" w:ascii="方正黑体简体" w:hAnsi="方正黑体简体" w:eastAsia="方正黑体简体" w:cs="方正黑体简体"/>
          <w:i w:val="0"/>
          <w:iCs w:val="0"/>
          <w:caps w:val="0"/>
          <w:color w:val="0F1115"/>
          <w:spacing w:val="0"/>
          <w:sz w:val="32"/>
          <w:szCs w:val="32"/>
          <w:shd w:val="clear" w:fill="FFFFFF"/>
          <w:lang w:val="en-US" w:eastAsia="zh-CN"/>
        </w:rPr>
        <w:t>附件</w:t>
      </w:r>
      <w:r>
        <w:rPr>
          <w:rFonts w:hint="eastAsia" w:ascii="Times New Roman" w:hAnsi="Times New Roman" w:eastAsia="方正仿宋简体" w:cs="Times New Roman"/>
          <w:i w:val="0"/>
          <w:iCs w:val="0"/>
          <w:caps w:val="0"/>
          <w:color w:val="0F1115"/>
          <w:spacing w:val="0"/>
          <w:sz w:val="32"/>
          <w:szCs w:val="32"/>
          <w:shd w:val="clear" w:fill="FFFFFF"/>
          <w:lang w:val="en-US" w:eastAsia="zh-CN"/>
        </w:rPr>
        <w:t>2</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880" w:firstLineChars="200"/>
        <w:jc w:val="center"/>
        <w:textAlignment w:val="auto"/>
        <w:rPr>
          <w:rFonts w:hint="eastAsia" w:ascii="方正小标宋简体" w:hAnsi="Times New Roman" w:eastAsia="方正小标宋简体" w:cs="Times New Roman"/>
          <w:snapToGrid/>
          <w:kern w:val="2"/>
          <w:sz w:val="44"/>
          <w:szCs w:val="44"/>
          <w:lang w:val="en-US" w:eastAsia="zh-CN" w:bidi="ar-SA"/>
        </w:rPr>
      </w:pPr>
      <w:r>
        <w:rPr>
          <w:rFonts w:hint="eastAsia" w:ascii="方正小标宋简体" w:hAnsi="Times New Roman" w:eastAsia="方正小标宋简体" w:cs="Times New Roman"/>
          <w:snapToGrid/>
          <w:kern w:val="2"/>
          <w:sz w:val="44"/>
          <w:szCs w:val="44"/>
          <w:lang w:val="en-US" w:eastAsia="zh-CN" w:bidi="ar-SA"/>
        </w:rPr>
        <w:t>承包商资格审查（样式）</w:t>
      </w:r>
    </w:p>
    <w:tbl>
      <w:tblPr>
        <w:tblStyle w:val="27"/>
        <w:tblW w:w="10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3"/>
        <w:gridCol w:w="1662"/>
        <w:gridCol w:w="1645"/>
        <w:gridCol w:w="597"/>
        <w:gridCol w:w="1322"/>
        <w:gridCol w:w="340"/>
        <w:gridCol w:w="1515"/>
        <w:gridCol w:w="114"/>
        <w:gridCol w:w="1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3" w:type="dxa"/>
            <w:vAlign w:val="center"/>
          </w:tcPr>
          <w:p>
            <w:pPr>
              <w:adjustRightInd/>
              <w:snapToGrid/>
              <w:spacing w:after="0" w:afterLines="-2147483648" w:line="240" w:lineRule="auto"/>
              <w:jc w:val="center"/>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甲方</w:t>
            </w:r>
          </w:p>
        </w:tc>
        <w:tc>
          <w:tcPr>
            <w:tcW w:w="1662" w:type="dxa"/>
            <w:vAlign w:val="center"/>
          </w:tcPr>
          <w:p>
            <w:pPr>
              <w:adjustRightInd/>
              <w:snapToGrid/>
              <w:spacing w:after="0" w:afterLines="-2147483648" w:line="240" w:lineRule="auto"/>
              <w:jc w:val="center"/>
              <w:rPr>
                <w:rFonts w:hint="eastAsia" w:ascii="宋体" w:hAnsi="宋体" w:eastAsia="宋体" w:cs="宋体"/>
                <w:b w:val="0"/>
                <w:bCs w:val="0"/>
                <w:snapToGrid/>
                <w:color w:val="auto"/>
                <w:sz w:val="28"/>
                <w:szCs w:val="28"/>
                <w:vertAlign w:val="baseline"/>
                <w:lang w:val="en-US" w:eastAsia="zh-CN"/>
              </w:rPr>
            </w:pPr>
          </w:p>
        </w:tc>
        <w:tc>
          <w:tcPr>
            <w:tcW w:w="1645" w:type="dxa"/>
            <w:vAlign w:val="center"/>
          </w:tcPr>
          <w:p>
            <w:pPr>
              <w:adjustRightInd/>
              <w:snapToGrid/>
              <w:spacing w:after="0" w:afterLines="-2147483648" w:line="240" w:lineRule="auto"/>
              <w:jc w:val="center"/>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确认时间</w:t>
            </w:r>
          </w:p>
        </w:tc>
        <w:tc>
          <w:tcPr>
            <w:tcW w:w="1919" w:type="dxa"/>
            <w:gridSpan w:val="2"/>
            <w:vAlign w:val="center"/>
          </w:tcPr>
          <w:p>
            <w:pPr>
              <w:adjustRightInd/>
              <w:snapToGrid/>
              <w:spacing w:after="0" w:afterLines="-2147483648" w:line="240" w:lineRule="auto"/>
              <w:jc w:val="center"/>
              <w:rPr>
                <w:rFonts w:hint="eastAsia" w:ascii="宋体" w:hAnsi="宋体" w:eastAsia="宋体" w:cs="宋体"/>
                <w:b w:val="0"/>
                <w:bCs w:val="0"/>
                <w:snapToGrid/>
                <w:color w:val="auto"/>
                <w:sz w:val="28"/>
                <w:szCs w:val="28"/>
                <w:vertAlign w:val="baseline"/>
                <w:lang w:val="en-US" w:eastAsia="zh-CN"/>
              </w:rPr>
            </w:pPr>
          </w:p>
        </w:tc>
        <w:tc>
          <w:tcPr>
            <w:tcW w:w="1855" w:type="dxa"/>
            <w:gridSpan w:val="2"/>
            <w:vAlign w:val="center"/>
          </w:tcPr>
          <w:p>
            <w:pPr>
              <w:adjustRightInd/>
              <w:snapToGrid/>
              <w:spacing w:after="0" w:afterLines="-2147483648" w:line="240" w:lineRule="auto"/>
              <w:jc w:val="center"/>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甲方签字</w:t>
            </w:r>
          </w:p>
        </w:tc>
        <w:tc>
          <w:tcPr>
            <w:tcW w:w="1758" w:type="dxa"/>
            <w:gridSpan w:val="2"/>
            <w:vAlign w:val="center"/>
          </w:tcPr>
          <w:p>
            <w:pPr>
              <w:adjustRightInd/>
              <w:snapToGrid/>
              <w:spacing w:after="0" w:afterLines="-2147483648" w:line="240" w:lineRule="auto"/>
              <w:jc w:val="center"/>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3" w:type="dxa"/>
            <w:vAlign w:val="center"/>
          </w:tcPr>
          <w:p>
            <w:pPr>
              <w:adjustRightInd/>
              <w:snapToGrid/>
              <w:spacing w:after="0" w:afterLines="-2147483648" w:line="240" w:lineRule="auto"/>
              <w:jc w:val="center"/>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承包商</w:t>
            </w:r>
          </w:p>
        </w:tc>
        <w:tc>
          <w:tcPr>
            <w:tcW w:w="1662" w:type="dxa"/>
            <w:vAlign w:val="center"/>
          </w:tcPr>
          <w:p>
            <w:pPr>
              <w:adjustRightInd/>
              <w:snapToGrid/>
              <w:spacing w:after="0" w:afterLines="-2147483648" w:line="240" w:lineRule="auto"/>
              <w:jc w:val="center"/>
              <w:rPr>
                <w:rFonts w:hint="eastAsia" w:ascii="宋体" w:hAnsi="宋体" w:eastAsia="宋体" w:cs="宋体"/>
                <w:b w:val="0"/>
                <w:bCs w:val="0"/>
                <w:snapToGrid/>
                <w:color w:val="auto"/>
                <w:sz w:val="28"/>
                <w:szCs w:val="28"/>
                <w:vertAlign w:val="baseline"/>
                <w:lang w:val="en-US" w:eastAsia="zh-CN"/>
              </w:rPr>
            </w:pPr>
          </w:p>
        </w:tc>
        <w:tc>
          <w:tcPr>
            <w:tcW w:w="1645" w:type="dxa"/>
            <w:vAlign w:val="center"/>
          </w:tcPr>
          <w:p>
            <w:pPr>
              <w:adjustRightInd/>
              <w:snapToGrid/>
              <w:spacing w:after="0" w:afterLines="-2147483648" w:line="240" w:lineRule="auto"/>
              <w:jc w:val="center"/>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地址</w:t>
            </w:r>
          </w:p>
        </w:tc>
        <w:tc>
          <w:tcPr>
            <w:tcW w:w="1919" w:type="dxa"/>
            <w:gridSpan w:val="2"/>
            <w:vAlign w:val="center"/>
          </w:tcPr>
          <w:p>
            <w:pPr>
              <w:adjustRightInd/>
              <w:snapToGrid/>
              <w:spacing w:after="0" w:afterLines="-2147483648" w:line="240" w:lineRule="auto"/>
              <w:jc w:val="center"/>
              <w:rPr>
                <w:rFonts w:hint="eastAsia" w:ascii="宋体" w:hAnsi="宋体" w:eastAsia="宋体" w:cs="宋体"/>
                <w:b w:val="0"/>
                <w:bCs w:val="0"/>
                <w:snapToGrid/>
                <w:color w:val="auto"/>
                <w:sz w:val="28"/>
                <w:szCs w:val="28"/>
                <w:vertAlign w:val="baseline"/>
                <w:lang w:val="en-US" w:eastAsia="zh-CN"/>
              </w:rPr>
            </w:pPr>
          </w:p>
        </w:tc>
        <w:tc>
          <w:tcPr>
            <w:tcW w:w="1855" w:type="dxa"/>
            <w:gridSpan w:val="2"/>
            <w:vAlign w:val="center"/>
          </w:tcPr>
          <w:p>
            <w:pPr>
              <w:adjustRightInd/>
              <w:snapToGrid/>
              <w:spacing w:after="0" w:afterLines="-2147483648" w:line="240" w:lineRule="auto"/>
              <w:jc w:val="center"/>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承包商签字</w:t>
            </w:r>
          </w:p>
        </w:tc>
        <w:tc>
          <w:tcPr>
            <w:tcW w:w="1758" w:type="dxa"/>
            <w:gridSpan w:val="2"/>
            <w:vAlign w:val="center"/>
          </w:tcPr>
          <w:p>
            <w:pPr>
              <w:adjustRightInd/>
              <w:snapToGrid/>
              <w:spacing w:after="0" w:afterLines="-2147483648" w:line="240" w:lineRule="auto"/>
              <w:jc w:val="center"/>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3305" w:type="dxa"/>
            <w:gridSpan w:val="2"/>
            <w:vAlign w:val="center"/>
          </w:tcPr>
          <w:p>
            <w:pPr>
              <w:adjustRightInd/>
              <w:snapToGrid/>
              <w:spacing w:after="0" w:afterLines="-2147483648" w:line="240" w:lineRule="auto"/>
              <w:jc w:val="center"/>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承包项目名称</w:t>
            </w:r>
          </w:p>
        </w:tc>
        <w:tc>
          <w:tcPr>
            <w:tcW w:w="7177" w:type="dxa"/>
            <w:gridSpan w:val="7"/>
            <w:vAlign w:val="center"/>
          </w:tcPr>
          <w:p>
            <w:pPr>
              <w:adjustRightInd/>
              <w:snapToGrid/>
              <w:spacing w:after="0" w:afterLines="-2147483648" w:line="240" w:lineRule="auto"/>
              <w:jc w:val="center"/>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7" w:type="dxa"/>
            <w:gridSpan w:val="4"/>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jc w:val="center"/>
              <w:textAlignment w:val="auto"/>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审查内容</w:t>
            </w:r>
          </w:p>
        </w:tc>
        <w:tc>
          <w:tcPr>
            <w:tcW w:w="1662"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jc w:val="center"/>
              <w:textAlignment w:val="auto"/>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合格</w:t>
            </w:r>
          </w:p>
        </w:tc>
        <w:tc>
          <w:tcPr>
            <w:tcW w:w="1629"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jc w:val="center"/>
              <w:textAlignment w:val="auto"/>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不合格</w:t>
            </w:r>
          </w:p>
        </w:tc>
        <w:tc>
          <w:tcPr>
            <w:tcW w:w="1644" w:type="dxa"/>
            <w:vAlign w:val="center"/>
          </w:tcPr>
          <w:p>
            <w:pPr>
              <w:keepNext w:val="0"/>
              <w:keepLines w:val="0"/>
              <w:pageBreakBefore w:val="0"/>
              <w:widowControl w:val="0"/>
              <w:kinsoku/>
              <w:wordWrap/>
              <w:overflowPunct/>
              <w:topLinePunct w:val="0"/>
              <w:autoSpaceDE/>
              <w:autoSpaceDN/>
              <w:bidi w:val="0"/>
              <w:adjustRightInd/>
              <w:snapToGrid/>
              <w:spacing w:after="0" w:afterLines="0" w:line="240" w:lineRule="auto"/>
              <w:jc w:val="center"/>
              <w:textAlignment w:val="auto"/>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7" w:type="dxa"/>
            <w:gridSpan w:val="4"/>
            <w:vAlign w:val="center"/>
          </w:tcPr>
          <w:p>
            <w:pPr>
              <w:keepNext w:val="0"/>
              <w:keepLines w:val="0"/>
              <w:pageBreakBefore w:val="0"/>
              <w:widowControl w:val="0"/>
              <w:kinsoku/>
              <w:wordWrap/>
              <w:overflowPunct/>
              <w:topLinePunct w:val="0"/>
              <w:autoSpaceDE/>
              <w:autoSpaceDN/>
              <w:bidi w:val="0"/>
              <w:adjustRightInd/>
              <w:snapToGrid w:val="0"/>
              <w:spacing w:after="0" w:afterLines="0" w:line="480" w:lineRule="exact"/>
              <w:jc w:val="left"/>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是否取得与承包项目相匹配的资质或资格许可类别及等级</w:t>
            </w:r>
          </w:p>
        </w:tc>
        <w:tc>
          <w:tcPr>
            <w:tcW w:w="1662" w:type="dxa"/>
            <w:gridSpan w:val="2"/>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c>
          <w:tcPr>
            <w:tcW w:w="1629" w:type="dxa"/>
            <w:gridSpan w:val="2"/>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c>
          <w:tcPr>
            <w:tcW w:w="1644" w:type="dxa"/>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7" w:type="dxa"/>
            <w:gridSpan w:val="4"/>
            <w:vAlign w:val="center"/>
          </w:tcPr>
          <w:p>
            <w:pPr>
              <w:keepNext w:val="0"/>
              <w:keepLines w:val="0"/>
              <w:pageBreakBefore w:val="0"/>
              <w:widowControl w:val="0"/>
              <w:kinsoku/>
              <w:wordWrap/>
              <w:overflowPunct/>
              <w:topLinePunct w:val="0"/>
              <w:autoSpaceDE/>
              <w:autoSpaceDN/>
              <w:bidi w:val="0"/>
              <w:adjustRightInd/>
              <w:snapToGrid w:val="0"/>
              <w:spacing w:after="0" w:afterLines="0" w:line="480" w:lineRule="exact"/>
              <w:jc w:val="left"/>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近2年以来的安全业绩和表现是否合格，是否发生生产安全事故，存在与安全生产有关的引用和诉讼、劳动纠纷等</w:t>
            </w:r>
          </w:p>
        </w:tc>
        <w:tc>
          <w:tcPr>
            <w:tcW w:w="1662" w:type="dxa"/>
            <w:gridSpan w:val="2"/>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c>
          <w:tcPr>
            <w:tcW w:w="1629" w:type="dxa"/>
            <w:gridSpan w:val="2"/>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c>
          <w:tcPr>
            <w:tcW w:w="1644" w:type="dxa"/>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7" w:type="dxa"/>
            <w:gridSpan w:val="4"/>
            <w:vAlign w:val="center"/>
          </w:tcPr>
          <w:p>
            <w:pPr>
              <w:keepNext w:val="0"/>
              <w:keepLines w:val="0"/>
              <w:pageBreakBefore w:val="0"/>
              <w:widowControl w:val="0"/>
              <w:kinsoku/>
              <w:wordWrap/>
              <w:overflowPunct/>
              <w:topLinePunct w:val="0"/>
              <w:autoSpaceDE/>
              <w:autoSpaceDN/>
              <w:bidi w:val="0"/>
              <w:adjustRightInd/>
              <w:snapToGrid w:val="0"/>
              <w:spacing w:after="0" w:afterLines="0" w:line="480" w:lineRule="exact"/>
              <w:jc w:val="left"/>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是否建立安全管理机构，配备相应安全管理人员，安全管理规章制度是否建立健全</w:t>
            </w:r>
          </w:p>
        </w:tc>
        <w:tc>
          <w:tcPr>
            <w:tcW w:w="1662" w:type="dxa"/>
            <w:gridSpan w:val="2"/>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c>
          <w:tcPr>
            <w:tcW w:w="1629" w:type="dxa"/>
            <w:gridSpan w:val="2"/>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c>
          <w:tcPr>
            <w:tcW w:w="1644" w:type="dxa"/>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7" w:type="dxa"/>
            <w:gridSpan w:val="4"/>
            <w:vAlign w:val="center"/>
          </w:tcPr>
          <w:p>
            <w:pPr>
              <w:keepNext w:val="0"/>
              <w:keepLines w:val="0"/>
              <w:pageBreakBefore w:val="0"/>
              <w:widowControl w:val="0"/>
              <w:kinsoku/>
              <w:wordWrap/>
              <w:overflowPunct/>
              <w:topLinePunct w:val="0"/>
              <w:autoSpaceDE/>
              <w:autoSpaceDN/>
              <w:bidi w:val="0"/>
              <w:adjustRightInd/>
              <w:snapToGrid w:val="0"/>
              <w:spacing w:after="0" w:afterLines="0" w:line="480" w:lineRule="exact"/>
              <w:jc w:val="left"/>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承包商拟派出的项目负责人、安全管理人员、特种作业人员和特种设备作业人员是否取得相应资质证书，人员数量是否满足施工要求</w:t>
            </w:r>
          </w:p>
        </w:tc>
        <w:tc>
          <w:tcPr>
            <w:tcW w:w="1662" w:type="dxa"/>
            <w:gridSpan w:val="2"/>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c>
          <w:tcPr>
            <w:tcW w:w="1629" w:type="dxa"/>
            <w:gridSpan w:val="2"/>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c>
          <w:tcPr>
            <w:tcW w:w="1644" w:type="dxa"/>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5547" w:type="dxa"/>
            <w:gridSpan w:val="4"/>
            <w:vAlign w:val="center"/>
          </w:tcPr>
          <w:p>
            <w:pPr>
              <w:keepNext w:val="0"/>
              <w:keepLines w:val="0"/>
              <w:pageBreakBefore w:val="0"/>
              <w:widowControl w:val="0"/>
              <w:kinsoku/>
              <w:wordWrap/>
              <w:overflowPunct/>
              <w:topLinePunct w:val="0"/>
              <w:autoSpaceDE/>
              <w:autoSpaceDN/>
              <w:bidi w:val="0"/>
              <w:adjustRightInd/>
              <w:snapToGrid w:val="0"/>
              <w:spacing w:after="0" w:afterLines="0" w:line="480" w:lineRule="exact"/>
              <w:jc w:val="left"/>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承包商人员安全培训计划</w:t>
            </w:r>
          </w:p>
        </w:tc>
        <w:tc>
          <w:tcPr>
            <w:tcW w:w="1662" w:type="dxa"/>
            <w:gridSpan w:val="2"/>
            <w:vAlign w:val="center"/>
          </w:tcPr>
          <w:p>
            <w:pPr>
              <w:keepNext w:val="0"/>
              <w:keepLines w:val="0"/>
              <w:pageBreakBefore w:val="0"/>
              <w:kinsoku/>
              <w:wordWrap/>
              <w:overflowPunct/>
              <w:topLinePunct w:val="0"/>
              <w:autoSpaceDE/>
              <w:autoSpaceDN/>
              <w:bidi w:val="0"/>
              <w:adjustRightInd/>
              <w:snapToGrid/>
              <w:spacing w:after="0" w:afterLines="0" w:line="480" w:lineRule="exact"/>
              <w:jc w:val="both"/>
              <w:rPr>
                <w:rFonts w:hint="eastAsia" w:ascii="宋体" w:hAnsi="宋体" w:eastAsia="宋体" w:cs="宋体"/>
                <w:b w:val="0"/>
                <w:bCs w:val="0"/>
                <w:snapToGrid/>
                <w:color w:val="auto"/>
                <w:sz w:val="28"/>
                <w:szCs w:val="28"/>
                <w:vertAlign w:val="baseline"/>
                <w:lang w:val="en-US" w:eastAsia="zh-CN"/>
              </w:rPr>
            </w:pPr>
          </w:p>
        </w:tc>
        <w:tc>
          <w:tcPr>
            <w:tcW w:w="1629" w:type="dxa"/>
            <w:gridSpan w:val="2"/>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c>
          <w:tcPr>
            <w:tcW w:w="1644" w:type="dxa"/>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7" w:type="dxa"/>
            <w:gridSpan w:val="4"/>
            <w:vAlign w:val="center"/>
          </w:tcPr>
          <w:p>
            <w:pPr>
              <w:keepNext w:val="0"/>
              <w:keepLines w:val="0"/>
              <w:pageBreakBefore w:val="0"/>
              <w:widowControl w:val="0"/>
              <w:kinsoku/>
              <w:wordWrap/>
              <w:overflowPunct/>
              <w:topLinePunct w:val="0"/>
              <w:autoSpaceDE/>
              <w:autoSpaceDN/>
              <w:bidi w:val="0"/>
              <w:adjustRightInd/>
              <w:snapToGrid w:val="0"/>
              <w:spacing w:after="0" w:afterLines="0" w:line="480" w:lineRule="exact"/>
              <w:jc w:val="left"/>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承包商拟投入项目的个体防护设备是否配足</w:t>
            </w:r>
          </w:p>
        </w:tc>
        <w:tc>
          <w:tcPr>
            <w:tcW w:w="1662" w:type="dxa"/>
            <w:gridSpan w:val="2"/>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c>
          <w:tcPr>
            <w:tcW w:w="1629" w:type="dxa"/>
            <w:gridSpan w:val="2"/>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c>
          <w:tcPr>
            <w:tcW w:w="1644" w:type="dxa"/>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7" w:type="dxa"/>
            <w:gridSpan w:val="4"/>
            <w:vAlign w:val="center"/>
          </w:tcPr>
          <w:p>
            <w:pPr>
              <w:keepNext w:val="0"/>
              <w:keepLines w:val="0"/>
              <w:pageBreakBefore w:val="0"/>
              <w:widowControl w:val="0"/>
              <w:kinsoku/>
              <w:wordWrap/>
              <w:overflowPunct/>
              <w:topLinePunct w:val="0"/>
              <w:autoSpaceDE/>
              <w:autoSpaceDN/>
              <w:bidi w:val="0"/>
              <w:adjustRightInd/>
              <w:snapToGrid w:val="0"/>
              <w:spacing w:after="0" w:afterLines="0" w:line="480" w:lineRule="exact"/>
              <w:jc w:val="left"/>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承包商应急预案制定、应急救援组织设立以及应急救援器材配置情况</w:t>
            </w:r>
          </w:p>
        </w:tc>
        <w:tc>
          <w:tcPr>
            <w:tcW w:w="1662" w:type="dxa"/>
            <w:gridSpan w:val="2"/>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c>
          <w:tcPr>
            <w:tcW w:w="1629" w:type="dxa"/>
            <w:gridSpan w:val="2"/>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c>
          <w:tcPr>
            <w:tcW w:w="1644" w:type="dxa"/>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7" w:type="dxa"/>
            <w:gridSpan w:val="4"/>
            <w:vAlign w:val="center"/>
          </w:tcPr>
          <w:p>
            <w:pPr>
              <w:keepNext w:val="0"/>
              <w:keepLines w:val="0"/>
              <w:pageBreakBefore w:val="0"/>
              <w:widowControl w:val="0"/>
              <w:kinsoku/>
              <w:wordWrap/>
              <w:overflowPunct/>
              <w:topLinePunct w:val="0"/>
              <w:autoSpaceDE/>
              <w:autoSpaceDN/>
              <w:bidi w:val="0"/>
              <w:adjustRightInd/>
              <w:snapToGrid w:val="0"/>
              <w:spacing w:after="0" w:afterLines="0" w:line="480" w:lineRule="exact"/>
              <w:jc w:val="left"/>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承包商安全承诺</w:t>
            </w:r>
          </w:p>
        </w:tc>
        <w:tc>
          <w:tcPr>
            <w:tcW w:w="1662" w:type="dxa"/>
            <w:gridSpan w:val="2"/>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c>
          <w:tcPr>
            <w:tcW w:w="1629" w:type="dxa"/>
            <w:gridSpan w:val="2"/>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c>
          <w:tcPr>
            <w:tcW w:w="1644" w:type="dxa"/>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7" w:type="dxa"/>
            <w:gridSpan w:val="4"/>
            <w:vAlign w:val="center"/>
          </w:tcPr>
          <w:p>
            <w:pPr>
              <w:keepNext w:val="0"/>
              <w:keepLines w:val="0"/>
              <w:pageBreakBefore w:val="0"/>
              <w:widowControl w:val="0"/>
              <w:kinsoku/>
              <w:wordWrap/>
              <w:overflowPunct/>
              <w:topLinePunct w:val="0"/>
              <w:autoSpaceDE/>
              <w:autoSpaceDN/>
              <w:bidi w:val="0"/>
              <w:adjustRightInd/>
              <w:snapToGrid w:val="0"/>
              <w:spacing w:after="0" w:afterLines="0" w:line="480" w:lineRule="exact"/>
              <w:jc w:val="left"/>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承包商拟投入项目的大型作业设备完好情况</w:t>
            </w:r>
          </w:p>
        </w:tc>
        <w:tc>
          <w:tcPr>
            <w:tcW w:w="1662" w:type="dxa"/>
            <w:gridSpan w:val="2"/>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c>
          <w:tcPr>
            <w:tcW w:w="1629" w:type="dxa"/>
            <w:gridSpan w:val="2"/>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c>
          <w:tcPr>
            <w:tcW w:w="1644" w:type="dxa"/>
            <w:vAlign w:val="center"/>
          </w:tcPr>
          <w:p>
            <w:pPr>
              <w:keepNext w:val="0"/>
              <w:keepLines w:val="0"/>
              <w:pageBreakBefore w:val="0"/>
              <w:kinsoku/>
              <w:wordWrap/>
              <w:overflowPunct/>
              <w:topLinePunct w:val="0"/>
              <w:autoSpaceDE/>
              <w:autoSpaceDN/>
              <w:bidi w:val="0"/>
              <w:adjustRightInd/>
              <w:snapToGrid/>
              <w:spacing w:after="0" w:afterLines="0" w:line="480" w:lineRule="exact"/>
              <w:jc w:val="center"/>
              <w:rPr>
                <w:rFonts w:hint="eastAsia" w:ascii="宋体" w:hAnsi="宋体" w:eastAsia="宋体" w:cs="宋体"/>
                <w:b w:val="0"/>
                <w:bCs w:val="0"/>
                <w:snapToGrid/>
                <w:color w:val="auto"/>
                <w:sz w:val="28"/>
                <w:szCs w:val="28"/>
                <w:vertAlign w:val="baseline"/>
                <w:lang w:val="en-US" w:eastAsia="zh-CN"/>
              </w:rPr>
            </w:pPr>
          </w:p>
        </w:tc>
      </w:tr>
    </w:tbl>
    <w:tbl>
      <w:tblPr>
        <w:tblStyle w:val="26"/>
        <w:tblW w:w="10482"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585"/>
        <w:gridCol w:w="3897"/>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0" w:hRule="atLeast"/>
          <w:jc w:val="center"/>
        </w:trPr>
        <w:tc>
          <w:tcPr>
            <w:tcW w:w="671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Lines="0" w:afterAutospacing="0" w:line="480" w:lineRule="exact"/>
              <w:ind w:left="0" w:leftChars="0" w:right="0" w:rightChars="0"/>
              <w:jc w:val="left"/>
              <w:textAlignment w:val="center"/>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r>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t>审查结论</w:t>
            </w:r>
          </w:p>
        </w:tc>
        <w:tc>
          <w:tcPr>
            <w:tcW w:w="39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center"/>
              <w:rPr>
                <w:rFonts w:hint="eastAsia" w:asciiTheme="minorEastAsia" w:hAnsiTheme="minorEastAsia" w:eastAsiaTheme="minorEastAsia" w:cstheme="minorEastAsia"/>
                <w:color w:val="333333"/>
                <w:sz w:val="28"/>
                <w:szCs w:val="28"/>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6" w:hRule="atLeast"/>
          <w:jc w:val="center"/>
        </w:trPr>
        <w:tc>
          <w:tcPr>
            <w:tcW w:w="671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0" w:afterLines="0" w:afterAutospacing="0" w:line="480" w:lineRule="exact"/>
              <w:ind w:left="0" w:leftChars="0" w:right="0" w:rightChars="0"/>
              <w:jc w:val="left"/>
              <w:textAlignment w:val="center"/>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pPr>
            <w:r>
              <w:rPr>
                <w:rFonts w:hint="eastAsia" w:asciiTheme="minorEastAsia" w:hAnsiTheme="minorEastAsia" w:eastAsiaTheme="minorEastAsia" w:cstheme="minorEastAsia"/>
                <w:b w:val="0"/>
                <w:bCs w:val="0"/>
                <w:snapToGrid/>
                <w:color w:val="auto"/>
                <w:kern w:val="2"/>
                <w:sz w:val="28"/>
                <w:szCs w:val="28"/>
                <w:vertAlign w:val="baseline"/>
                <w:lang w:val="en-US" w:eastAsia="zh-CN" w:bidi="ar-SA"/>
              </w:rPr>
              <w:t>审查人员签字</w:t>
            </w:r>
          </w:p>
        </w:tc>
        <w:tc>
          <w:tcPr>
            <w:tcW w:w="39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Lines="0" w:afterAutospacing="0" w:line="480" w:lineRule="exact"/>
              <w:ind w:left="0" w:right="0"/>
              <w:jc w:val="left"/>
              <w:textAlignment w:val="center"/>
              <w:rPr>
                <w:rFonts w:hint="eastAsia" w:asciiTheme="minorEastAsia" w:hAnsiTheme="minorEastAsia" w:eastAsiaTheme="minorEastAsia" w:cstheme="minorEastAsia"/>
                <w:color w:val="333333"/>
                <w:sz w:val="28"/>
                <w:szCs w:val="28"/>
              </w:rPr>
            </w:pPr>
          </w:p>
        </w:tc>
      </w:tr>
    </w:tbl>
    <w:p>
      <w:pPr>
        <w:rPr>
          <w:rFonts w:hint="eastAsia" w:ascii="方正黑体简体" w:hAnsi="方正黑体简体" w:eastAsia="方正黑体简体" w:cs="方正黑体简体"/>
          <w:i w:val="0"/>
          <w:iCs w:val="0"/>
          <w:caps w:val="0"/>
          <w:color w:val="0F1115"/>
          <w:spacing w:val="0"/>
          <w:sz w:val="32"/>
          <w:szCs w:val="32"/>
          <w:shd w:val="clear" w:fill="FFFFFF"/>
          <w:lang w:val="en-US" w:eastAsia="zh-CN"/>
        </w:rPr>
      </w:pPr>
      <w:r>
        <w:rPr>
          <w:rFonts w:hint="eastAsia" w:ascii="方正黑体简体" w:hAnsi="方正黑体简体" w:eastAsia="方正黑体简体" w:cs="方正黑体简体"/>
          <w:i w:val="0"/>
          <w:iCs w:val="0"/>
          <w:caps w:val="0"/>
          <w:color w:val="0F1115"/>
          <w:spacing w:val="0"/>
          <w:sz w:val="32"/>
          <w:szCs w:val="32"/>
          <w:shd w:val="clear" w:fill="FFFFFF"/>
          <w:lang w:val="en-US" w:eastAsia="zh-CN"/>
        </w:rPr>
        <w:br w:type="page"/>
      </w:r>
    </w:p>
    <w:p>
      <w:pPr>
        <w:keepNext w:val="0"/>
        <w:keepLines w:val="0"/>
        <w:pageBreakBefore w:val="0"/>
        <w:widowControl w:val="0"/>
        <w:kinsoku/>
        <w:wordWrap/>
        <w:overflowPunct/>
        <w:topLinePunct w:val="0"/>
        <w:autoSpaceDE/>
        <w:autoSpaceDN/>
        <w:bidi w:val="0"/>
        <w:adjustRightInd w:val="0"/>
        <w:snapToGrid w:val="0"/>
        <w:spacing w:after="0" w:afterLines="0" w:line="240" w:lineRule="auto"/>
        <w:textAlignment w:val="auto"/>
        <w:rPr>
          <w:rFonts w:hint="default" w:ascii="Times New Roman" w:hAnsi="Times New Roman" w:eastAsia="仿宋_GB2312" w:cs="Times New Roman"/>
          <w:b w:val="0"/>
          <w:bCs w:val="0"/>
          <w:color w:val="auto"/>
          <w:sz w:val="32"/>
          <w:szCs w:val="32"/>
          <w:lang w:val="en-US" w:eastAsia="zh-CN"/>
        </w:rPr>
      </w:pPr>
      <w:r>
        <w:rPr>
          <w:rFonts w:hint="eastAsia" w:ascii="方正黑体简体" w:hAnsi="方正黑体简体" w:eastAsia="方正黑体简体" w:cs="方正黑体简体"/>
          <w:i w:val="0"/>
          <w:iCs w:val="0"/>
          <w:caps w:val="0"/>
          <w:color w:val="0F1115"/>
          <w:spacing w:val="0"/>
          <w:sz w:val="32"/>
          <w:szCs w:val="32"/>
          <w:shd w:val="clear" w:fill="FFFFFF"/>
          <w:lang w:val="en-US" w:eastAsia="zh-CN"/>
        </w:rPr>
        <w:t>附件</w:t>
      </w:r>
      <w:r>
        <w:rPr>
          <w:rFonts w:hint="eastAsia" w:ascii="Times New Roman" w:hAnsi="Times New Roman" w:eastAsia="方正仿宋简体" w:cs="Times New Roman"/>
          <w:i w:val="0"/>
          <w:iCs w:val="0"/>
          <w:caps w:val="0"/>
          <w:color w:val="0F1115"/>
          <w:spacing w:val="0"/>
          <w:sz w:val="32"/>
          <w:szCs w:val="32"/>
          <w:shd w:val="clear" w:fill="FFFFFF"/>
          <w:lang w:val="en-US" w:eastAsia="zh-CN"/>
        </w:rPr>
        <w:t>3</w:t>
      </w:r>
    </w:p>
    <w:p>
      <w:pPr>
        <w:keepNext w:val="0"/>
        <w:keepLines w:val="0"/>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承包商安全业绩评价表（样式）</w:t>
      </w:r>
    </w:p>
    <w:tbl>
      <w:tblPr>
        <w:tblStyle w:val="27"/>
        <w:tblW w:w="10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1089"/>
        <w:gridCol w:w="862"/>
        <w:gridCol w:w="2968"/>
        <w:gridCol w:w="106"/>
        <w:gridCol w:w="1878"/>
        <w:gridCol w:w="122"/>
        <w:gridCol w:w="862"/>
        <w:gridCol w:w="935"/>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3"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承包商名称</w:t>
            </w:r>
          </w:p>
        </w:tc>
        <w:tc>
          <w:tcPr>
            <w:tcW w:w="296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1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合同编号</w:t>
            </w:r>
          </w:p>
        </w:tc>
        <w:tc>
          <w:tcPr>
            <w:tcW w:w="2717" w:type="dxa"/>
            <w:gridSpan w:val="4"/>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服务</w:t>
            </w:r>
          </w:p>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类别</w:t>
            </w:r>
          </w:p>
        </w:tc>
        <w:tc>
          <w:tcPr>
            <w:tcW w:w="9620" w:type="dxa"/>
            <w:gridSpan w:val="9"/>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left"/>
              <w:textAlignment w:val="auto"/>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☐基建施工；☐设备类检修、改造工程施工；☐设施类检修、改造工程施工；☐巡检维护服务；☐安装服务；☐设计服务；☐监理服务；☐劳务服务；</w:t>
            </w:r>
          </w:p>
          <w:p>
            <w:pPr>
              <w:keepNext w:val="0"/>
              <w:keepLines w:val="0"/>
              <w:pageBreakBefore w:val="0"/>
              <w:widowControl w:val="0"/>
              <w:kinsoku/>
              <w:wordWrap/>
              <w:overflowPunct/>
              <w:topLinePunct w:val="0"/>
              <w:autoSpaceDE/>
              <w:autoSpaceDN/>
              <w:bidi w:val="0"/>
              <w:adjustRightInd/>
              <w:snapToGrid/>
              <w:spacing w:after="0" w:afterLines="0" w:line="580" w:lineRule="exact"/>
              <w:jc w:val="left"/>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☐咨询服务；☐其他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3"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项目开始时间</w:t>
            </w:r>
          </w:p>
        </w:tc>
        <w:tc>
          <w:tcPr>
            <w:tcW w:w="296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1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项目结束时间</w:t>
            </w:r>
          </w:p>
        </w:tc>
        <w:tc>
          <w:tcPr>
            <w:tcW w:w="2717" w:type="dxa"/>
            <w:gridSpan w:val="4"/>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3"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评价时间</w:t>
            </w:r>
          </w:p>
        </w:tc>
        <w:tc>
          <w:tcPr>
            <w:tcW w:w="296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1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评价人员</w:t>
            </w:r>
          </w:p>
        </w:tc>
        <w:tc>
          <w:tcPr>
            <w:tcW w:w="2717" w:type="dxa"/>
            <w:gridSpan w:val="4"/>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862"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序号</w:t>
            </w:r>
          </w:p>
        </w:tc>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评价项目</w:t>
            </w:r>
          </w:p>
        </w:tc>
        <w:tc>
          <w:tcPr>
            <w:tcW w:w="4952"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评价标准</w:t>
            </w:r>
          </w:p>
        </w:tc>
        <w:tc>
          <w:tcPr>
            <w:tcW w:w="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控制总分</w:t>
            </w:r>
          </w:p>
        </w:tc>
        <w:tc>
          <w:tcPr>
            <w:tcW w:w="935"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扣分</w:t>
            </w:r>
          </w:p>
        </w:tc>
        <w:tc>
          <w:tcPr>
            <w:tcW w:w="79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1</w:t>
            </w:r>
          </w:p>
        </w:tc>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合同履约能力</w:t>
            </w:r>
          </w:p>
        </w:tc>
        <w:tc>
          <w:tcPr>
            <w:tcW w:w="4952"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施工合同履约不满足要求的，每发生一次酌情扣1分。</w:t>
            </w:r>
          </w:p>
        </w:tc>
        <w:tc>
          <w:tcPr>
            <w:tcW w:w="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5</w:t>
            </w:r>
          </w:p>
        </w:tc>
        <w:tc>
          <w:tcPr>
            <w:tcW w:w="935"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79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2</w:t>
            </w:r>
          </w:p>
        </w:tc>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质量保障能力</w:t>
            </w:r>
          </w:p>
        </w:tc>
        <w:tc>
          <w:tcPr>
            <w:tcW w:w="4952"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施工质量不满足要求的，每发生一次酌情扣2分。</w:t>
            </w:r>
          </w:p>
        </w:tc>
        <w:tc>
          <w:tcPr>
            <w:tcW w:w="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5</w:t>
            </w:r>
          </w:p>
        </w:tc>
        <w:tc>
          <w:tcPr>
            <w:tcW w:w="935"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79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3</w:t>
            </w:r>
          </w:p>
        </w:tc>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施工进度控制</w:t>
            </w:r>
          </w:p>
        </w:tc>
        <w:tc>
          <w:tcPr>
            <w:tcW w:w="4952"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施工进度不满足要求的，每发生一次酌情扣1分</w:t>
            </w:r>
          </w:p>
        </w:tc>
        <w:tc>
          <w:tcPr>
            <w:tcW w:w="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5</w:t>
            </w:r>
          </w:p>
        </w:tc>
        <w:tc>
          <w:tcPr>
            <w:tcW w:w="935"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79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4</w:t>
            </w:r>
          </w:p>
        </w:tc>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制度落实</w:t>
            </w:r>
          </w:p>
        </w:tc>
        <w:tc>
          <w:tcPr>
            <w:tcW w:w="4952"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安全管理制度不健全或落实不到位的，每发生一次酌情扣1-5分。</w:t>
            </w:r>
          </w:p>
        </w:tc>
        <w:tc>
          <w:tcPr>
            <w:tcW w:w="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5</w:t>
            </w:r>
          </w:p>
        </w:tc>
        <w:tc>
          <w:tcPr>
            <w:tcW w:w="935"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79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5</w:t>
            </w:r>
          </w:p>
        </w:tc>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人身、设备</w:t>
            </w:r>
          </w:p>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风险控制</w:t>
            </w:r>
          </w:p>
        </w:tc>
        <w:tc>
          <w:tcPr>
            <w:tcW w:w="4952"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发生人身轻伤扣5分/次，人身重伤扣10分/次，人身死亡及以上事故进行否决（采取终止合同等措施）</w:t>
            </w:r>
          </w:p>
        </w:tc>
        <w:tc>
          <w:tcPr>
            <w:tcW w:w="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10</w:t>
            </w:r>
          </w:p>
        </w:tc>
        <w:tc>
          <w:tcPr>
            <w:tcW w:w="935"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79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6</w:t>
            </w:r>
          </w:p>
        </w:tc>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工作许可手续及作业管理能力</w:t>
            </w:r>
          </w:p>
        </w:tc>
        <w:tc>
          <w:tcPr>
            <w:tcW w:w="4952"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安全技术交底、工作票、进厂审批、施工方案审批、监理单位批准、政府许可等不齐全或未按规定办理即开工或进入现场的每项扣2分；作业管理能力不符合要求的，每发生一次酌情扣3分。</w:t>
            </w:r>
          </w:p>
        </w:tc>
        <w:tc>
          <w:tcPr>
            <w:tcW w:w="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10</w:t>
            </w:r>
          </w:p>
        </w:tc>
        <w:tc>
          <w:tcPr>
            <w:tcW w:w="935"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79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7</w:t>
            </w:r>
          </w:p>
        </w:tc>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管理层对安全生产的重视</w:t>
            </w:r>
          </w:p>
        </w:tc>
        <w:tc>
          <w:tcPr>
            <w:tcW w:w="4952"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管理层未保证足够的安全投入、施工资源投入，未认真组织安全技术培训、定期进行安全检查、及时解决项目责任单位反映的问题的，每发生一次扣2分。发生其他不重视安全生产的事项，酌情扣3分。</w:t>
            </w:r>
          </w:p>
        </w:tc>
        <w:tc>
          <w:tcPr>
            <w:tcW w:w="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5</w:t>
            </w:r>
          </w:p>
        </w:tc>
        <w:tc>
          <w:tcPr>
            <w:tcW w:w="935"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79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862"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8</w:t>
            </w:r>
          </w:p>
        </w:tc>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管理人员职责</w:t>
            </w:r>
          </w:p>
        </w:tc>
        <w:tc>
          <w:tcPr>
            <w:tcW w:w="4952"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施工单位管理人员未认真履行职责、有效组织施工作业的，每发生一次酌情扣1分。</w:t>
            </w:r>
          </w:p>
        </w:tc>
        <w:tc>
          <w:tcPr>
            <w:tcW w:w="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5</w:t>
            </w:r>
          </w:p>
        </w:tc>
        <w:tc>
          <w:tcPr>
            <w:tcW w:w="935"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79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862"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9</w:t>
            </w:r>
          </w:p>
        </w:tc>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安全培训</w:t>
            </w:r>
          </w:p>
        </w:tc>
        <w:tc>
          <w:tcPr>
            <w:tcW w:w="4952"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未按要求对作业人员进行安全技术培训的，每发生一次酌情扣1分。</w:t>
            </w:r>
          </w:p>
        </w:tc>
        <w:tc>
          <w:tcPr>
            <w:tcW w:w="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5</w:t>
            </w:r>
          </w:p>
        </w:tc>
        <w:tc>
          <w:tcPr>
            <w:tcW w:w="935"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79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4" w:hRule="atLeast"/>
          <w:jc w:val="center"/>
        </w:trPr>
        <w:tc>
          <w:tcPr>
            <w:tcW w:w="862"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10</w:t>
            </w:r>
          </w:p>
        </w:tc>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安全投入</w:t>
            </w:r>
          </w:p>
        </w:tc>
        <w:tc>
          <w:tcPr>
            <w:tcW w:w="4952"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未按规定配置足够的安全工作、个人防护用品、安全管理人员的，每发生一次扣2分。</w:t>
            </w:r>
          </w:p>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安全工器具、个人防护用品不符合作业需要或规程要求的，每发生一次扣2分。</w:t>
            </w:r>
          </w:p>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发生其他安全投入不足的事项，酌情扣1-5分。</w:t>
            </w:r>
          </w:p>
        </w:tc>
        <w:tc>
          <w:tcPr>
            <w:tcW w:w="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10</w:t>
            </w:r>
          </w:p>
        </w:tc>
        <w:tc>
          <w:tcPr>
            <w:tcW w:w="935"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79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jc w:val="center"/>
        </w:trPr>
        <w:tc>
          <w:tcPr>
            <w:tcW w:w="862"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11</w:t>
            </w:r>
          </w:p>
        </w:tc>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施工资源投入</w:t>
            </w:r>
          </w:p>
        </w:tc>
        <w:tc>
          <w:tcPr>
            <w:tcW w:w="4952"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未根据工作需要配置足够的人力资源、施工设备、工器具等，每发生一次扣1分。</w:t>
            </w:r>
          </w:p>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发生其他施工资源投入不足的事项，酌情扣2分。</w:t>
            </w:r>
          </w:p>
        </w:tc>
        <w:tc>
          <w:tcPr>
            <w:tcW w:w="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10</w:t>
            </w:r>
          </w:p>
        </w:tc>
        <w:tc>
          <w:tcPr>
            <w:tcW w:w="935"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79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12</w:t>
            </w:r>
          </w:p>
        </w:tc>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施工组织</w:t>
            </w:r>
          </w:p>
        </w:tc>
        <w:tc>
          <w:tcPr>
            <w:tcW w:w="4952"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未按照施工方案、作业指导书进行现场作业及准备工具、材料、图纸资料等事项，每发生一次扣1分。</w:t>
            </w:r>
          </w:p>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未认真进行施工组织，施工准备不充分、现场勘察不到位、作业文件编制不结合实际的，每发生一次酌情扣2分。</w:t>
            </w:r>
          </w:p>
        </w:tc>
        <w:tc>
          <w:tcPr>
            <w:tcW w:w="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5</w:t>
            </w:r>
          </w:p>
        </w:tc>
        <w:tc>
          <w:tcPr>
            <w:tcW w:w="935"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79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13</w:t>
            </w:r>
          </w:p>
        </w:tc>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现场安全设施的符合性</w:t>
            </w:r>
          </w:p>
        </w:tc>
        <w:tc>
          <w:tcPr>
            <w:tcW w:w="4952"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现场安健环设施布置不符合要求或不满足作业需要的，每发生一次酌情扣2分。</w:t>
            </w:r>
          </w:p>
        </w:tc>
        <w:tc>
          <w:tcPr>
            <w:tcW w:w="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5</w:t>
            </w:r>
          </w:p>
        </w:tc>
        <w:tc>
          <w:tcPr>
            <w:tcW w:w="935"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79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14</w:t>
            </w:r>
          </w:p>
        </w:tc>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安全技术交底</w:t>
            </w:r>
          </w:p>
        </w:tc>
        <w:tc>
          <w:tcPr>
            <w:tcW w:w="4952"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作业前未进行“施工方案”、“安全措施”等学习和现场安全交底的，每发生一次酌情扣2分。</w:t>
            </w:r>
          </w:p>
        </w:tc>
        <w:tc>
          <w:tcPr>
            <w:tcW w:w="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10</w:t>
            </w:r>
          </w:p>
        </w:tc>
        <w:tc>
          <w:tcPr>
            <w:tcW w:w="935"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79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15</w:t>
            </w:r>
          </w:p>
        </w:tc>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作业人员执行规章制度</w:t>
            </w:r>
          </w:p>
        </w:tc>
        <w:tc>
          <w:tcPr>
            <w:tcW w:w="4952"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both"/>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人员执行作业文件不到位，或发生违章的，每发生一次酌情扣1-3分。</w:t>
            </w:r>
          </w:p>
        </w:tc>
        <w:tc>
          <w:tcPr>
            <w:tcW w:w="984"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5</w:t>
            </w:r>
          </w:p>
        </w:tc>
        <w:tc>
          <w:tcPr>
            <w:tcW w:w="935"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798" w:type="dxa"/>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813"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评价得分</w:t>
            </w:r>
          </w:p>
        </w:tc>
        <w:tc>
          <w:tcPr>
            <w:tcW w:w="7669" w:type="dxa"/>
            <w:gridSpan w:val="7"/>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8" w:hRule="atLeast"/>
          <w:jc w:val="center"/>
        </w:trPr>
        <w:tc>
          <w:tcPr>
            <w:tcW w:w="2813"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评价结论（总分65分以下为不合格；66-75分为合格；76-85分为良好；86-100分为优秀）</w:t>
            </w:r>
          </w:p>
        </w:tc>
        <w:tc>
          <w:tcPr>
            <w:tcW w:w="7669" w:type="dxa"/>
            <w:gridSpan w:val="7"/>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安全管理部门意见</w:t>
            </w:r>
          </w:p>
        </w:tc>
        <w:tc>
          <w:tcPr>
            <w:tcW w:w="3936"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2000"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负责人（签字）</w:t>
            </w:r>
          </w:p>
        </w:tc>
        <w:tc>
          <w:tcPr>
            <w:tcW w:w="2595"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分管负责人审查意见</w:t>
            </w:r>
          </w:p>
        </w:tc>
        <w:tc>
          <w:tcPr>
            <w:tcW w:w="3936"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2000"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负责人（签字）</w:t>
            </w:r>
          </w:p>
        </w:tc>
        <w:tc>
          <w:tcPr>
            <w:tcW w:w="2595"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1951"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主要负责人审查意见</w:t>
            </w:r>
          </w:p>
        </w:tc>
        <w:tc>
          <w:tcPr>
            <w:tcW w:w="3936"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2000" w:type="dxa"/>
            <w:gridSpan w:val="2"/>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负责人（签字）</w:t>
            </w:r>
          </w:p>
        </w:tc>
        <w:tc>
          <w:tcPr>
            <w:tcW w:w="2595"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8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bl>
    <w:p>
      <w:pPr>
        <w:rPr>
          <w:rFonts w:hint="eastAsia" w:ascii="方正黑体简体" w:hAnsi="方正黑体简体" w:eastAsia="方正黑体简体" w:cs="方正黑体简体"/>
          <w:i w:val="0"/>
          <w:iCs w:val="0"/>
          <w:caps w:val="0"/>
          <w:color w:val="0F1115"/>
          <w:spacing w:val="0"/>
          <w:sz w:val="32"/>
          <w:szCs w:val="32"/>
          <w:shd w:val="clear" w:fill="FFFFFF"/>
          <w:lang w:val="en-US" w:eastAsia="zh-CN"/>
        </w:rPr>
      </w:pPr>
      <w:r>
        <w:rPr>
          <w:rFonts w:hint="eastAsia" w:ascii="方正黑体简体" w:hAnsi="方正黑体简体" w:eastAsia="方正黑体简体" w:cs="方正黑体简体"/>
          <w:i w:val="0"/>
          <w:iCs w:val="0"/>
          <w:caps w:val="0"/>
          <w:color w:val="0F1115"/>
          <w:spacing w:val="0"/>
          <w:sz w:val="32"/>
          <w:szCs w:val="32"/>
          <w:shd w:val="clear" w:fill="FFFFFF"/>
          <w:lang w:val="en-US" w:eastAsia="zh-CN"/>
        </w:rPr>
        <w:br w:type="page"/>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right="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r>
        <w:rPr>
          <w:rFonts w:hint="eastAsia" w:ascii="方正黑体简体" w:hAnsi="方正黑体简体" w:eastAsia="方正黑体简体" w:cs="方正黑体简体"/>
          <w:i w:val="0"/>
          <w:iCs w:val="0"/>
          <w:caps w:val="0"/>
          <w:color w:val="0F1115"/>
          <w:spacing w:val="0"/>
          <w:sz w:val="32"/>
          <w:szCs w:val="32"/>
          <w:shd w:val="clear" w:fill="FFFFFF"/>
          <w:lang w:val="en-US" w:eastAsia="zh-CN"/>
        </w:rPr>
        <w:t>附件</w:t>
      </w:r>
      <w:r>
        <w:rPr>
          <w:rFonts w:hint="eastAsia" w:ascii="Times New Roman" w:hAnsi="Times New Roman" w:eastAsia="方正仿宋简体" w:cs="Times New Roman"/>
          <w:i w:val="0"/>
          <w:iCs w:val="0"/>
          <w:caps w:val="0"/>
          <w:color w:val="0F1115"/>
          <w:spacing w:val="0"/>
          <w:sz w:val="32"/>
          <w:szCs w:val="32"/>
          <w:shd w:val="clear" w:fill="FFFFFF"/>
          <w:lang w:val="en-US" w:eastAsia="zh-CN"/>
        </w:rPr>
        <w:t>4</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880" w:firstLineChars="200"/>
        <w:jc w:val="center"/>
        <w:textAlignment w:val="auto"/>
        <w:rPr>
          <w:rFonts w:hint="eastAsia" w:ascii="方正小标宋简体" w:hAnsi="Times New Roman" w:eastAsia="方正小标宋简体" w:cs="Times New Roman"/>
          <w:snapToGrid/>
          <w:kern w:val="2"/>
          <w:sz w:val="44"/>
          <w:szCs w:val="44"/>
          <w:lang w:val="en-US" w:eastAsia="zh-CN" w:bidi="ar-SA"/>
        </w:rPr>
      </w:pPr>
      <w:r>
        <w:rPr>
          <w:rFonts w:hint="eastAsia" w:ascii="方正小标宋简体" w:hAnsi="Times New Roman" w:eastAsia="方正小标宋简体" w:cs="Times New Roman"/>
          <w:snapToGrid/>
          <w:kern w:val="2"/>
          <w:sz w:val="44"/>
          <w:szCs w:val="44"/>
          <w:lang w:val="en-US" w:eastAsia="zh-CN" w:bidi="ar-SA"/>
        </w:rPr>
        <w:t>拟纳入承包商黑名单登记表（样式）</w:t>
      </w:r>
    </w:p>
    <w:tbl>
      <w:tblPr>
        <w:tblStyle w:val="27"/>
        <w:tblW w:w="83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8"/>
        <w:gridCol w:w="2098"/>
        <w:gridCol w:w="2098"/>
        <w:gridCol w:w="2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8" w:type="dxa"/>
            <w:vAlign w:val="center"/>
          </w:tcPr>
          <w:p>
            <w:pPr>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承包商（名称）</w:t>
            </w:r>
          </w:p>
        </w:tc>
        <w:tc>
          <w:tcPr>
            <w:tcW w:w="2098" w:type="dxa"/>
            <w:vAlign w:val="center"/>
          </w:tcPr>
          <w:p>
            <w:pPr>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2098" w:type="dxa"/>
            <w:vAlign w:val="center"/>
          </w:tcPr>
          <w:p>
            <w:pPr>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eastAsia"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承包项目</w:t>
            </w:r>
          </w:p>
        </w:tc>
        <w:tc>
          <w:tcPr>
            <w:tcW w:w="2098" w:type="dxa"/>
            <w:vAlign w:val="center"/>
          </w:tcPr>
          <w:p>
            <w:pPr>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8" w:type="dxa"/>
            <w:vAlign w:val="center"/>
          </w:tcPr>
          <w:p>
            <w:pPr>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项目负责人</w:t>
            </w:r>
          </w:p>
        </w:tc>
        <w:tc>
          <w:tcPr>
            <w:tcW w:w="2098" w:type="dxa"/>
            <w:vAlign w:val="center"/>
          </w:tcPr>
          <w:p>
            <w:pPr>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2098" w:type="dxa"/>
            <w:vAlign w:val="center"/>
          </w:tcPr>
          <w:p>
            <w:pPr>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联系方式</w:t>
            </w:r>
          </w:p>
        </w:tc>
        <w:tc>
          <w:tcPr>
            <w:tcW w:w="2098" w:type="dxa"/>
            <w:vAlign w:val="center"/>
          </w:tcPr>
          <w:p>
            <w:pPr>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8" w:type="dxa"/>
            <w:vAlign w:val="center"/>
          </w:tcPr>
          <w:p>
            <w:pPr>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承包商地址</w:t>
            </w:r>
          </w:p>
        </w:tc>
        <w:tc>
          <w:tcPr>
            <w:tcW w:w="6294"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2" w:hRule="atLeast"/>
          <w:jc w:val="center"/>
        </w:trPr>
        <w:tc>
          <w:tcPr>
            <w:tcW w:w="2098" w:type="dxa"/>
            <w:vAlign w:val="center"/>
          </w:tcPr>
          <w:p>
            <w:pPr>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主要违规行为及安全业绩评价结果</w:t>
            </w:r>
          </w:p>
        </w:tc>
        <w:tc>
          <w:tcPr>
            <w:tcW w:w="6294"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2" w:hRule="atLeast"/>
          <w:jc w:val="center"/>
        </w:trPr>
        <w:tc>
          <w:tcPr>
            <w:tcW w:w="2098" w:type="dxa"/>
            <w:vAlign w:val="center"/>
          </w:tcPr>
          <w:p>
            <w:pPr>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填报单位意见</w:t>
            </w:r>
          </w:p>
        </w:tc>
        <w:tc>
          <w:tcPr>
            <w:tcW w:w="6294" w:type="dxa"/>
            <w:gridSpan w:val="3"/>
            <w:vAlign w:val="center"/>
          </w:tcPr>
          <w:p>
            <w:pPr>
              <w:keepNext w:val="0"/>
              <w:keepLines w:val="0"/>
              <w:pageBreakBefore w:val="0"/>
              <w:widowControl w:val="0"/>
              <w:kinsoku/>
              <w:wordWrap/>
              <w:overflowPunct/>
              <w:topLinePunct w:val="0"/>
              <w:autoSpaceDE/>
              <w:autoSpaceDN/>
              <w:bidi w:val="0"/>
              <w:adjustRightInd/>
              <w:snapToGrid/>
              <w:spacing w:after="0" w:afterLines="0" w:line="560" w:lineRule="exact"/>
              <w:jc w:val="both"/>
              <w:textAlignment w:val="auto"/>
              <w:rPr>
                <w:rFonts w:hint="eastAsia" w:ascii="宋体" w:hAnsi="宋体" w:eastAsia="宋体" w:cs="宋体"/>
                <w:b w:val="0"/>
                <w:bCs w:val="0"/>
                <w:snapToGrid/>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8" w:type="dxa"/>
            <w:vAlign w:val="center"/>
          </w:tcPr>
          <w:p>
            <w:pPr>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联系人</w:t>
            </w:r>
          </w:p>
        </w:tc>
        <w:tc>
          <w:tcPr>
            <w:tcW w:w="2098" w:type="dxa"/>
            <w:vAlign w:val="center"/>
          </w:tcPr>
          <w:p>
            <w:pPr>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eastAsia" w:ascii="宋体" w:hAnsi="宋体" w:eastAsia="宋体" w:cs="宋体"/>
                <w:b w:val="0"/>
                <w:bCs w:val="0"/>
                <w:snapToGrid/>
                <w:color w:val="auto"/>
                <w:sz w:val="28"/>
                <w:szCs w:val="28"/>
                <w:vertAlign w:val="baseline"/>
                <w:lang w:val="en-US" w:eastAsia="zh-CN"/>
              </w:rPr>
            </w:pPr>
          </w:p>
        </w:tc>
        <w:tc>
          <w:tcPr>
            <w:tcW w:w="2098" w:type="dxa"/>
            <w:vAlign w:val="center"/>
          </w:tcPr>
          <w:p>
            <w:pPr>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default" w:ascii="宋体" w:hAnsi="宋体" w:eastAsia="宋体" w:cs="宋体"/>
                <w:b w:val="0"/>
                <w:bCs w:val="0"/>
                <w:snapToGrid/>
                <w:color w:val="auto"/>
                <w:sz w:val="28"/>
                <w:szCs w:val="28"/>
                <w:vertAlign w:val="baseline"/>
                <w:lang w:val="en-US" w:eastAsia="zh-CN"/>
              </w:rPr>
            </w:pPr>
            <w:r>
              <w:rPr>
                <w:rFonts w:hint="eastAsia" w:ascii="宋体" w:hAnsi="宋体" w:eastAsia="宋体" w:cs="宋体"/>
                <w:b w:val="0"/>
                <w:bCs w:val="0"/>
                <w:snapToGrid/>
                <w:color w:val="auto"/>
                <w:sz w:val="28"/>
                <w:szCs w:val="28"/>
                <w:vertAlign w:val="baseline"/>
                <w:lang w:val="en-US" w:eastAsia="zh-CN"/>
              </w:rPr>
              <w:t>联系电话</w:t>
            </w:r>
          </w:p>
        </w:tc>
        <w:tc>
          <w:tcPr>
            <w:tcW w:w="2098" w:type="dxa"/>
            <w:vAlign w:val="center"/>
          </w:tcPr>
          <w:p>
            <w:pPr>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eastAsia" w:ascii="宋体" w:hAnsi="宋体" w:eastAsia="宋体" w:cs="宋体"/>
                <w:b w:val="0"/>
                <w:bCs w:val="0"/>
                <w:snapToGrid/>
                <w:color w:val="auto"/>
                <w:sz w:val="28"/>
                <w:szCs w:val="28"/>
                <w:vertAlign w:val="baseline"/>
                <w:lang w:val="en-US" w:eastAsia="zh-CN"/>
              </w:rPr>
            </w:pPr>
          </w:p>
        </w:tc>
      </w:tr>
    </w:tbl>
    <w:p>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21" w:beforeAutospacing="0" w:after="0" w:afterLines="0" w:afterAutospacing="0" w:line="480" w:lineRule="exact"/>
        <w:ind w:right="0"/>
        <w:textAlignment w:val="auto"/>
        <w:rPr>
          <w:rFonts w:hint="eastAsia" w:ascii="方正仿宋简体" w:hAnsi="方正仿宋简体" w:eastAsia="方正仿宋简体" w:cs="方正仿宋简体"/>
          <w:color w:val="333333"/>
          <w:spacing w:val="-3"/>
          <w:sz w:val="28"/>
          <w:szCs w:val="28"/>
        </w:rPr>
      </w:pPr>
      <w:r>
        <w:rPr>
          <w:rFonts w:hint="eastAsia" w:ascii="方正仿宋简体" w:hAnsi="方正仿宋简体" w:eastAsia="方正仿宋简体" w:cs="方正仿宋简体"/>
          <w:color w:val="333333"/>
          <w:spacing w:val="-3"/>
          <w:sz w:val="28"/>
          <w:szCs w:val="28"/>
        </w:rPr>
        <w:t>备注：主要违规行为内容不够填写的，可另外附页。</w:t>
      </w:r>
    </w:p>
    <w:p>
      <w:pPr>
        <w:keepNext w:val="0"/>
        <w:keepLines w:val="0"/>
        <w:pageBreakBefore w:val="0"/>
        <w:kinsoku/>
        <w:overflowPunct/>
        <w:topLinePunct w:val="0"/>
        <w:autoSpaceDE/>
        <w:autoSpaceDN/>
        <w:bidi w:val="0"/>
        <w:adjustRightInd w:val="0"/>
        <w:snapToGrid w:val="0"/>
        <w:spacing w:after="0" w:afterLines="0" w:line="560" w:lineRule="exact"/>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r>
        <w:rPr>
          <w:rFonts w:hint="eastAsia" w:ascii="Times New Roman" w:hAnsi="Times New Roman" w:eastAsia="方正仿宋简体" w:cs="Times New Roman"/>
          <w:i w:val="0"/>
          <w:iCs w:val="0"/>
          <w:caps w:val="0"/>
          <w:color w:val="0F1115"/>
          <w:spacing w:val="0"/>
          <w:sz w:val="32"/>
          <w:szCs w:val="32"/>
          <w:shd w:val="clear" w:fill="FFFFFF"/>
          <w:lang w:val="en-US" w:eastAsia="zh-CN"/>
        </w:rPr>
        <w:br w:type="page"/>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right="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r>
        <w:rPr>
          <w:rFonts w:hint="eastAsia" w:ascii="方正黑体简体" w:hAnsi="方正黑体简体" w:eastAsia="方正黑体简体" w:cs="方正黑体简体"/>
          <w:i w:val="0"/>
          <w:iCs w:val="0"/>
          <w:caps w:val="0"/>
          <w:color w:val="0F1115"/>
          <w:spacing w:val="0"/>
          <w:sz w:val="32"/>
          <w:szCs w:val="32"/>
          <w:shd w:val="clear" w:fill="FFFFFF"/>
          <w:lang w:val="en-US" w:eastAsia="zh-CN"/>
        </w:rPr>
        <w:t>附件</w:t>
      </w:r>
      <w:r>
        <w:rPr>
          <w:rFonts w:hint="eastAsia" w:ascii="Times New Roman" w:hAnsi="Times New Roman" w:eastAsia="方正仿宋简体" w:cs="Times New Roman"/>
          <w:i w:val="0"/>
          <w:iCs w:val="0"/>
          <w:caps w:val="0"/>
          <w:color w:val="0F1115"/>
          <w:spacing w:val="0"/>
          <w:sz w:val="32"/>
          <w:szCs w:val="32"/>
          <w:shd w:val="clear" w:fill="FFFFFF"/>
          <w:lang w:val="en-US" w:eastAsia="zh-CN"/>
        </w:rPr>
        <w:t>5</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880" w:firstLineChars="200"/>
        <w:jc w:val="center"/>
        <w:textAlignment w:val="auto"/>
        <w:rPr>
          <w:rFonts w:hint="eastAsia" w:ascii="方正小标宋简体" w:hAnsi="Times New Roman" w:eastAsia="方正小标宋简体" w:cs="Times New Roman"/>
          <w:snapToGrid/>
          <w:kern w:val="2"/>
          <w:sz w:val="44"/>
          <w:szCs w:val="44"/>
          <w:lang w:val="en-US" w:eastAsia="zh-CN" w:bidi="ar-SA"/>
        </w:rPr>
      </w:pPr>
      <w:r>
        <w:rPr>
          <w:rFonts w:hint="eastAsia" w:ascii="方正小标宋简体" w:hAnsi="Times New Roman" w:eastAsia="方正小标宋简体" w:cs="Times New Roman"/>
          <w:snapToGrid/>
          <w:kern w:val="2"/>
          <w:sz w:val="44"/>
          <w:szCs w:val="44"/>
          <w:lang w:val="en-US" w:eastAsia="zh-CN" w:bidi="ar-SA"/>
        </w:rPr>
        <w:t>承包商“黑名单”终止管理</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right="0"/>
        <w:jc w:val="center"/>
        <w:textAlignment w:val="auto"/>
        <w:rPr>
          <w:rFonts w:hint="eastAsia" w:ascii="方正小标宋简体" w:hAnsi="Times New Roman" w:eastAsia="方正小标宋简体" w:cs="Times New Roman"/>
          <w:snapToGrid/>
          <w:kern w:val="2"/>
          <w:sz w:val="44"/>
          <w:szCs w:val="44"/>
          <w:lang w:val="en-US" w:eastAsia="zh-CN" w:bidi="ar-SA"/>
        </w:rPr>
      </w:pPr>
      <w:r>
        <w:rPr>
          <w:rFonts w:hint="eastAsia" w:ascii="方正小标宋简体" w:hAnsi="Times New Roman" w:eastAsia="方正小标宋简体" w:cs="Times New Roman"/>
          <w:snapToGrid/>
          <w:kern w:val="2"/>
          <w:sz w:val="44"/>
          <w:szCs w:val="44"/>
          <w:lang w:val="en-US" w:eastAsia="zh-CN" w:bidi="ar-SA"/>
        </w:rPr>
        <w:t>验收申请书（样式）</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right="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right="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r>
        <w:rPr>
          <w:rFonts w:hint="eastAsia" w:ascii="Times New Roman" w:hAnsi="Times New Roman" w:eastAsia="方正仿宋简体" w:cs="Times New Roman"/>
          <w:i w:val="0"/>
          <w:iCs w:val="0"/>
          <w:caps w:val="0"/>
          <w:color w:val="0F1115"/>
          <w:spacing w:val="0"/>
          <w:sz w:val="32"/>
          <w:szCs w:val="32"/>
          <w:shd w:val="clear" w:fill="FFFFFF"/>
          <w:lang w:val="en-US" w:eastAsia="zh-CN"/>
        </w:rPr>
        <w:t>揭阳大南海石化工业区安委会办公室：</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r>
        <w:rPr>
          <w:rFonts w:hint="eastAsia" w:ascii="Times New Roman" w:hAnsi="Times New Roman" w:eastAsia="方正仿宋简体" w:cs="Times New Roman"/>
          <w:i w:val="0"/>
          <w:iCs w:val="0"/>
          <w:caps w:val="0"/>
          <w:color w:val="0F1115"/>
          <w:spacing w:val="0"/>
          <w:sz w:val="32"/>
          <w:szCs w:val="32"/>
          <w:shd w:val="clear" w:fill="FFFFFF"/>
          <w:lang w:val="en-US" w:eastAsia="zh-CN"/>
        </w:rPr>
        <w:t>（企业名称）（经营地址       ，组织机构代码       ，法定代表人姓名       ），于    年  月  日列入揭阳大南海石化工业区承包商“黑名单”。现一年管理期限将满，       （企业名称）特申请终止”黑名单管理并接受验收。</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5120" w:firstLineChars="160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r>
        <w:rPr>
          <w:rFonts w:hint="eastAsia" w:ascii="Times New Roman" w:hAnsi="Times New Roman" w:eastAsia="方正仿宋简体" w:cs="Times New Roman"/>
          <w:i w:val="0"/>
          <w:iCs w:val="0"/>
          <w:caps w:val="0"/>
          <w:color w:val="0F1115"/>
          <w:spacing w:val="0"/>
          <w:sz w:val="32"/>
          <w:szCs w:val="32"/>
          <w:shd w:val="clear" w:fill="FFFFFF"/>
          <w:lang w:val="en-US" w:eastAsia="zh-CN"/>
        </w:rPr>
        <w:t>企业名称（公章）</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080" w:firstLineChars="190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r>
        <w:rPr>
          <w:rFonts w:hint="eastAsia" w:ascii="Times New Roman" w:hAnsi="Times New Roman" w:eastAsia="方正仿宋简体" w:cs="Times New Roman"/>
          <w:i w:val="0"/>
          <w:iCs w:val="0"/>
          <w:caps w:val="0"/>
          <w:color w:val="0F1115"/>
          <w:spacing w:val="0"/>
          <w:sz w:val="32"/>
          <w:szCs w:val="32"/>
          <w:shd w:val="clear" w:fill="FFFFFF"/>
          <w:lang w:val="en-US" w:eastAsia="zh-CN"/>
        </w:rPr>
        <w:t>年  月  日</w:t>
      </w:r>
    </w:p>
    <w:p>
      <w:pPr>
        <w:keepNext w:val="0"/>
        <w:keepLines w:val="0"/>
        <w:pageBreakBefore w:val="0"/>
        <w:kinsoku/>
        <w:overflowPunct/>
        <w:topLinePunct w:val="0"/>
        <w:autoSpaceDE/>
        <w:autoSpaceDN/>
        <w:bidi w:val="0"/>
        <w:adjustRightInd w:val="0"/>
        <w:snapToGrid w:val="0"/>
        <w:spacing w:after="0" w:afterLines="0" w:line="560" w:lineRule="exact"/>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r>
        <w:rPr>
          <w:rFonts w:hint="eastAsia" w:ascii="Times New Roman" w:hAnsi="Times New Roman" w:eastAsia="方正仿宋简体" w:cs="Times New Roman"/>
          <w:i w:val="0"/>
          <w:iCs w:val="0"/>
          <w:caps w:val="0"/>
          <w:color w:val="0F1115"/>
          <w:spacing w:val="0"/>
          <w:sz w:val="32"/>
          <w:szCs w:val="32"/>
          <w:shd w:val="clear" w:fill="FFFFFF"/>
          <w:lang w:val="en-US" w:eastAsia="zh-CN"/>
        </w:rPr>
        <w:br w:type="page"/>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192" w:beforeAutospacing="0" w:after="0" w:afterLines="0" w:afterAutospacing="0" w:line="560" w:lineRule="exact"/>
        <w:ind w:right="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r>
        <w:rPr>
          <w:rFonts w:hint="eastAsia" w:ascii="方正黑体简体" w:hAnsi="方正黑体简体" w:eastAsia="方正黑体简体" w:cs="方正黑体简体"/>
          <w:i w:val="0"/>
          <w:iCs w:val="0"/>
          <w:caps w:val="0"/>
          <w:color w:val="0F1115"/>
          <w:spacing w:val="0"/>
          <w:sz w:val="32"/>
          <w:szCs w:val="32"/>
          <w:shd w:val="clear" w:fill="FFFFFF"/>
          <w:lang w:val="en-US" w:eastAsia="zh-CN"/>
        </w:rPr>
        <w:t>附件</w:t>
      </w:r>
      <w:r>
        <w:rPr>
          <w:rFonts w:hint="eastAsia" w:ascii="Times New Roman" w:hAnsi="Times New Roman" w:eastAsia="方正仿宋简体" w:cs="Times New Roman"/>
          <w:i w:val="0"/>
          <w:iCs w:val="0"/>
          <w:caps w:val="0"/>
          <w:color w:val="0F1115"/>
          <w:spacing w:val="0"/>
          <w:sz w:val="32"/>
          <w:szCs w:val="32"/>
          <w:shd w:val="clear" w:fill="FFFFFF"/>
          <w:lang w:val="en-US" w:eastAsia="zh-CN"/>
        </w:rPr>
        <w:t>6</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192" w:beforeAutospacing="0" w:after="0" w:afterLines="0" w:afterAutospacing="0" w:line="560" w:lineRule="exact"/>
        <w:ind w:left="0" w:right="0" w:firstLine="880" w:firstLineChars="200"/>
        <w:jc w:val="center"/>
        <w:textAlignment w:val="auto"/>
        <w:rPr>
          <w:rFonts w:hint="eastAsia" w:ascii="方正小标宋简体" w:hAnsi="Times New Roman" w:eastAsia="方正小标宋简体" w:cs="Times New Roman"/>
          <w:snapToGrid/>
          <w:kern w:val="2"/>
          <w:sz w:val="44"/>
          <w:szCs w:val="44"/>
          <w:lang w:val="en-US" w:eastAsia="zh-CN" w:bidi="ar-SA"/>
        </w:rPr>
      </w:pPr>
      <w:r>
        <w:rPr>
          <w:rFonts w:hint="eastAsia" w:ascii="方正小标宋简体" w:hAnsi="Times New Roman" w:eastAsia="方正小标宋简体" w:cs="Times New Roman"/>
          <w:snapToGrid/>
          <w:kern w:val="2"/>
          <w:sz w:val="44"/>
          <w:szCs w:val="44"/>
          <w:lang w:val="en-US" w:eastAsia="zh-CN" w:bidi="ar-SA"/>
        </w:rPr>
        <w:t>承包商“黑名单”终止管理</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192" w:beforeAutospacing="0" w:after="0" w:afterLines="0" w:afterAutospacing="0" w:line="560" w:lineRule="exact"/>
        <w:ind w:left="0" w:right="0" w:firstLine="880" w:firstLineChars="200"/>
        <w:jc w:val="center"/>
        <w:textAlignment w:val="auto"/>
        <w:rPr>
          <w:rFonts w:hint="eastAsia" w:ascii="方正小标宋简体" w:hAnsi="Times New Roman" w:eastAsia="方正小标宋简体" w:cs="Times New Roman"/>
          <w:snapToGrid/>
          <w:kern w:val="2"/>
          <w:sz w:val="44"/>
          <w:szCs w:val="44"/>
          <w:lang w:val="en-US" w:eastAsia="zh-CN" w:bidi="ar-SA"/>
        </w:rPr>
      </w:pPr>
      <w:r>
        <w:rPr>
          <w:rFonts w:hint="eastAsia" w:ascii="方正小标宋简体" w:hAnsi="Times New Roman" w:eastAsia="方正小标宋简体" w:cs="Times New Roman"/>
          <w:snapToGrid/>
          <w:kern w:val="2"/>
          <w:sz w:val="44"/>
          <w:szCs w:val="44"/>
          <w:lang w:val="en-US" w:eastAsia="zh-CN" w:bidi="ar-SA"/>
        </w:rPr>
        <w:t>审查意见书（样式）</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right="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right="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r>
        <w:rPr>
          <w:rFonts w:hint="eastAsia" w:ascii="Times New Roman" w:hAnsi="Times New Roman" w:eastAsia="方正仿宋简体" w:cs="Times New Roman"/>
          <w:i w:val="0"/>
          <w:iCs w:val="0"/>
          <w:caps w:val="0"/>
          <w:color w:val="0F1115"/>
          <w:spacing w:val="0"/>
          <w:sz w:val="32"/>
          <w:szCs w:val="32"/>
          <w:shd w:val="clear" w:fill="FFFFFF"/>
          <w:lang w:val="en-US" w:eastAsia="zh-CN"/>
        </w:rPr>
        <w:t>揭阳大南海石化工业区安委会办公室：</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r>
        <w:rPr>
          <w:rFonts w:hint="eastAsia" w:ascii="Times New Roman" w:hAnsi="Times New Roman" w:eastAsia="方正仿宋简体" w:cs="Times New Roman"/>
          <w:i w:val="0"/>
          <w:iCs w:val="0"/>
          <w:caps w:val="0"/>
          <w:color w:val="0F1115"/>
          <w:spacing w:val="0"/>
          <w:sz w:val="32"/>
          <w:szCs w:val="32"/>
          <w:shd w:val="clear" w:fill="FFFFFF"/>
          <w:lang w:val="en-US" w:eastAsia="zh-CN"/>
        </w:rPr>
        <w:t>（企业名称）（经营地址      ，组织机构代码      ，法定代表人姓名      ），于    年  月  日列入揭阳大南海石化工业区承包商“黑名单”。现一年管理期限将满，经对  （企业名称）进行审查，该企业已整改并未再发生《揭阳大南海石化工业区承包商安全管理制度》第二十三条至第二十六条所规定情形，同意终止      （企业名称）“黑名单”管理。</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40" w:firstLineChars="20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5120" w:firstLineChars="160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r>
        <w:rPr>
          <w:rFonts w:hint="eastAsia" w:ascii="Times New Roman" w:hAnsi="Times New Roman" w:eastAsia="方正仿宋简体" w:cs="Times New Roman"/>
          <w:i w:val="0"/>
          <w:iCs w:val="0"/>
          <w:caps w:val="0"/>
          <w:color w:val="0F1115"/>
          <w:spacing w:val="0"/>
          <w:sz w:val="32"/>
          <w:szCs w:val="32"/>
          <w:shd w:val="clear" w:fill="FFFFFF"/>
          <w:lang w:val="en-US" w:eastAsia="zh-CN"/>
        </w:rPr>
        <w:t>单位名称（公章）</w:t>
      </w:r>
    </w:p>
    <w:p>
      <w:pPr>
        <w:pStyle w:val="2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0" w:afterLines="0" w:afterAutospacing="0" w:line="560" w:lineRule="exact"/>
        <w:ind w:left="0" w:right="0" w:firstLine="6080" w:firstLineChars="1900"/>
        <w:textAlignment w:val="auto"/>
        <w:rPr>
          <w:rFonts w:hint="eastAsia" w:ascii="Times New Roman" w:hAnsi="Times New Roman" w:eastAsia="方正仿宋简体" w:cs="Times New Roman"/>
          <w:i w:val="0"/>
          <w:iCs w:val="0"/>
          <w:caps w:val="0"/>
          <w:color w:val="0F1115"/>
          <w:spacing w:val="0"/>
          <w:sz w:val="32"/>
          <w:szCs w:val="32"/>
          <w:shd w:val="clear" w:fill="FFFFFF"/>
          <w:lang w:val="en-US" w:eastAsia="zh-CN"/>
        </w:rPr>
      </w:pPr>
      <w:r>
        <w:rPr>
          <w:rFonts w:hint="eastAsia" w:ascii="Times New Roman" w:hAnsi="Times New Roman" w:eastAsia="方正仿宋简体" w:cs="Times New Roman"/>
          <w:i w:val="0"/>
          <w:iCs w:val="0"/>
          <w:caps w:val="0"/>
          <w:color w:val="0F1115"/>
          <w:spacing w:val="0"/>
          <w:sz w:val="32"/>
          <w:szCs w:val="32"/>
          <w:shd w:val="clear" w:fill="FFFFFF"/>
          <w:lang w:val="en-US" w:eastAsia="zh-CN"/>
        </w:rPr>
        <w:t>年  月  日</w:t>
      </w:r>
    </w:p>
    <w:sectPr>
      <w:pgSz w:w="11906" w:h="16838"/>
      <w:pgMar w:top="2098" w:right="1587" w:bottom="2098" w:left="1587" w:header="0" w:footer="1531"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A00002BF" w:usb1="38CF7CFA" w:usb2="00082016" w:usb3="00000000" w:csb0="00040001" w:csb1="00000000"/>
  </w:font>
  <w:font w:name="方正黑体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10022FF" w:usb1="C000E47F" w:usb2="00000029" w:usb3="00000000" w:csb0="200001DF" w:csb1="2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270DCF"/>
    <w:multiLevelType w:val="multilevel"/>
    <w:tmpl w:val="3E270DCF"/>
    <w:lvl w:ilvl="0" w:tentative="0">
      <w:start w:val="1"/>
      <w:numFmt w:val="decimal"/>
      <w:pStyle w:val="2"/>
      <w:suff w:val="space"/>
      <w:lvlText w:val="%1."/>
      <w:lvlJc w:val="left"/>
      <w:pPr>
        <w:ind w:left="0" w:leftChars="0" w:firstLine="0" w:firstLineChars="0"/>
      </w:pPr>
      <w:rPr>
        <w:rFonts w:hint="default" w:ascii="微软雅黑" w:hAnsi="微软雅黑" w:eastAsia="微软雅黑"/>
      </w:rPr>
    </w:lvl>
    <w:lvl w:ilvl="1" w:tentative="0">
      <w:start w:val="1"/>
      <w:numFmt w:val="decimal"/>
      <w:pStyle w:val="3"/>
      <w:suff w:val="space"/>
      <w:lvlText w:val="%1.%2."/>
      <w:lvlJc w:val="left"/>
      <w:pPr>
        <w:ind w:left="0" w:leftChars="0" w:firstLine="0" w:firstLineChars="0"/>
      </w:pPr>
      <w:rPr>
        <w:rFonts w:hint="default" w:ascii="微软雅黑" w:hAnsi="微软雅黑" w:eastAsia="微软雅黑"/>
      </w:rPr>
    </w:lvl>
    <w:lvl w:ilvl="2" w:tentative="0">
      <w:start w:val="1"/>
      <w:numFmt w:val="decimal"/>
      <w:pStyle w:val="4"/>
      <w:suff w:val="space"/>
      <w:lvlText w:val="%1.%2.%3."/>
      <w:lvlJc w:val="left"/>
      <w:pPr>
        <w:ind w:left="0" w:leftChars="0" w:firstLine="0" w:firstLineChars="0"/>
      </w:pPr>
      <w:rPr>
        <w:rFonts w:hint="default" w:ascii="微软雅黑" w:hAnsi="微软雅黑" w:eastAsia="微软雅黑"/>
      </w:rPr>
    </w:lvl>
    <w:lvl w:ilvl="3" w:tentative="0">
      <w:start w:val="1"/>
      <w:numFmt w:val="decimal"/>
      <w:pStyle w:val="5"/>
      <w:suff w:val="space"/>
      <w:lvlText w:val="%1.%2.%3.%4."/>
      <w:lvlJc w:val="left"/>
      <w:pPr>
        <w:ind w:left="0" w:leftChars="0" w:firstLine="0" w:firstLineChars="0"/>
      </w:pPr>
      <w:rPr>
        <w:rFonts w:hint="default" w:ascii="微软雅黑" w:hAnsi="微软雅黑" w:eastAsia="微软雅黑"/>
      </w:rPr>
    </w:lvl>
    <w:lvl w:ilvl="4" w:tentative="0">
      <w:start w:val="1"/>
      <w:numFmt w:val="decimal"/>
      <w:pStyle w:val="6"/>
      <w:lvlText w:val="%1.%2.%3.%4.%5."/>
      <w:lvlJc w:val="left"/>
      <w:pPr>
        <w:tabs>
          <w:tab w:val="left" w:pos="0"/>
        </w:tabs>
        <w:ind w:left="0" w:leftChars="0" w:firstLine="0" w:firstLineChars="0"/>
      </w:pPr>
      <w:rPr>
        <w:rFonts w:hint="default" w:ascii="微软雅黑" w:hAnsi="微软雅黑" w:eastAsia="微软雅黑"/>
      </w:rPr>
    </w:lvl>
    <w:lvl w:ilvl="5" w:tentative="0">
      <w:start w:val="1"/>
      <w:numFmt w:val="decimal"/>
      <w:pStyle w:val="8"/>
      <w:suff w:val="space"/>
      <w:lvlText w:val="%1.%2.%3.%4.%5.%6."/>
      <w:lvlJc w:val="left"/>
      <w:pPr>
        <w:ind w:left="0" w:leftChars="0" w:firstLine="0" w:firstLineChars="0"/>
      </w:pPr>
      <w:rPr>
        <w:rFonts w:hint="default"/>
      </w:rPr>
    </w:lvl>
    <w:lvl w:ilvl="6" w:tentative="0">
      <w:start w:val="1"/>
      <w:numFmt w:val="decimal"/>
      <w:pStyle w:val="9"/>
      <w:lvlText w:val="%1.%2.%3.%4.%5.%6.%7."/>
      <w:lvlJc w:val="left"/>
      <w:pPr>
        <w:tabs>
          <w:tab w:val="left" w:pos="0"/>
        </w:tabs>
        <w:ind w:left="0" w:leftChars="0" w:firstLine="0" w:firstLineChars="0"/>
      </w:pPr>
      <w:rPr>
        <w:rFonts w:hint="default"/>
      </w:rPr>
    </w:lvl>
    <w:lvl w:ilvl="7" w:tentative="0">
      <w:start w:val="1"/>
      <w:numFmt w:val="decimal"/>
      <w:pStyle w:val="10"/>
      <w:suff w:val="space"/>
      <w:lvlText w:val="%1.%2.%3.%4.%5.%6.%7.%8."/>
      <w:lvlJc w:val="left"/>
      <w:pPr>
        <w:ind w:left="0" w:leftChars="0" w:firstLine="0" w:firstLineChars="0"/>
      </w:pPr>
      <w:rPr>
        <w:rFonts w:hint="default"/>
      </w:rPr>
    </w:lvl>
    <w:lvl w:ilvl="8" w:tentative="0">
      <w:start w:val="1"/>
      <w:numFmt w:val="decimal"/>
      <w:pStyle w:val="11"/>
      <w:lvlText w:val="%1.%2.%3.%4.%5.%6.%7.%8.%9."/>
      <w:lvlJc w:val="left"/>
      <w:pPr>
        <w:tabs>
          <w:tab w:val="left" w:pos="0"/>
        </w:tabs>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6171E5"/>
    <w:rsid w:val="000B771B"/>
    <w:rsid w:val="005E0AA6"/>
    <w:rsid w:val="00C34DAD"/>
    <w:rsid w:val="03555A65"/>
    <w:rsid w:val="05145BD8"/>
    <w:rsid w:val="053F69CD"/>
    <w:rsid w:val="06AB60C8"/>
    <w:rsid w:val="06D118A6"/>
    <w:rsid w:val="07A80859"/>
    <w:rsid w:val="07AE2260"/>
    <w:rsid w:val="07B92A66"/>
    <w:rsid w:val="095E7076"/>
    <w:rsid w:val="0BCE4606"/>
    <w:rsid w:val="0BE36304"/>
    <w:rsid w:val="0C8A677F"/>
    <w:rsid w:val="0D2E7A52"/>
    <w:rsid w:val="0D4234FE"/>
    <w:rsid w:val="0E0013EF"/>
    <w:rsid w:val="10725EA8"/>
    <w:rsid w:val="10A51DDA"/>
    <w:rsid w:val="10D40911"/>
    <w:rsid w:val="10F537DF"/>
    <w:rsid w:val="11403D02"/>
    <w:rsid w:val="11603F53"/>
    <w:rsid w:val="127C04A2"/>
    <w:rsid w:val="1300779B"/>
    <w:rsid w:val="13427DB4"/>
    <w:rsid w:val="14D709D0"/>
    <w:rsid w:val="1534372C"/>
    <w:rsid w:val="174F6F43"/>
    <w:rsid w:val="17F6116D"/>
    <w:rsid w:val="1954439D"/>
    <w:rsid w:val="19A31619"/>
    <w:rsid w:val="1A501008"/>
    <w:rsid w:val="1A836E3E"/>
    <w:rsid w:val="1AFF658A"/>
    <w:rsid w:val="1B6171E5"/>
    <w:rsid w:val="1D6D0ACE"/>
    <w:rsid w:val="1DC1221D"/>
    <w:rsid w:val="1E2C3B3A"/>
    <w:rsid w:val="1E5A5DD9"/>
    <w:rsid w:val="1F2B3DF2"/>
    <w:rsid w:val="1FE741BD"/>
    <w:rsid w:val="203F560A"/>
    <w:rsid w:val="20994D8B"/>
    <w:rsid w:val="21026DD4"/>
    <w:rsid w:val="212A1E87"/>
    <w:rsid w:val="23AE4FF1"/>
    <w:rsid w:val="24C42DE3"/>
    <w:rsid w:val="25BC47C9"/>
    <w:rsid w:val="25DA3E7C"/>
    <w:rsid w:val="26040D09"/>
    <w:rsid w:val="27A209C9"/>
    <w:rsid w:val="299D1B50"/>
    <w:rsid w:val="2AEA4B61"/>
    <w:rsid w:val="2C475FE3"/>
    <w:rsid w:val="2C6E17C2"/>
    <w:rsid w:val="2D03015C"/>
    <w:rsid w:val="2DC669A6"/>
    <w:rsid w:val="314D5E4A"/>
    <w:rsid w:val="32B85545"/>
    <w:rsid w:val="3491604D"/>
    <w:rsid w:val="352E1AEE"/>
    <w:rsid w:val="35470E02"/>
    <w:rsid w:val="377A5C56"/>
    <w:rsid w:val="377A726D"/>
    <w:rsid w:val="3B171570"/>
    <w:rsid w:val="3C3519B4"/>
    <w:rsid w:val="3D755E3B"/>
    <w:rsid w:val="3E263CAA"/>
    <w:rsid w:val="3E522CF1"/>
    <w:rsid w:val="3EFF354E"/>
    <w:rsid w:val="3F6E5909"/>
    <w:rsid w:val="3FBD063E"/>
    <w:rsid w:val="40774C91"/>
    <w:rsid w:val="409969B6"/>
    <w:rsid w:val="411E3516"/>
    <w:rsid w:val="45ED50AE"/>
    <w:rsid w:val="4689127A"/>
    <w:rsid w:val="4691012F"/>
    <w:rsid w:val="471274C2"/>
    <w:rsid w:val="479E0D55"/>
    <w:rsid w:val="47DF78C6"/>
    <w:rsid w:val="490B5F77"/>
    <w:rsid w:val="4BF70A34"/>
    <w:rsid w:val="4BFF02D2"/>
    <w:rsid w:val="4C8D0A25"/>
    <w:rsid w:val="4F471CD3"/>
    <w:rsid w:val="502905E0"/>
    <w:rsid w:val="502F2E92"/>
    <w:rsid w:val="50C555A5"/>
    <w:rsid w:val="50CC6933"/>
    <w:rsid w:val="510A745C"/>
    <w:rsid w:val="52CB6777"/>
    <w:rsid w:val="52DB4C0C"/>
    <w:rsid w:val="54501E4A"/>
    <w:rsid w:val="55393E6B"/>
    <w:rsid w:val="571C4E7A"/>
    <w:rsid w:val="572D6BA8"/>
    <w:rsid w:val="594A0CAC"/>
    <w:rsid w:val="599975CF"/>
    <w:rsid w:val="5BB406F0"/>
    <w:rsid w:val="5BE54D4D"/>
    <w:rsid w:val="5C966047"/>
    <w:rsid w:val="5D6858C7"/>
    <w:rsid w:val="5F7556F6"/>
    <w:rsid w:val="6085265B"/>
    <w:rsid w:val="61B2122D"/>
    <w:rsid w:val="623600B0"/>
    <w:rsid w:val="6327307F"/>
    <w:rsid w:val="63EB0A27"/>
    <w:rsid w:val="63EB6C79"/>
    <w:rsid w:val="64610CE9"/>
    <w:rsid w:val="64D21BE7"/>
    <w:rsid w:val="660B53B0"/>
    <w:rsid w:val="679F2254"/>
    <w:rsid w:val="684B23DC"/>
    <w:rsid w:val="68D20407"/>
    <w:rsid w:val="68EB3277"/>
    <w:rsid w:val="694C640B"/>
    <w:rsid w:val="69872FA0"/>
    <w:rsid w:val="6A4470E3"/>
    <w:rsid w:val="6AA33E09"/>
    <w:rsid w:val="6AE6019A"/>
    <w:rsid w:val="6E240A91"/>
    <w:rsid w:val="6F8561D3"/>
    <w:rsid w:val="70875028"/>
    <w:rsid w:val="70F80C27"/>
    <w:rsid w:val="723A2DA8"/>
    <w:rsid w:val="72AC1CC9"/>
    <w:rsid w:val="72F71196"/>
    <w:rsid w:val="73D414D7"/>
    <w:rsid w:val="765B603D"/>
    <w:rsid w:val="77204A34"/>
    <w:rsid w:val="7735228D"/>
    <w:rsid w:val="779E42D6"/>
    <w:rsid w:val="77F672B6"/>
    <w:rsid w:val="780305DD"/>
    <w:rsid w:val="78935DB8"/>
    <w:rsid w:val="79246A5D"/>
    <w:rsid w:val="796432FD"/>
    <w:rsid w:val="7CC320E9"/>
    <w:rsid w:val="7D272C74"/>
    <w:rsid w:val="7DB54FCA"/>
    <w:rsid w:val="7DD56578"/>
    <w:rsid w:val="7DEF1C85"/>
    <w:rsid w:val="7E2748F9"/>
    <w:rsid w:val="7E650FC4"/>
    <w:rsid w:val="7E6A65DF"/>
    <w:rsid w:val="7EB60F39"/>
    <w:rsid w:val="7F3167F9"/>
    <w:rsid w:val="7FD66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after="20" w:afterLines="20" w:line="288" w:lineRule="auto"/>
      <w:jc w:val="both"/>
    </w:pPr>
    <w:rPr>
      <w:rFonts w:eastAsia="微软雅黑" w:asciiTheme="minorAscii" w:hAnsiTheme="minorAscii" w:cstheme="minorBidi"/>
      <w:snapToGrid/>
      <w:kern w:val="2"/>
      <w:sz w:val="21"/>
      <w:szCs w:val="24"/>
      <w:lang w:val="en-US" w:eastAsia="zh-CN" w:bidi="ar-SA"/>
    </w:rPr>
  </w:style>
  <w:style w:type="paragraph" w:styleId="2">
    <w:name w:val="heading 1"/>
    <w:next w:val="1"/>
    <w:qFormat/>
    <w:uiPriority w:val="9"/>
    <w:pPr>
      <w:keepNext/>
      <w:keepLines/>
      <w:numPr>
        <w:ilvl w:val="0"/>
        <w:numId w:val="1"/>
      </w:numPr>
      <w:tabs>
        <w:tab w:val="left" w:pos="0"/>
      </w:tabs>
      <w:adjustRightInd w:val="0"/>
      <w:snapToGrid w:val="0"/>
      <w:spacing w:before="50" w:beforeLines="50" w:after="20" w:afterLines="20" w:line="288" w:lineRule="auto"/>
      <w:ind w:left="0" w:firstLine="0"/>
      <w:outlineLvl w:val="0"/>
    </w:pPr>
    <w:rPr>
      <w:rFonts w:ascii="微软雅黑" w:hAnsi="微软雅黑" w:eastAsia="微软雅黑" w:cstheme="minorBidi"/>
      <w:b/>
      <w:bCs/>
      <w:kern w:val="44"/>
      <w:sz w:val="36"/>
      <w:szCs w:val="36"/>
    </w:rPr>
  </w:style>
  <w:style w:type="paragraph" w:styleId="3">
    <w:name w:val="heading 2"/>
    <w:basedOn w:val="1"/>
    <w:next w:val="1"/>
    <w:link w:val="37"/>
    <w:unhideWhenUsed/>
    <w:qFormat/>
    <w:uiPriority w:val="9"/>
    <w:pPr>
      <w:numPr>
        <w:ilvl w:val="1"/>
        <w:numId w:val="1"/>
      </w:numPr>
      <w:tabs>
        <w:tab w:val="left" w:pos="0"/>
      </w:tabs>
      <w:adjustRightInd w:val="0"/>
      <w:snapToGrid w:val="0"/>
      <w:spacing w:before="50" w:beforeLines="50" w:after="20" w:afterLines="20" w:line="288" w:lineRule="auto"/>
      <w:ind w:left="0" w:firstLine="0"/>
      <w:outlineLvl w:val="1"/>
    </w:pPr>
    <w:rPr>
      <w:rFonts w:ascii="微软雅黑" w:hAnsi="微软雅黑" w:eastAsia="微软雅黑" w:cstheme="minorBidi"/>
      <w:b/>
      <w:bCs/>
      <w:kern w:val="2"/>
      <w:sz w:val="32"/>
      <w:szCs w:val="32"/>
    </w:rPr>
  </w:style>
  <w:style w:type="paragraph" w:styleId="4">
    <w:name w:val="heading 3"/>
    <w:next w:val="1"/>
    <w:unhideWhenUsed/>
    <w:qFormat/>
    <w:uiPriority w:val="9"/>
    <w:pPr>
      <w:numPr>
        <w:ilvl w:val="2"/>
        <w:numId w:val="1"/>
      </w:numPr>
      <w:tabs>
        <w:tab w:val="left" w:pos="0"/>
        <w:tab w:val="left" w:pos="312"/>
      </w:tabs>
      <w:adjustRightInd w:val="0"/>
      <w:snapToGrid w:val="0"/>
      <w:spacing w:before="50" w:beforeLines="50" w:after="20" w:afterLines="20" w:line="288" w:lineRule="auto"/>
      <w:ind w:left="0" w:firstLine="0"/>
      <w:outlineLvl w:val="2"/>
    </w:pPr>
    <w:rPr>
      <w:rFonts w:ascii="微软雅黑" w:hAnsi="微软雅黑" w:eastAsia="微软雅黑" w:cstheme="minorBidi"/>
      <w:b/>
      <w:kern w:val="2"/>
      <w:sz w:val="30"/>
      <w:szCs w:val="30"/>
    </w:rPr>
  </w:style>
  <w:style w:type="paragraph" w:styleId="5">
    <w:name w:val="heading 4"/>
    <w:next w:val="1"/>
    <w:unhideWhenUsed/>
    <w:qFormat/>
    <w:uiPriority w:val="9"/>
    <w:pPr>
      <w:numPr>
        <w:ilvl w:val="3"/>
        <w:numId w:val="1"/>
      </w:numPr>
      <w:tabs>
        <w:tab w:val="left" w:pos="0"/>
      </w:tabs>
      <w:adjustRightInd w:val="0"/>
      <w:snapToGrid w:val="0"/>
      <w:spacing w:before="50" w:beforeLines="50" w:after="20" w:afterLines="20" w:line="288" w:lineRule="auto"/>
      <w:ind w:left="0" w:firstLine="0"/>
      <w:outlineLvl w:val="3"/>
    </w:pPr>
    <w:rPr>
      <w:rFonts w:ascii="微软雅黑" w:hAnsi="微软雅黑" w:eastAsia="微软雅黑" w:cstheme="minorBidi"/>
      <w:b/>
      <w:bCs/>
      <w:sz w:val="28"/>
      <w:szCs w:val="28"/>
    </w:rPr>
  </w:style>
  <w:style w:type="paragraph" w:styleId="6">
    <w:name w:val="heading 5"/>
    <w:basedOn w:val="1"/>
    <w:next w:val="7"/>
    <w:unhideWhenUsed/>
    <w:qFormat/>
    <w:uiPriority w:val="9"/>
    <w:pPr>
      <w:numPr>
        <w:ilvl w:val="4"/>
        <w:numId w:val="1"/>
      </w:numPr>
      <w:tabs>
        <w:tab w:val="left" w:pos="312"/>
      </w:tabs>
      <w:spacing w:before="50" w:beforeLines="50" w:after="20" w:afterLines="20"/>
      <w:ind w:left="0" w:firstLine="0"/>
      <w:jc w:val="left"/>
      <w:outlineLvl w:val="4"/>
    </w:pPr>
    <w:rPr>
      <w:rFonts w:ascii="Arial" w:hAnsi="Arial"/>
      <w:b/>
      <w:sz w:val="24"/>
      <w:szCs w:val="22"/>
    </w:rPr>
  </w:style>
  <w:style w:type="paragraph" w:styleId="8">
    <w:name w:val="heading 6"/>
    <w:basedOn w:val="1"/>
    <w:next w:val="7"/>
    <w:unhideWhenUsed/>
    <w:qFormat/>
    <w:uiPriority w:val="0"/>
    <w:pPr>
      <w:numPr>
        <w:ilvl w:val="5"/>
        <w:numId w:val="1"/>
      </w:numPr>
      <w:tabs>
        <w:tab w:val="left" w:pos="0"/>
      </w:tabs>
      <w:spacing w:before="50" w:beforeLines="50" w:after="20" w:afterLines="20" w:line="288" w:lineRule="auto"/>
      <w:ind w:left="0" w:firstLine="0"/>
      <w:outlineLvl w:val="5"/>
    </w:pPr>
    <w:rPr>
      <w:rFonts w:ascii="微软雅黑" w:hAnsi="微软雅黑"/>
      <w:b/>
      <w:bCs/>
      <w:sz w:val="24"/>
    </w:rPr>
  </w:style>
  <w:style w:type="paragraph" w:styleId="9">
    <w:name w:val="heading 7"/>
    <w:basedOn w:val="1"/>
    <w:next w:val="7"/>
    <w:unhideWhenUsed/>
    <w:qFormat/>
    <w:uiPriority w:val="0"/>
    <w:pPr>
      <w:numPr>
        <w:ilvl w:val="6"/>
        <w:numId w:val="1"/>
      </w:numPr>
      <w:spacing w:before="50" w:beforeLines="50" w:after="20" w:afterLines="20" w:line="288" w:lineRule="auto"/>
      <w:ind w:left="0" w:firstLine="0"/>
      <w:jc w:val="left"/>
      <w:outlineLvl w:val="6"/>
    </w:pPr>
    <w:rPr>
      <w:rFonts w:ascii="微软雅黑" w:hAnsi="微软雅黑"/>
      <w:b/>
      <w:bCs/>
      <w:sz w:val="24"/>
    </w:rPr>
  </w:style>
  <w:style w:type="paragraph" w:styleId="10">
    <w:name w:val="heading 8"/>
    <w:basedOn w:val="1"/>
    <w:next w:val="7"/>
    <w:unhideWhenUsed/>
    <w:qFormat/>
    <w:uiPriority w:val="0"/>
    <w:pPr>
      <w:numPr>
        <w:ilvl w:val="7"/>
        <w:numId w:val="1"/>
      </w:numPr>
      <w:tabs>
        <w:tab w:val="left" w:pos="0"/>
      </w:tabs>
      <w:spacing w:before="50" w:beforeLines="50" w:after="20" w:afterLines="20" w:line="288" w:lineRule="auto"/>
      <w:ind w:left="0" w:firstLine="0"/>
      <w:outlineLvl w:val="7"/>
    </w:pPr>
    <w:rPr>
      <w:rFonts w:ascii="微软雅黑" w:hAnsi="微软雅黑" w:cstheme="majorBidi"/>
      <w:b/>
      <w:bCs/>
      <w:sz w:val="24"/>
    </w:rPr>
  </w:style>
  <w:style w:type="paragraph" w:styleId="11">
    <w:name w:val="heading 9"/>
    <w:basedOn w:val="1"/>
    <w:next w:val="7"/>
    <w:unhideWhenUsed/>
    <w:qFormat/>
    <w:uiPriority w:val="0"/>
    <w:pPr>
      <w:numPr>
        <w:ilvl w:val="8"/>
        <w:numId w:val="1"/>
      </w:numPr>
      <w:spacing w:before="50" w:beforeLines="50" w:after="20" w:afterLines="20" w:line="288" w:lineRule="auto"/>
      <w:ind w:left="0" w:firstLine="0"/>
      <w:outlineLvl w:val="8"/>
    </w:pPr>
    <w:rPr>
      <w:rFonts w:ascii="微软雅黑" w:hAnsi="微软雅黑" w:cstheme="majorBidi"/>
      <w:b/>
      <w:bCs/>
      <w:sz w:val="24"/>
      <w:szCs w:val="24"/>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7">
    <w:name w:val="Body Text"/>
    <w:basedOn w:val="1"/>
    <w:qFormat/>
    <w:uiPriority w:val="0"/>
    <w:pPr>
      <w:spacing w:after="20" w:afterLines="20" w:afterAutospacing="0" w:line="288" w:lineRule="auto"/>
      <w:ind w:firstLine="0" w:firstLineChars="0"/>
    </w:pPr>
    <w:rPr>
      <w:rFonts w:ascii="微软雅黑" w:hAnsi="微软雅黑"/>
      <w:szCs w:val="21"/>
    </w:rPr>
  </w:style>
  <w:style w:type="paragraph" w:styleId="12">
    <w:name w:val="caption"/>
    <w:basedOn w:val="1"/>
    <w:next w:val="1"/>
    <w:unhideWhenUsed/>
    <w:qFormat/>
    <w:uiPriority w:val="0"/>
    <w:pPr>
      <w:ind w:firstLine="0" w:firstLineChars="0"/>
    </w:pPr>
    <w:rPr>
      <w:rFonts w:ascii="微软雅黑" w:hAnsi="微软雅黑" w:cs="Times New Roman"/>
      <w:sz w:val="20"/>
      <w:szCs w:val="20"/>
    </w:rPr>
  </w:style>
  <w:style w:type="paragraph" w:styleId="13">
    <w:name w:val="annotation text"/>
    <w:basedOn w:val="1"/>
    <w:qFormat/>
    <w:uiPriority w:val="0"/>
    <w:pPr>
      <w:jc w:val="lef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14">
    <w:name w:val="Salutation"/>
    <w:basedOn w:val="1"/>
    <w:next w:val="1"/>
    <w:qFormat/>
    <w:uiPriority w:val="0"/>
    <w:pPr>
      <w:ind w:firstLine="0" w:firstLineChars="0"/>
    </w:pPr>
    <w:rPr>
      <w:rFonts w:ascii="微软雅黑" w:hAnsi="微软雅黑"/>
      <w:szCs w:val="21"/>
    </w:rPr>
  </w:style>
  <w:style w:type="paragraph" w:styleId="15">
    <w:name w:val="Date"/>
    <w:basedOn w:val="1"/>
    <w:next w:val="1"/>
    <w:qFormat/>
    <w:uiPriority w:val="0"/>
    <w:pPr>
      <w:ind w:firstLine="0" w:firstLineChars="0"/>
      <w:jc w:val="righ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16">
    <w:name w:val="endnote text"/>
    <w:basedOn w:val="1"/>
    <w:qFormat/>
    <w:uiPriority w:val="0"/>
    <w:pPr>
      <w:jc w:val="lef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17">
    <w:name w:val="Balloon Text"/>
    <w:basedOn w:val="1"/>
    <w:qFormat/>
    <w:uiPriority w:val="0"/>
    <w:rPr>
      <w:rFonts w:ascii="微软雅黑" w:hAnsi="微软雅黑"/>
      <w:sz w:val="18"/>
      <w:szCs w:val="18"/>
    </w:rPr>
  </w:style>
  <w:style w:type="paragraph" w:styleId="18">
    <w:name w:val="footer"/>
    <w:basedOn w:val="1"/>
    <w:qFormat/>
    <w:uiPriority w:val="0"/>
    <w:pPr>
      <w:tabs>
        <w:tab w:val="center" w:pos="4153"/>
        <w:tab w:val="right" w:pos="8306"/>
      </w:tabs>
      <w:ind w:firstLine="0" w:firstLineChars="0"/>
      <w:jc w:val="left"/>
    </w:pPr>
    <w:rPr>
      <w:rFonts w:ascii="微软雅黑" w:hAnsi="微软雅黑"/>
      <w:sz w:val="18"/>
      <w:szCs w:val="18"/>
    </w:rPr>
  </w:style>
  <w:style w:type="paragraph" w:styleId="1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ind w:firstLine="0" w:firstLineChars="0"/>
    </w:pPr>
    <w:rPr>
      <w:rFonts w:ascii="微软雅黑" w:hAnsi="微软雅黑"/>
      <w:sz w:val="18"/>
      <w:szCs w:val="18"/>
    </w:rPr>
  </w:style>
  <w:style w:type="paragraph" w:styleId="20">
    <w:name w:val="Signature"/>
    <w:basedOn w:val="1"/>
    <w:qFormat/>
    <w:uiPriority w:val="0"/>
    <w:pPr>
      <w:ind w:firstLine="0" w:firstLineChars="0"/>
      <w:jc w:val="righ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21">
    <w:name w:val="Subtitle"/>
    <w:basedOn w:val="1"/>
    <w:next w:val="7"/>
    <w:qFormat/>
    <w:uiPriority w:val="0"/>
    <w:pPr>
      <w:spacing w:beforeLines="0" w:beforeAutospacing="0" w:after="100" w:afterLines="100" w:afterAutospacing="0" w:line="240" w:lineRule="auto"/>
      <w:jc w:val="center"/>
      <w:outlineLvl w:val="9"/>
    </w:pPr>
    <w:rPr>
      <w:rFonts w:ascii="微软雅黑" w:hAnsi="微软雅黑"/>
      <w:b/>
      <w:bCs/>
      <w:kern w:val="28"/>
      <w:sz w:val="36"/>
      <w:szCs w:val="36"/>
    </w:rPr>
  </w:style>
  <w:style w:type="paragraph" w:styleId="22">
    <w:name w:val="footnote text"/>
    <w:basedOn w:val="1"/>
    <w:qFormat/>
    <w:uiPriority w:val="0"/>
    <w:pPr>
      <w:jc w:val="left"/>
    </w:pPr>
    <w:rPr>
      <w:rFonts w:ascii="微软雅黑" w:hAnsi="微软雅黑" w:eastAsia="微软雅黑"/>
      <w:sz w:val="24"/>
    </w:rPr>
  </w:style>
  <w:style w:type="paragraph" w:styleId="23">
    <w:name w:val="Normal (Web)"/>
    <w:basedOn w:val="1"/>
    <w:qFormat/>
    <w:uiPriority w:val="0"/>
    <w:rPr>
      <w:rFonts w:ascii="微软雅黑" w:hAnsi="微软雅黑"/>
      <w:sz w:val="24"/>
    </w:rPr>
  </w:style>
  <w:style w:type="paragraph" w:styleId="24">
    <w:name w:val="Title"/>
    <w:basedOn w:val="1"/>
    <w:qFormat/>
    <w:uiPriority w:val="10"/>
    <w:pPr>
      <w:spacing w:after="100" w:afterLines="100" w:line="288" w:lineRule="auto"/>
      <w:jc w:val="center"/>
      <w:outlineLvl w:val="9"/>
    </w:pPr>
    <w:rPr>
      <w:rFonts w:ascii="微软雅黑" w:hAnsi="微软雅黑"/>
      <w:b/>
      <w:bCs/>
      <w:sz w:val="48"/>
      <w:szCs w:val="48"/>
    </w:rPr>
  </w:style>
  <w:style w:type="paragraph" w:styleId="25">
    <w:name w:val="annotation subject"/>
    <w:basedOn w:val="13"/>
    <w:next w:val="13"/>
    <w:qFormat/>
    <w:uiPriority w:val="0"/>
    <w:rPr>
      <w:b/>
      <w:bCs/>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22"/>
    <w:rPr>
      <w:rFonts w:ascii="微软雅黑" w:hAnsi="微软雅黑" w:eastAsia="微软雅黑"/>
      <w:b/>
      <w:color w:val="auto"/>
      <w:u w:val="single"/>
    </w:rPr>
  </w:style>
  <w:style w:type="character" w:styleId="30">
    <w:name w:val="endnote reference"/>
    <w:basedOn w:val="28"/>
    <w:qFormat/>
    <w:uiPriority w:val="0"/>
    <w:rPr>
      <w:rFonts w:ascii="微软雅黑" w:hAnsi="微软雅黑" w:eastAsia="微软雅黑"/>
      <w:color w:val="262626" w:themeColor="text1" w:themeTint="D9"/>
      <w:vertAlign w:val="superscript"/>
      <w14:textFill>
        <w14:solidFill>
          <w14:schemeClr w14:val="tx1">
            <w14:lumMod w14:val="85000"/>
            <w14:lumOff w14:val="15000"/>
          </w14:schemeClr>
        </w14:solidFill>
      </w14:textFill>
    </w:rPr>
  </w:style>
  <w:style w:type="character" w:styleId="31">
    <w:name w:val="page number"/>
    <w:qFormat/>
    <w:uiPriority w:val="0"/>
    <w:rPr>
      <w:rFonts w:ascii="微软雅黑" w:hAnsi="微软雅黑" w:eastAsia="微软雅黑" w:cs="Times New Roman"/>
      <w:color w:val="262626" w:themeColor="text1" w:themeTint="D9"/>
      <w:spacing w:val="-6"/>
      <w:kern w:val="2"/>
      <w:sz w:val="21"/>
      <w:szCs w:val="21"/>
      <w:lang w:val="en-US" w:eastAsia="zh-CN" w:bidi="ar-SA"/>
      <w14:textFill>
        <w14:solidFill>
          <w14:schemeClr w14:val="tx1">
            <w14:lumMod w14:val="85000"/>
            <w14:lumOff w14:val="15000"/>
          </w14:schemeClr>
        </w14:solidFill>
      </w14:textFill>
    </w:rPr>
  </w:style>
  <w:style w:type="character" w:styleId="32">
    <w:name w:val="FollowedHyperlink"/>
    <w:basedOn w:val="28"/>
    <w:qFormat/>
    <w:uiPriority w:val="0"/>
    <w:rPr>
      <w:rFonts w:ascii="微软雅黑" w:hAnsi="微软雅黑" w:eastAsia="微软雅黑" w:cs="Times New Roman"/>
      <w:color w:val="800080"/>
      <w:spacing w:val="-6"/>
      <w:kern w:val="2"/>
      <w:sz w:val="24"/>
      <w:szCs w:val="24"/>
      <w:u w:val="single"/>
      <w:lang w:val="en-US" w:eastAsia="zh-CN" w:bidi="ar-SA"/>
    </w:rPr>
  </w:style>
  <w:style w:type="character" w:styleId="33">
    <w:name w:val="Emphasis"/>
    <w:basedOn w:val="28"/>
    <w:qFormat/>
    <w:uiPriority w:val="20"/>
    <w:rPr>
      <w:rFonts w:ascii="Arial" w:hAnsi="Arial" w:eastAsia="微软雅黑"/>
      <w:b/>
      <w:bCs/>
      <w:i/>
      <w:color w:val="auto"/>
      <w:sz w:val="24"/>
      <w:szCs w:val="22"/>
    </w:rPr>
  </w:style>
  <w:style w:type="character" w:styleId="34">
    <w:name w:val="Hyperlink"/>
    <w:basedOn w:val="28"/>
    <w:qFormat/>
    <w:uiPriority w:val="0"/>
    <w:rPr>
      <w:rFonts w:ascii="微软雅黑" w:hAnsi="微软雅黑" w:eastAsia="微软雅黑" w:cs="Times New Roman"/>
      <w:caps/>
      <w:color w:val="0000FF"/>
      <w:spacing w:val="-6"/>
      <w:kern w:val="2"/>
      <w:sz w:val="24"/>
      <w:szCs w:val="24"/>
      <w:u w:val="single"/>
      <w:lang w:val="en-US" w:eastAsia="zh-CN" w:bidi="ar-SA"/>
    </w:rPr>
  </w:style>
  <w:style w:type="character" w:styleId="35">
    <w:name w:val="annotation reference"/>
    <w:basedOn w:val="28"/>
    <w:qFormat/>
    <w:uiPriority w:val="0"/>
    <w:rPr>
      <w:rFonts w:ascii="微软雅黑" w:hAnsi="微软雅黑" w:eastAsia="微软雅黑"/>
      <w:color w:val="262626" w:themeColor="text1" w:themeTint="D9"/>
      <w:sz w:val="21"/>
      <w:szCs w:val="21"/>
      <w14:textFill>
        <w14:solidFill>
          <w14:schemeClr w14:val="tx1">
            <w14:lumMod w14:val="85000"/>
            <w14:lumOff w14:val="15000"/>
          </w14:schemeClr>
        </w14:solidFill>
      </w14:textFill>
    </w:rPr>
  </w:style>
  <w:style w:type="character" w:styleId="36">
    <w:name w:val="footnote reference"/>
    <w:basedOn w:val="28"/>
    <w:qFormat/>
    <w:uiPriority w:val="0"/>
    <w:rPr>
      <w:rFonts w:ascii="微软雅黑" w:hAnsi="微软雅黑" w:eastAsia="微软雅黑"/>
      <w:color w:val="262626" w:themeColor="text1" w:themeTint="D9"/>
      <w:vertAlign w:val="superscript"/>
      <w14:textFill>
        <w14:solidFill>
          <w14:schemeClr w14:val="tx1">
            <w14:lumMod w14:val="85000"/>
            <w14:lumOff w14:val="15000"/>
          </w14:schemeClr>
        </w14:solidFill>
      </w14:textFill>
    </w:rPr>
  </w:style>
  <w:style w:type="character" w:customStyle="1" w:styleId="37">
    <w:name w:val="标题 2 Char"/>
    <w:link w:val="3"/>
    <w:qFormat/>
    <w:uiPriority w:val="0"/>
    <w:rPr>
      <w:rFonts w:ascii="微软雅黑" w:hAnsi="微软雅黑" w:eastAsia="微软雅黑" w:cstheme="minorBidi"/>
      <w:b/>
      <w:bCs/>
      <w:kern w:val="2"/>
      <w:sz w:val="32"/>
      <w:szCs w:val="32"/>
    </w:rPr>
  </w:style>
  <w:style w:type="paragraph" w:customStyle="1" w:styleId="38">
    <w:name w:val="文档说明标题"/>
    <w:basedOn w:val="1"/>
    <w:next w:val="1"/>
    <w:qFormat/>
    <w:uiPriority w:val="0"/>
    <w:pPr>
      <w:spacing w:after="100" w:afterLines="100" w:line="240" w:lineRule="auto"/>
      <w:ind w:firstLine="0" w:firstLineChars="0"/>
      <w:jc w:val="center"/>
      <w:outlineLvl w:val="9"/>
    </w:pPr>
    <w:rPr>
      <w:rFonts w:ascii="微软雅黑" w:hAnsi="微软雅黑"/>
      <w:b/>
      <w:bCs/>
      <w:sz w:val="48"/>
      <w:szCs w:val="48"/>
      <w:lang w:eastAsia="zh-Hans"/>
    </w:rPr>
  </w:style>
  <w:style w:type="paragraph" w:customStyle="1" w:styleId="39">
    <w:name w:val="附录标题"/>
    <w:next w:val="7"/>
    <w:qFormat/>
    <w:uiPriority w:val="0"/>
    <w:pPr>
      <w:tabs>
        <w:tab w:val="left" w:pos="0"/>
      </w:tabs>
      <w:bidi w:val="0"/>
      <w:adjustRightInd w:val="0"/>
      <w:snapToGrid w:val="0"/>
      <w:spacing w:after="100" w:afterLines="100" w:line="240" w:lineRule="auto"/>
      <w:jc w:val="center"/>
    </w:pPr>
    <w:rPr>
      <w:rFonts w:ascii="微软雅黑" w:hAnsi="微软雅黑" w:eastAsia="微软雅黑" w:cstheme="minorBidi"/>
      <w:b/>
      <w:bCs/>
      <w:snapToGrid/>
      <w:kern w:val="28"/>
      <w:sz w:val="44"/>
      <w:szCs w:val="44"/>
      <w:lang w:val="en-US" w:eastAsia="zh-CN" w:bidi="ar-SA"/>
    </w:rPr>
  </w:style>
  <w:style w:type="paragraph" w:customStyle="1" w:styleId="40">
    <w:name w:val="章标题"/>
    <w:basedOn w:val="1"/>
    <w:next w:val="1"/>
    <w:qFormat/>
    <w:uiPriority w:val="0"/>
    <w:pPr>
      <w:spacing w:beforeLines="0" w:after="100" w:afterLines="100" w:line="240" w:lineRule="auto"/>
      <w:jc w:val="center"/>
      <w:outlineLvl w:val="0"/>
    </w:pPr>
    <w:rPr>
      <w:rFonts w:hint="eastAsia" w:ascii="微软雅黑" w:hAnsi="微软雅黑"/>
      <w:b/>
      <w:bCs/>
      <w:kern w:val="28"/>
      <w:sz w:val="44"/>
      <w:szCs w:val="44"/>
    </w:rPr>
  </w:style>
  <w:style w:type="paragraph" w:customStyle="1" w:styleId="41">
    <w:name w:val="节标题"/>
    <w:basedOn w:val="1"/>
    <w:next w:val="1"/>
    <w:qFormat/>
    <w:uiPriority w:val="0"/>
    <w:pPr>
      <w:spacing w:beforeLines="0" w:after="100" w:afterLines="100" w:line="240" w:lineRule="auto"/>
      <w:jc w:val="center"/>
      <w:outlineLvl w:val="0"/>
    </w:pPr>
    <w:rPr>
      <w:rFonts w:hint="eastAsia" w:ascii="微软雅黑" w:hAnsi="微软雅黑"/>
      <w:b/>
      <w:bCs/>
      <w:kern w:val="28"/>
      <w:sz w:val="36"/>
      <w:szCs w:val="36"/>
    </w:rPr>
  </w:style>
  <w:style w:type="character" w:customStyle="1" w:styleId="42">
    <w:name w:val="摘要"/>
    <w:basedOn w:val="28"/>
    <w:qFormat/>
    <w:uiPriority w:val="0"/>
    <w:rPr>
      <w:rFonts w:hint="eastAsia" w:ascii="Arial" w:hAnsi="Arial"/>
      <w:b/>
      <w:lang w:val="en-US" w:eastAsia="zh-CN"/>
    </w:rPr>
  </w:style>
  <w:style w:type="character" w:customStyle="1" w:styleId="43">
    <w:name w:val="关键词"/>
    <w:basedOn w:val="28"/>
    <w:qFormat/>
    <w:uiPriority w:val="0"/>
    <w:rPr>
      <w:rFonts w:hint="eastAsia" w:ascii="Arial" w:hAnsi="Arial"/>
      <w:b/>
      <w:lang w:val="en-US" w:eastAsia="zh-CN"/>
    </w:rPr>
  </w:style>
  <w:style w:type="paragraph" w:customStyle="1" w:styleId="44">
    <w:name w:val="题注1"/>
    <w:basedOn w:val="1"/>
    <w:qFormat/>
    <w:uiPriority w:val="0"/>
    <w:pPr>
      <w:jc w:val="center"/>
    </w:pPr>
    <w:rPr>
      <w:rFonts w:hint="eastAsia" w:ascii="微软雅黑" w:hAnsi="微软雅黑"/>
      <w:sz w:val="20"/>
      <w:szCs w:val="20"/>
    </w:rPr>
  </w:style>
  <w:style w:type="paragraph" w:customStyle="1" w:styleId="45">
    <w:name w:val="主送对象"/>
    <w:next w:val="7"/>
    <w:qFormat/>
    <w:uiPriority w:val="0"/>
    <w:pPr>
      <w:bidi w:val="0"/>
      <w:adjustRightInd w:val="0"/>
      <w:snapToGrid w:val="0"/>
      <w:spacing w:line="288" w:lineRule="auto"/>
    </w:pPr>
    <w:rPr>
      <w:rFonts w:ascii="微软雅黑" w:hAnsi="微软雅黑" w:eastAsia="微软雅黑" w:cs="Times New Roman"/>
      <w:color w:val="262626" w:themeColor="text1" w:themeTint="D9"/>
      <w:sz w:val="24"/>
      <w:szCs w:val="24"/>
      <w:lang w:val="en-US" w:eastAsia="zh-CN" w:bidi="ar-SA"/>
      <w14:textFill>
        <w14:solidFill>
          <w14:schemeClr w14:val="tx1">
            <w14:lumMod w14:val="85000"/>
            <w14:lumOff w14:val="15000"/>
          </w14:schemeClr>
        </w14:solidFill>
      </w14:textFill>
    </w:rPr>
  </w:style>
  <w:style w:type="paragraph" w:customStyle="1" w:styleId="46">
    <w:name w:val="目录标题"/>
    <w:basedOn w:val="1"/>
    <w:qFormat/>
    <w:uiPriority w:val="0"/>
    <w:pPr>
      <w:spacing w:before="0" w:beforeLines="0" w:afterLines="0" w:line="240" w:lineRule="auto"/>
      <w:ind w:firstLine="0" w:firstLineChars="0"/>
      <w:jc w:val="center"/>
    </w:pPr>
    <w:rPr>
      <w:rFonts w:ascii="微软雅黑" w:hAnsi="微软雅黑" w:eastAsia="微软雅黑"/>
      <w:b/>
      <w:sz w:val="28"/>
      <w:szCs w:val="28"/>
    </w:rPr>
  </w:style>
  <w:style w:type="paragraph" w:customStyle="1" w:styleId="47">
    <w:name w:val="致谢标题"/>
    <w:qFormat/>
    <w:uiPriority w:val="0"/>
    <w:pPr>
      <w:bidi w:val="0"/>
      <w:adjustRightInd w:val="0"/>
      <w:snapToGrid w:val="0"/>
      <w:spacing w:beforeLines="0" w:after="100" w:afterLines="100" w:line="240" w:lineRule="auto"/>
      <w:jc w:val="center"/>
      <w:outlineLvl w:val="0"/>
    </w:pPr>
    <w:rPr>
      <w:rFonts w:ascii="微软雅黑" w:hAnsi="微软雅黑" w:eastAsia="微软雅黑" w:cstheme="minorBidi"/>
      <w:b/>
      <w:bCs/>
      <w:snapToGrid/>
      <w:kern w:val="28"/>
      <w:sz w:val="44"/>
      <w:szCs w:val="44"/>
      <w:lang w:val="en-US" w:eastAsia="zh-CN" w:bidi="ar-SA"/>
    </w:rPr>
  </w:style>
  <w:style w:type="paragraph" w:customStyle="1" w:styleId="48">
    <w:name w:val="声明标题"/>
    <w:next w:val="7"/>
    <w:qFormat/>
    <w:uiPriority w:val="0"/>
    <w:pPr>
      <w:bidi w:val="0"/>
      <w:adjustRightInd w:val="0"/>
      <w:snapToGrid w:val="0"/>
      <w:spacing w:after="100" w:afterLines="100"/>
      <w:jc w:val="center"/>
    </w:pPr>
    <w:rPr>
      <w:rFonts w:ascii="微软雅黑" w:hAnsi="微软雅黑" w:eastAsia="微软雅黑" w:cstheme="minorBidi"/>
      <w:b/>
      <w:bCs/>
      <w:snapToGrid/>
      <w:kern w:val="28"/>
      <w:sz w:val="44"/>
      <w:szCs w:val="44"/>
      <w:lang w:val="en-US" w:eastAsia="zh-CN" w:bidi="ar-SA"/>
    </w:rPr>
  </w:style>
  <w:style w:type="paragraph" w:customStyle="1" w:styleId="49">
    <w:name w:val="参考文献标题"/>
    <w:link w:val="50"/>
    <w:qFormat/>
    <w:uiPriority w:val="0"/>
    <w:pPr>
      <w:bidi w:val="0"/>
      <w:adjustRightInd w:val="0"/>
      <w:snapToGrid w:val="0"/>
      <w:spacing w:after="100" w:afterLines="100"/>
      <w:jc w:val="center"/>
    </w:pPr>
    <w:rPr>
      <w:rFonts w:ascii="微软雅黑" w:hAnsi="微软雅黑" w:eastAsia="微软雅黑" w:cstheme="minorBidi"/>
      <w:b/>
      <w:bCs/>
      <w:sz w:val="44"/>
      <w:szCs w:val="44"/>
      <w:lang w:val="en-US" w:eastAsia="zh-CN"/>
    </w:rPr>
  </w:style>
  <w:style w:type="character" w:customStyle="1" w:styleId="50">
    <w:name w:val="参考文献标题 Char"/>
    <w:link w:val="49"/>
    <w:qFormat/>
    <w:uiPriority w:val="0"/>
    <w:rPr>
      <w:rFonts w:ascii="微软雅黑" w:hAnsi="微软雅黑" w:eastAsia="微软雅黑"/>
      <w:b/>
      <w:bCs/>
      <w:sz w:val="44"/>
      <w:szCs w:val="4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4243</Words>
  <Characters>4289</Characters>
  <Lines>0</Lines>
  <Paragraphs>0</Paragraphs>
  <TotalTime>47</TotalTime>
  <ScaleCrop>false</ScaleCrop>
  <LinksUpToDate>false</LinksUpToDate>
  <CharactersWithSpaces>4311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2026-05-22T02:55:00Z</dcterms:created>
  <dc:creator>往事</dc:creator>
  <cp:lastModifiedBy> 咸带鱼</cp:lastModifiedBy>
  <cp:lastPrinted>2026-07-30T07:25:00Z</cp:lastPrinted>
  <dcterms:modified xsi:type="dcterms:W3CDTF">2026-08-10T08:25:03Z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AE17DB7C1B4C417C9FDE4F240E8FA0D9_13</vt:lpwstr>
  </property>
  <property fmtid="{D5CDD505-2E9C-101B-9397-08002B2CF9AE}" pid="4" name="KSOTemplateDocerSaveRecord">
    <vt:lpwstr>eyJoZGlkIjoiMWUxMDg4MWFhNGZkYzY4ZGY4MDQzNGQwMThkZjBkNmYiLCJ1c2VySWQiOiI3NTI1OTE2MjAifQ==</vt:lpwstr>
  </property>
</Properties>
</file>