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揭阳教育发展“十五五”规划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（公开征求意见稿）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为建设揭阳教育高质量发展体系，加快推进教育现代化，根据《广东省教育发展“</w:t>
      </w:r>
      <w:bookmarkStart w:id="3" w:name="_GoBack"/>
      <w:bookmarkEnd w:id="3"/>
      <w:r>
        <w:rPr>
          <w:rFonts w:hint="eastAsia" w:ascii="仿宋_GB2312" w:hAnsi="仿宋_GB2312" w:eastAsia="仿宋_GB2312" w:cs="仿宋_GB2312"/>
          <w:highlight w:val="none"/>
          <w:lang w:val="en-US" w:eastAsia="zh-CN"/>
        </w:rPr>
        <w:t>十五五”规划》《揭阳市国民经济和社会发展第十五个五年规划纲要》精神，制订本规划。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一、总体要求</w:t>
      </w:r>
    </w:p>
    <w:p>
      <w:pPr>
        <w:keepNext w:val="0"/>
        <w:keepLines w:val="0"/>
        <w:pageBreakBefore w:val="0"/>
        <w:tabs>
          <w:tab w:val="left" w:pos="3850"/>
          <w:tab w:val="left" w:pos="8250"/>
        </w:tabs>
        <w:kinsoku/>
        <w:wordWrap/>
        <w:overflowPunct/>
        <w:topLinePunct w:val="0"/>
        <w:autoSpaceDE w:val="0"/>
        <w:autoSpaceDN w:val="0"/>
        <w:bidi w:val="0"/>
        <w:adjustRightInd w:val="0"/>
        <w:snapToGrid/>
        <w:spacing w:line="560" w:lineRule="exact"/>
        <w:ind w:firstLine="640" w:firstLineChars="200"/>
        <w:textAlignment w:val="auto"/>
        <w:rPr>
          <w:rFonts w:hint="eastAsia"/>
          <w:highlight w:val="none"/>
          <w:lang w:val="en-US" w:eastAsia="zh-CN"/>
        </w:rPr>
      </w:pPr>
      <w:r>
        <w:rPr>
          <w:rFonts w:hint="eastAsia" w:ascii="仿宋_GB2312" w:hAnsi="仿宋" w:eastAsia="仿宋_GB2312" w:cs="仿宋"/>
          <w:kern w:val="1"/>
          <w:sz w:val="32"/>
          <w:szCs w:val="32"/>
          <w:highlight w:val="none"/>
          <w:lang w:val="en-US" w:eastAsia="zh-CN"/>
        </w:rPr>
        <w:t>坚持</w:t>
      </w:r>
      <w:r>
        <w:rPr>
          <w:rFonts w:hint="eastAsia" w:ascii="仿宋_GB2312" w:hAnsi="仿宋" w:eastAsia="仿宋_GB2312" w:cs="仿宋"/>
          <w:kern w:val="1"/>
          <w:sz w:val="32"/>
          <w:szCs w:val="32"/>
          <w:highlight w:val="none"/>
        </w:rPr>
        <w:t>以习近平新时代中国特色社会主义思想为指导，</w:t>
      </w:r>
      <w:r>
        <w:rPr>
          <w:rFonts w:hint="eastAsia" w:ascii="仿宋_GB2312" w:hAnsi="仿宋" w:eastAsia="仿宋_GB2312" w:cs="仿宋"/>
          <w:kern w:val="1"/>
          <w:sz w:val="32"/>
          <w:szCs w:val="32"/>
          <w:highlight w:val="none"/>
          <w:lang w:val="en-US" w:eastAsia="zh-CN"/>
        </w:rPr>
        <w:t>深入贯彻二十大和二十届历次全会精神，全面贯彻习近平总书记关于教育的重要论述，深入落实</w:t>
      </w:r>
      <w:r>
        <w:rPr>
          <w:rFonts w:hint="eastAsia" w:ascii="仿宋_GB2312" w:hAnsi="仿宋_GB2312" w:eastAsia="仿宋_GB2312" w:cs="仿宋_GB2312"/>
          <w:highlight w:val="none"/>
          <w:lang w:val="en-US" w:eastAsia="zh-CN"/>
        </w:rPr>
        <w:t>省委“1310”具体部署和市委“1135”工作思路，</w:t>
      </w:r>
      <w:r>
        <w:rPr>
          <w:rFonts w:hint="eastAsia" w:ascii="仿宋_GB2312" w:hAnsi="仿宋" w:eastAsia="仿宋_GB2312" w:cs="仿宋"/>
          <w:kern w:val="1"/>
          <w:sz w:val="32"/>
          <w:szCs w:val="32"/>
          <w:highlight w:val="none"/>
          <w:lang w:val="en-US" w:eastAsia="zh-CN"/>
        </w:rPr>
        <w:t>以建设教育强市、办好人民满意的教育为根本宗旨，全面坚持党对教育工作的领导，坚持</w:t>
      </w:r>
      <w:r>
        <w:rPr>
          <w:rFonts w:hint="eastAsia" w:ascii="仿宋_GB2312" w:hAnsi="仿宋" w:eastAsia="仿宋_GB2312"/>
          <w:snapToGrid w:val="0"/>
          <w:spacing w:val="-8"/>
          <w:sz w:val="32"/>
          <w:szCs w:val="32"/>
          <w:highlight w:val="none"/>
        </w:rPr>
        <w:t>教育优先发展战略，</w:t>
      </w:r>
      <w:r>
        <w:rPr>
          <w:rFonts w:hint="eastAsia" w:ascii="仿宋_GB2312" w:hAnsi="仿宋" w:eastAsia="仿宋_GB2312" w:cs="仿宋"/>
          <w:kern w:val="1"/>
          <w:sz w:val="32"/>
          <w:szCs w:val="32"/>
          <w:highlight w:val="none"/>
          <w:lang w:val="en-US" w:eastAsia="zh-CN"/>
        </w:rPr>
        <w:t>以落实立德树人为根本任务，</w:t>
      </w:r>
      <w:r>
        <w:rPr>
          <w:rFonts w:hint="eastAsia" w:ascii="仿宋_GB2312" w:hAnsi="仿宋" w:eastAsia="仿宋_GB2312"/>
          <w:snapToGrid w:val="0"/>
          <w:spacing w:val="-8"/>
          <w:sz w:val="32"/>
          <w:szCs w:val="32"/>
          <w:highlight w:val="none"/>
        </w:rPr>
        <w:t>全面增强教育服务揭阳重大战略、经济社会转型发展和个人全面进步的能力</w:t>
      </w:r>
      <w:r>
        <w:rPr>
          <w:rFonts w:hint="eastAsia" w:ascii="仿宋_GB2312" w:hAnsi="仿宋" w:eastAsia="仿宋_GB2312"/>
          <w:snapToGrid w:val="0"/>
          <w:spacing w:val="-8"/>
          <w:sz w:val="32"/>
          <w:szCs w:val="32"/>
          <w:highlight w:val="none"/>
          <w:lang w:eastAsia="zh-CN"/>
        </w:rPr>
        <w:t>。</w:t>
      </w:r>
      <w:r>
        <w:rPr>
          <w:rFonts w:ascii="仿宋_GB2312" w:hAnsi="宋体" w:eastAsia="仿宋_GB2312" w:cs="仿宋_GB2312"/>
          <w:i w:val="0"/>
          <w:iCs w:val="0"/>
          <w:caps w:val="0"/>
          <w:color w:val="00000A"/>
          <w:spacing w:val="0"/>
          <w:sz w:val="31"/>
          <w:szCs w:val="31"/>
          <w:highlight w:val="none"/>
          <w:shd w:val="clear" w:fill="FFFFFF"/>
        </w:rPr>
        <w:t>到</w:t>
      </w:r>
      <w:r>
        <w:rPr>
          <w:rFonts w:hint="eastAsia" w:ascii="仿宋_GB2312" w:hAnsi="宋体" w:eastAsia="仿宋_GB2312" w:cs="仿宋_GB2312"/>
          <w:i w:val="0"/>
          <w:iCs w:val="0"/>
          <w:caps w:val="0"/>
          <w:color w:val="000000"/>
          <w:spacing w:val="0"/>
          <w:sz w:val="31"/>
          <w:szCs w:val="31"/>
          <w:highlight w:val="none"/>
          <w:shd w:val="clear" w:fill="FFFFFF"/>
        </w:rPr>
        <w:t>20</w:t>
      </w:r>
      <w:r>
        <w:rPr>
          <w:rFonts w:hint="default" w:ascii="仿宋_GB2312" w:hAnsi="宋体" w:eastAsia="仿宋_GB2312" w:cs="仿宋_GB2312"/>
          <w:i w:val="0"/>
          <w:iCs w:val="0"/>
          <w:caps w:val="0"/>
          <w:color w:val="000000"/>
          <w:spacing w:val="0"/>
          <w:sz w:val="31"/>
          <w:szCs w:val="31"/>
          <w:highlight w:val="none"/>
          <w:shd w:val="clear" w:fill="FFFFFF"/>
          <w:lang w:val="en-US"/>
        </w:rPr>
        <w:t>30</w:t>
      </w:r>
      <w:r>
        <w:rPr>
          <w:rFonts w:hint="eastAsia" w:ascii="仿宋_GB2312" w:hAnsi="宋体" w:eastAsia="仿宋_GB2312" w:cs="仿宋_GB2312"/>
          <w:i w:val="0"/>
          <w:iCs w:val="0"/>
          <w:caps w:val="0"/>
          <w:color w:val="000000"/>
          <w:spacing w:val="0"/>
          <w:sz w:val="31"/>
          <w:szCs w:val="31"/>
          <w:highlight w:val="none"/>
          <w:shd w:val="clear" w:fill="FFFFFF"/>
        </w:rPr>
        <w:t>年，</w:t>
      </w:r>
      <w:r>
        <w:rPr>
          <w:rFonts w:hint="eastAsia" w:ascii="仿宋_GB2312" w:hAnsi="宋体" w:eastAsia="仿宋_GB2312" w:cs="仿宋_GB2312"/>
          <w:i w:val="0"/>
          <w:iCs w:val="0"/>
          <w:caps w:val="0"/>
          <w:color w:val="00000A"/>
          <w:spacing w:val="0"/>
          <w:sz w:val="31"/>
          <w:szCs w:val="31"/>
          <w:highlight w:val="none"/>
          <w:shd w:val="clear" w:fill="FFFFFF"/>
        </w:rPr>
        <w:t>高质量教育体系全面构建，各级各类教育现代化程度显著提高，人民群众对教育的满意度持续提升。学前教育实现普及普惠发展</w:t>
      </w:r>
      <w:r>
        <w:rPr>
          <w:rFonts w:hint="eastAsia" w:ascii="仿宋_GB2312" w:hAnsi="宋体" w:eastAsia="仿宋_GB2312" w:cs="仿宋_GB2312"/>
          <w:i w:val="0"/>
          <w:iCs w:val="0"/>
          <w:caps w:val="0"/>
          <w:color w:val="00000A"/>
          <w:spacing w:val="0"/>
          <w:sz w:val="31"/>
          <w:szCs w:val="31"/>
          <w:highlight w:val="none"/>
          <w:shd w:val="clear" w:fill="FFFFFF"/>
          <w:lang w:eastAsia="zh-CN"/>
        </w:rPr>
        <w:t>，</w:t>
      </w:r>
      <w:r>
        <w:rPr>
          <w:rFonts w:hint="eastAsia" w:ascii="仿宋_GB2312" w:hAnsi="宋体" w:eastAsia="仿宋_GB2312" w:cs="仿宋_GB2312"/>
          <w:i w:val="0"/>
          <w:iCs w:val="0"/>
          <w:caps w:val="0"/>
          <w:color w:val="00000A"/>
          <w:spacing w:val="0"/>
          <w:sz w:val="31"/>
          <w:szCs w:val="31"/>
          <w:highlight w:val="none"/>
          <w:shd w:val="clear" w:fill="FFFFFF"/>
        </w:rPr>
        <w:t>义务教育实现基本均衡向优质均衡迈进</w:t>
      </w:r>
      <w:r>
        <w:rPr>
          <w:rFonts w:hint="eastAsia" w:ascii="仿宋_GB2312" w:hAnsi="宋体" w:eastAsia="仿宋_GB2312" w:cs="仿宋_GB2312"/>
          <w:i w:val="0"/>
          <w:iCs w:val="0"/>
          <w:caps w:val="0"/>
          <w:color w:val="00000A"/>
          <w:spacing w:val="0"/>
          <w:sz w:val="31"/>
          <w:szCs w:val="31"/>
          <w:highlight w:val="none"/>
          <w:shd w:val="clear" w:fill="FFFFFF"/>
          <w:lang w:eastAsia="zh-CN"/>
        </w:rPr>
        <w:t>，</w:t>
      </w:r>
      <w:r>
        <w:rPr>
          <w:rFonts w:hint="eastAsia" w:ascii="仿宋_GB2312" w:hAnsi="宋体" w:eastAsia="仿宋_GB2312" w:cs="仿宋_GB2312"/>
          <w:i w:val="0"/>
          <w:iCs w:val="0"/>
          <w:caps w:val="0"/>
          <w:color w:val="00000A"/>
          <w:spacing w:val="0"/>
          <w:sz w:val="31"/>
          <w:szCs w:val="31"/>
          <w:highlight w:val="none"/>
          <w:shd w:val="clear" w:fill="FFFFFF"/>
        </w:rPr>
        <w:t>普通高中教育多样化特色化发展格局基本形成</w:t>
      </w:r>
      <w:r>
        <w:rPr>
          <w:rFonts w:hint="eastAsia" w:ascii="仿宋_GB2312" w:hAnsi="宋体" w:eastAsia="仿宋_GB2312" w:cs="仿宋_GB2312"/>
          <w:i w:val="0"/>
          <w:iCs w:val="0"/>
          <w:caps w:val="0"/>
          <w:color w:val="00000A"/>
          <w:spacing w:val="0"/>
          <w:sz w:val="31"/>
          <w:szCs w:val="31"/>
          <w:highlight w:val="none"/>
          <w:shd w:val="clear" w:fill="FFFFFF"/>
          <w:lang w:eastAsia="zh-CN"/>
        </w:rPr>
        <w:t>，</w:t>
      </w:r>
      <w:r>
        <w:rPr>
          <w:rFonts w:hint="eastAsia" w:ascii="仿宋_GB2312" w:hAnsi="宋体" w:eastAsia="仿宋_GB2312" w:cs="仿宋_GB2312"/>
          <w:i w:val="0"/>
          <w:iCs w:val="0"/>
          <w:caps w:val="0"/>
          <w:color w:val="00000A"/>
          <w:spacing w:val="0"/>
          <w:sz w:val="31"/>
          <w:szCs w:val="31"/>
          <w:highlight w:val="none"/>
          <w:shd w:val="clear" w:fill="FFFFFF"/>
          <w:lang w:val="en-US" w:eastAsia="zh-CN"/>
        </w:rPr>
        <w:t>职业教育形成一批与我市传统优势产业、战略新兴产业密切相关的优势专业和创新平台，终身学习服务初步实现泛在可及，</w:t>
      </w:r>
      <w:r>
        <w:rPr>
          <w:rFonts w:hint="eastAsia" w:ascii="仿宋_GB2312" w:hAnsi="仿宋" w:eastAsia="仿宋_GB2312"/>
          <w:snapToGrid w:val="0"/>
          <w:spacing w:val="-8"/>
          <w:sz w:val="32"/>
          <w:szCs w:val="32"/>
          <w:highlight w:val="none"/>
        </w:rPr>
        <w:t>为全力建设产业强市、和美揭阳，加快打造粤东高质量发展新增长极奠定坚实基础。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highlight w:val="none"/>
          <w:lang w:val="en-US" w:eastAsia="zh-CN"/>
        </w:rPr>
      </w:pPr>
    </w:p>
    <w:p>
      <w:pPr>
        <w:pStyle w:val="9"/>
        <w:rPr>
          <w:rFonts w:hint="eastAsia" w:ascii="黑体" w:hAnsi="黑体" w:eastAsia="黑体" w:cs="黑体"/>
          <w:highlight w:val="none"/>
          <w:lang w:val="en-US" w:eastAsia="zh-CN"/>
        </w:rPr>
      </w:pPr>
    </w:p>
    <w:p>
      <w:pPr>
        <w:pStyle w:val="9"/>
        <w:rPr>
          <w:rFonts w:hint="eastAsia" w:ascii="黑体" w:hAnsi="黑体" w:eastAsia="黑体" w:cs="黑体"/>
          <w:highlight w:val="none"/>
          <w:lang w:val="en-US" w:eastAsia="zh-CN"/>
        </w:rPr>
      </w:pPr>
    </w:p>
    <w:p>
      <w:pPr>
        <w:pStyle w:val="9"/>
        <w:rPr>
          <w:rFonts w:hint="eastAsia" w:ascii="黑体" w:hAnsi="黑体" w:eastAsia="黑体" w:cs="黑体"/>
          <w:highlight w:val="none"/>
          <w:lang w:val="en-US" w:eastAsia="zh-CN"/>
        </w:rPr>
      </w:pPr>
    </w:p>
    <w:p>
      <w:pPr>
        <w:pStyle w:val="9"/>
        <w:rPr>
          <w:rFonts w:hint="eastAsia" w:ascii="黑体" w:hAnsi="黑体" w:eastAsia="黑体" w:cs="黑体"/>
          <w:highlight w:val="none"/>
          <w:lang w:val="en-US" w:eastAsia="zh-CN"/>
        </w:rPr>
      </w:pPr>
    </w:p>
    <w:tbl>
      <w:tblPr>
        <w:tblStyle w:val="13"/>
        <w:tblpPr w:leftFromText="180" w:rightFromText="180" w:vertAnchor="page" w:horzAnchor="page" w:tblpX="1905" w:tblpY="1677"/>
        <w:tblOverlap w:val="never"/>
        <w:tblW w:w="8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211"/>
        <w:gridCol w:w="1232"/>
        <w:gridCol w:w="123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282" w:type="dxa"/>
            <w:gridSpan w:val="5"/>
            <w:tcBorders>
              <w:top w:val="nil"/>
              <w:left w:val="nil"/>
              <w:right w:val="nil"/>
            </w:tcBorders>
            <w:vAlign w:val="center"/>
          </w:tcPr>
          <w:p>
            <w:pPr>
              <w:jc w:val="center"/>
              <w:rPr>
                <w:rFonts w:hint="eastAsia"/>
                <w:color w:val="auto"/>
                <w:vertAlign w:val="baseline"/>
                <w:lang w:val="en-US" w:eastAsia="zh-CN"/>
              </w:rPr>
            </w:pPr>
            <w:bookmarkStart w:id="0" w:name="OLE_LINK2"/>
            <w:r>
              <w:rPr>
                <w:rFonts w:hint="eastAsia" w:ascii="仿宋_GB2312" w:hAnsi="仿宋_GB2312" w:eastAsia="仿宋_GB2312" w:cs="仿宋_GB2312"/>
                <w:b/>
                <w:bCs/>
                <w:color w:val="auto"/>
                <w:sz w:val="32"/>
                <w:szCs w:val="32"/>
                <w:lang w:val="en-US" w:eastAsia="zh-CN"/>
              </w:rPr>
              <w:t>揭阳市教育事业发展“十五五”主要预期目标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586" w:type="dxa"/>
            <w:gridSpan w:val="2"/>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指标</w:t>
            </w:r>
          </w:p>
        </w:tc>
        <w:tc>
          <w:tcPr>
            <w:tcW w:w="1232"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202</w:t>
            </w:r>
            <w:r>
              <w:rPr>
                <w:rFonts w:hint="default" w:ascii="仿宋_GB2312" w:hAnsi="仿宋_GB2312" w:eastAsia="仿宋_GB2312" w:cs="仿宋_GB2312"/>
                <w:b/>
                <w:bCs/>
                <w:color w:val="auto"/>
                <w:sz w:val="24"/>
                <w:szCs w:val="24"/>
                <w:vertAlign w:val="baseline"/>
                <w:lang w:val="en-US" w:eastAsia="zh-CN"/>
              </w:rPr>
              <w:t>5</w:t>
            </w:r>
            <w:r>
              <w:rPr>
                <w:rFonts w:hint="eastAsia" w:ascii="仿宋_GB2312" w:hAnsi="仿宋_GB2312" w:eastAsia="仿宋_GB2312" w:cs="仿宋_GB2312"/>
                <w:b/>
                <w:bCs/>
                <w:color w:val="auto"/>
                <w:sz w:val="24"/>
                <w:szCs w:val="24"/>
                <w:vertAlign w:val="baseline"/>
                <w:lang w:val="en-US" w:eastAsia="zh-CN"/>
              </w:rPr>
              <w:t>年</w:t>
            </w:r>
          </w:p>
        </w:tc>
        <w:tc>
          <w:tcPr>
            <w:tcW w:w="1232"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20</w:t>
            </w:r>
            <w:r>
              <w:rPr>
                <w:rFonts w:hint="default" w:ascii="仿宋_GB2312" w:hAnsi="仿宋_GB2312" w:eastAsia="仿宋_GB2312" w:cs="仿宋_GB2312"/>
                <w:b/>
                <w:bCs/>
                <w:color w:val="auto"/>
                <w:sz w:val="24"/>
                <w:szCs w:val="24"/>
                <w:vertAlign w:val="baseline"/>
                <w:lang w:val="en-US" w:eastAsia="zh-CN"/>
              </w:rPr>
              <w:t>30</w:t>
            </w:r>
            <w:r>
              <w:rPr>
                <w:rFonts w:hint="eastAsia" w:ascii="仿宋_GB2312" w:hAnsi="仿宋_GB2312" w:eastAsia="仿宋_GB2312" w:cs="仿宋_GB2312"/>
                <w:b/>
                <w:bCs/>
                <w:color w:val="auto"/>
                <w:sz w:val="24"/>
                <w:szCs w:val="24"/>
                <w:vertAlign w:val="baseline"/>
                <w:lang w:val="en-US" w:eastAsia="zh-CN"/>
              </w:rPr>
              <w:t>年</w:t>
            </w:r>
          </w:p>
        </w:tc>
        <w:tc>
          <w:tcPr>
            <w:tcW w:w="1232"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375"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学前教育</w:t>
            </w: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学前教育毛入园率（%）</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101.55</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100</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75" w:type="dxa"/>
            <w:vMerge w:val="restart"/>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义务教育</w:t>
            </w: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九年义务教育巩固率（%）</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97.54</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96</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适龄残疾儿童少年义务教育入学率（%）</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基教科给</w:t>
            </w:r>
          </w:p>
        </w:tc>
        <w:tc>
          <w:tcPr>
            <w:tcW w:w="1232"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w:t>
            </w:r>
            <w:r>
              <w:rPr>
                <w:rFonts w:hint="default"/>
                <w:color w:val="auto"/>
                <w:sz w:val="24"/>
                <w:szCs w:val="24"/>
                <w:vertAlign w:val="baseline"/>
                <w:lang w:val="en-US" w:eastAsia="zh-CN"/>
              </w:rPr>
              <w:t>98</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中小学生体质健康优良率（</w:t>
            </w:r>
            <w:r>
              <w:rPr>
                <w:rFonts w:hint="default"/>
                <w:color w:val="auto"/>
                <w:sz w:val="24"/>
                <w:szCs w:val="24"/>
                <w:vertAlign w:val="baseline"/>
                <w:lang w:val="en-US" w:eastAsia="zh-CN"/>
              </w:rPr>
              <w:t>%</w:t>
            </w:r>
            <w:r>
              <w:rPr>
                <w:rFonts w:hint="eastAsia"/>
                <w:color w:val="auto"/>
                <w:sz w:val="24"/>
                <w:szCs w:val="24"/>
                <w:vertAlign w:val="baseline"/>
                <w:lang w:val="en-US" w:eastAsia="zh-CN"/>
              </w:rPr>
              <w:t>）</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55.48</w:t>
            </w:r>
          </w:p>
        </w:tc>
        <w:tc>
          <w:tcPr>
            <w:tcW w:w="1232"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w:t>
            </w:r>
            <w:r>
              <w:rPr>
                <w:rFonts w:hint="default"/>
                <w:color w:val="auto"/>
                <w:sz w:val="24"/>
                <w:szCs w:val="24"/>
                <w:vertAlign w:val="baseline"/>
                <w:lang w:val="en-US" w:eastAsia="zh-CN"/>
              </w:rPr>
              <w:t>60</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75" w:type="dxa"/>
            <w:vMerge w:val="restart"/>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高中阶段教育</w:t>
            </w: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毛入学率（%）</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97.84</w:t>
            </w:r>
          </w:p>
        </w:tc>
        <w:tc>
          <w:tcPr>
            <w:tcW w:w="1232"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w:t>
            </w:r>
            <w:r>
              <w:rPr>
                <w:rFonts w:hint="default"/>
                <w:color w:val="auto"/>
                <w:sz w:val="24"/>
                <w:szCs w:val="24"/>
                <w:vertAlign w:val="baseline"/>
                <w:lang w:val="en-US" w:eastAsia="zh-CN"/>
              </w:rPr>
              <w:t>98</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高中专任教师硕士研究生以上学历比例（%）</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eastAsia"/>
                <w:color w:val="auto"/>
                <w:sz w:val="24"/>
                <w:szCs w:val="24"/>
                <w:vertAlign w:val="baseline"/>
                <w:lang w:val="en-US" w:eastAsia="zh-CN"/>
              </w:rPr>
              <w:t>5.21</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25</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高中阶段教育完成率（</w:t>
            </w:r>
            <w:r>
              <w:rPr>
                <w:rFonts w:hint="default"/>
                <w:color w:val="auto"/>
                <w:sz w:val="24"/>
                <w:szCs w:val="24"/>
                <w:vertAlign w:val="baseline"/>
                <w:lang w:val="en-US" w:eastAsia="zh-CN"/>
              </w:rPr>
              <w:t>%</w:t>
            </w:r>
            <w:r>
              <w:rPr>
                <w:rFonts w:hint="eastAsia"/>
                <w:color w:val="auto"/>
                <w:sz w:val="24"/>
                <w:szCs w:val="24"/>
                <w:vertAlign w:val="baseline"/>
                <w:lang w:val="en-US" w:eastAsia="zh-CN"/>
              </w:rPr>
              <w:t>）</w:t>
            </w:r>
          </w:p>
        </w:tc>
        <w:tc>
          <w:tcPr>
            <w:tcW w:w="1232" w:type="dxa"/>
            <w:vAlign w:val="center"/>
          </w:tcPr>
          <w:p>
            <w:pPr>
              <w:jc w:val="center"/>
              <w:rPr>
                <w:rFonts w:hint="eastAsia" w:ascii="Calibri" w:hAnsi="Calibri" w:eastAsia="宋体" w:cs="楷体_GB2312"/>
                <w:color w:val="auto"/>
                <w:spacing w:val="0"/>
                <w:w w:val="100"/>
                <w:kern w:val="0"/>
                <w:sz w:val="24"/>
                <w:szCs w:val="24"/>
                <w:vertAlign w:val="baseline"/>
                <w:lang w:val="en-US" w:eastAsia="zh-CN" w:bidi="ar-SA"/>
              </w:rPr>
            </w:pPr>
            <w:r>
              <w:rPr>
                <w:rFonts w:hint="default"/>
                <w:color w:val="auto"/>
                <w:sz w:val="24"/>
                <w:szCs w:val="24"/>
                <w:vertAlign w:val="baseline"/>
                <w:lang w:val="en-US" w:eastAsia="zh-CN"/>
              </w:rPr>
              <w:t>-</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90</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375" w:type="dxa"/>
            <w:vMerge w:val="restart"/>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高等教育</w:t>
            </w: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在学规模（万人）</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1.61</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2.54</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普通本科在校生（万人）</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0.43</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0.56</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高等职业教育在校生（万人）</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1.18</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1.98</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375" w:type="dxa"/>
            <w:vMerge w:val="restart"/>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职业教育</w:t>
            </w:r>
          </w:p>
        </w:tc>
        <w:tc>
          <w:tcPr>
            <w:tcW w:w="3211"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双师型教师占专业课教师比例（</w:t>
            </w:r>
            <w:r>
              <w:rPr>
                <w:rFonts w:hint="default"/>
                <w:color w:val="auto"/>
                <w:sz w:val="24"/>
                <w:szCs w:val="24"/>
                <w:vertAlign w:val="baseline"/>
                <w:lang w:val="en-US" w:eastAsia="zh-CN"/>
              </w:rPr>
              <w:t>%</w:t>
            </w:r>
            <w:r>
              <w:rPr>
                <w:rFonts w:hint="eastAsia"/>
                <w:color w:val="auto"/>
                <w:sz w:val="24"/>
                <w:szCs w:val="24"/>
                <w:vertAlign w:val="baseline"/>
                <w:lang w:val="en-US" w:eastAsia="zh-CN"/>
              </w:rPr>
              <w:t>）</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w:t>
            </w:r>
          </w:p>
        </w:tc>
        <w:tc>
          <w:tcPr>
            <w:tcW w:w="1232"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w:t>
            </w:r>
            <w:r>
              <w:rPr>
                <w:rFonts w:hint="default"/>
                <w:color w:val="auto"/>
                <w:sz w:val="24"/>
                <w:szCs w:val="24"/>
                <w:vertAlign w:val="baseline"/>
                <w:lang w:val="en-US" w:eastAsia="zh-CN"/>
              </w:rPr>
              <w:t>60</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375" w:type="dxa"/>
            <w:vMerge w:val="continue"/>
            <w:vAlign w:val="center"/>
          </w:tcPr>
          <w:p>
            <w:pPr>
              <w:jc w:val="center"/>
              <w:rPr>
                <w:rFonts w:hint="eastAsia"/>
                <w:color w:val="auto"/>
                <w:sz w:val="24"/>
                <w:szCs w:val="24"/>
                <w:vertAlign w:val="baseline"/>
                <w:lang w:val="en-US" w:eastAsia="zh-CN"/>
              </w:rPr>
            </w:pPr>
          </w:p>
        </w:tc>
        <w:tc>
          <w:tcPr>
            <w:tcW w:w="3211" w:type="dxa"/>
            <w:vAlign w:val="center"/>
          </w:tcPr>
          <w:p>
            <w:pPr>
              <w:jc w:val="center"/>
              <w:rPr>
                <w:rFonts w:hint="default"/>
                <w:color w:val="auto"/>
                <w:sz w:val="24"/>
                <w:szCs w:val="24"/>
                <w:vertAlign w:val="baseline"/>
                <w:lang w:val="en-US" w:eastAsia="zh-CN"/>
              </w:rPr>
            </w:pPr>
            <w:r>
              <w:rPr>
                <w:rFonts w:hint="eastAsia"/>
                <w:color w:val="auto"/>
                <w:sz w:val="24"/>
                <w:szCs w:val="24"/>
                <w:vertAlign w:val="baseline"/>
                <w:lang w:val="en-US" w:eastAsia="zh-CN"/>
              </w:rPr>
              <w:t>高技能人才占技能人才比例（</w:t>
            </w:r>
            <w:r>
              <w:rPr>
                <w:rFonts w:hint="default"/>
                <w:color w:val="auto"/>
                <w:sz w:val="24"/>
                <w:szCs w:val="24"/>
                <w:vertAlign w:val="baseline"/>
                <w:lang w:val="en-US" w:eastAsia="zh-CN"/>
              </w:rPr>
              <w:t>%</w:t>
            </w:r>
            <w:r>
              <w:rPr>
                <w:rFonts w:hint="eastAsia"/>
                <w:color w:val="auto"/>
                <w:sz w:val="24"/>
                <w:szCs w:val="24"/>
                <w:vertAlign w:val="baseline"/>
                <w:lang w:val="en-US" w:eastAsia="zh-CN"/>
              </w:rPr>
              <w:t>）</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w:t>
            </w:r>
          </w:p>
        </w:tc>
        <w:tc>
          <w:tcPr>
            <w:tcW w:w="1232" w:type="dxa"/>
            <w:vAlign w:val="center"/>
          </w:tcPr>
          <w:p>
            <w:pPr>
              <w:jc w:val="center"/>
              <w:rPr>
                <w:rFonts w:hint="default"/>
                <w:color w:val="auto"/>
                <w:sz w:val="24"/>
                <w:szCs w:val="24"/>
                <w:vertAlign w:val="baseline"/>
                <w:lang w:val="en-US" w:eastAsia="zh-CN"/>
              </w:rPr>
            </w:pPr>
            <w:r>
              <w:rPr>
                <w:rFonts w:hint="default"/>
                <w:color w:val="auto"/>
                <w:sz w:val="24"/>
                <w:szCs w:val="24"/>
                <w:vertAlign w:val="baseline"/>
                <w:lang w:val="en-US" w:eastAsia="zh-CN"/>
              </w:rPr>
              <w:t>35</w:t>
            </w:r>
          </w:p>
        </w:tc>
        <w:tc>
          <w:tcPr>
            <w:tcW w:w="1232" w:type="dxa"/>
            <w:vAlign w:val="center"/>
          </w:tcPr>
          <w:p>
            <w:pPr>
              <w:jc w:val="center"/>
              <w:rPr>
                <w:rFonts w:hint="eastAsia"/>
                <w:color w:val="auto"/>
                <w:sz w:val="24"/>
                <w:szCs w:val="24"/>
                <w:vertAlign w:val="baseline"/>
                <w:lang w:val="en-US" w:eastAsia="zh-CN"/>
              </w:rPr>
            </w:pPr>
            <w:r>
              <w:rPr>
                <w:rFonts w:hint="eastAsia"/>
                <w:color w:val="auto"/>
                <w:sz w:val="24"/>
                <w:szCs w:val="24"/>
                <w:vertAlign w:val="baseline"/>
                <w:lang w:val="en-US" w:eastAsia="zh-CN"/>
              </w:rPr>
              <w:t>预期性</w:t>
            </w:r>
          </w:p>
        </w:tc>
      </w:tr>
      <w:bookmarkEnd w:id="0"/>
    </w:tbl>
    <w:p>
      <w:pPr>
        <w:pStyle w:val="9"/>
        <w:rPr>
          <w:rFonts w:hint="eastAsia" w:ascii="黑体" w:hAnsi="黑体" w:eastAsia="黑体" w:cs="黑体"/>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二、主要任务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（一）坚持五育融合，促进学生全面发展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1.提升学生思想道德素养。</w:t>
      </w:r>
      <w:r>
        <w:rPr>
          <w:rFonts w:hint="eastAsia" w:ascii="仿宋_GB2312" w:hAnsi="仿宋_GB2312" w:eastAsia="仿宋_GB2312" w:cs="仿宋_GB2312"/>
          <w:b w:val="0"/>
          <w:bCs w:val="0"/>
          <w:highlight w:val="none"/>
          <w:lang w:val="en-US" w:eastAsia="zh-CN"/>
        </w:rPr>
        <w:t>坚持不懈用习近平新时代中国特色社会主义思想铸魂育人，用好中小学三科统编教材和《习近平新时代中国特色社会主义思想学生读本》，持续推动习近平新时代中国特色社会主义思想进教材、进课堂、进头脑。加强新时代学校思想政治教育，健全“大思政课”建设工作机制，形成一批思政课一体化优秀教学成果和思政“精品课”。深化课程思政建设改革，强化课程育人功能。深化</w:t>
      </w:r>
      <w:r>
        <w:rPr>
          <w:rFonts w:hint="eastAsia" w:ascii="仿宋_GB2312" w:hAnsi="仿宋_GB2312" w:eastAsia="仿宋_GB2312" w:cs="仿宋_GB2312"/>
          <w:b/>
          <w:bCs/>
          <w:highlight w:val="none"/>
          <w:lang w:val="en-US" w:eastAsia="zh-CN"/>
        </w:rPr>
        <w:t>“三全育人”</w:t>
      </w:r>
      <w:r>
        <w:rPr>
          <w:rFonts w:hint="eastAsia" w:ascii="仿宋_GB2312" w:hAnsi="仿宋_GB2312" w:eastAsia="仿宋_GB2312" w:cs="仿宋_GB2312"/>
          <w:b w:val="0"/>
          <w:bCs w:val="0"/>
          <w:highlight w:val="none"/>
          <w:lang w:val="en-US" w:eastAsia="zh-CN"/>
        </w:rPr>
        <w:t>体制机制改革，坚持把立德树人融入思想道德教育、文化知识教育、社会实践教育各环节,深入开展理想信念、社会主义核心价值观、中华优秀传统文化、生态文明、民主法治等教育,完善以政治认同、国家意识、文化自信、人格健全为重点，结构合理、内容互补、有机衔接的一体化德育课程内容体系。健全校园心理危机干预机制，配齐配强专职心理教师，开足开好心理健康教育课，强化心理辅导室建设，完善心理健康教育与服务体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highlight w:val="none"/>
          <w:lang w:val="en-US" w:eastAsia="zh-CN"/>
        </w:rPr>
        <w:t>2.健全德智体美劳全面培养体系。</w:t>
      </w:r>
      <w:r>
        <w:rPr>
          <w:rFonts w:hint="eastAsia" w:ascii="仿宋_GB2312" w:hAnsi="仿宋_GB2312" w:eastAsia="仿宋_GB2312" w:cs="仿宋_GB2312"/>
          <w:b w:val="0"/>
          <w:bCs w:val="0"/>
          <w:highlight w:val="none"/>
          <w:lang w:val="en-US" w:eastAsia="zh-CN"/>
        </w:rPr>
        <w:t>全面加强学校德育工作，把德育贯穿智育、体育、美育、劳动教育全过程。实施学生体质强健计划，加强校园足球建设，确保中小学生每天综合体育活动时间不低于2小时。全面落实学校美育浸润行动，发挥学校美育的育人功能，提升学生审美和人文素养。</w:t>
      </w:r>
      <w:r>
        <w:rPr>
          <w:rFonts w:hint="eastAsia" w:ascii="仿宋_GB2312" w:hAnsi="仿宋_GB2312" w:eastAsia="仿宋_GB2312" w:cs="仿宋_GB2312"/>
          <w:b w:val="0"/>
          <w:bCs w:val="0"/>
          <w:sz w:val="32"/>
          <w:szCs w:val="32"/>
          <w:highlight w:val="none"/>
          <w:lang w:val="en-US" w:eastAsia="zh-CN"/>
        </w:rPr>
        <w:t>强化劳动教育，构建课堂教学、主题活动、家庭教育、基地实践“四位一体”推进机制，提高学生劳动素养。全面推动健康学校建设，提升学校健康教育和卫生保障条件，加强学生近视防控。完善学生心理健康监测、预警和干预体系，精准开展心理疏导和危机防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lang w:val="en-US" w:eastAsia="zh-CN"/>
        </w:rPr>
      </w:pPr>
      <w:r>
        <w:rPr>
          <w:rFonts w:hint="default"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lang w:val="en-US" w:eastAsia="zh-CN"/>
        </w:rPr>
        <w:t>推动学校、家庭、社会协同育人。</w:t>
      </w:r>
      <w:r>
        <w:rPr>
          <w:rFonts w:hint="eastAsia" w:ascii="仿宋_GB2312" w:hAnsi="仿宋_GB2312" w:eastAsia="仿宋_GB2312" w:cs="仿宋_GB2312"/>
          <w:b w:val="0"/>
          <w:bCs w:val="0"/>
          <w:sz w:val="32"/>
          <w:szCs w:val="32"/>
          <w:highlight w:val="none"/>
          <w:lang w:val="en-US" w:eastAsia="zh-CN"/>
        </w:rPr>
        <w:t>加强校家社协同育人建设，强化课上、课下协同、校内校外一体、线上线下融合。稳步推进学校国防教育，发挥国防教育基地作用。支持高校积极开展定向培养军士，做好大学生征兵工作。深入实施青少年学生读书行动，加强“书香校园”建设，严格规范中小学课外读本管理。加大国家通用语言文字推广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（二）坚持优质普惠，推动学前教育普及普惠发展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1.深入实施学前教育发展提升行动计划。</w:t>
      </w:r>
      <w:r>
        <w:rPr>
          <w:rFonts w:hint="eastAsia" w:ascii="仿宋_GB2312" w:hAnsi="仿宋_GB2312" w:eastAsia="仿宋_GB2312" w:cs="仿宋_GB2312"/>
          <w:b w:val="0"/>
          <w:bCs w:val="0"/>
          <w:highlight w:val="none"/>
          <w:lang w:val="en-US" w:eastAsia="zh-CN"/>
        </w:rPr>
        <w:t>大力发展公办幼儿园，扶持民办幼儿园提供普惠性服务，基本满足常住适龄儿童入读普惠性幼儿园的需求。稳步推进学前教育免保育教育费实施。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2.全面提升幼儿园育儿质量。</w:t>
      </w:r>
      <w:r>
        <w:rPr>
          <w:rFonts w:hint="eastAsia" w:ascii="仿宋_GB2312" w:hAnsi="仿宋_GB2312" w:eastAsia="仿宋_GB2312" w:cs="仿宋_GB2312"/>
          <w:b w:val="0"/>
          <w:bCs w:val="0"/>
          <w:highlight w:val="none"/>
          <w:lang w:val="en-US" w:eastAsia="zh-CN"/>
        </w:rPr>
        <w:t>制定幼儿园课程建设指引，在全市设立一批课程改革实验园，全面推动学前教育课程改革。依托省高质量幼儿园共同体和乡镇学前教育一体化管理资源中心建设，扩大学前教育优质资源，辐射带动全市幼儿园发展。健全普惠性学前教育保障机制和公办幼儿园成本分担机制，落实幼儿园生均拨款标准，完善幼儿园收费政策。鼓励有条件的幼儿园开设托班。</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重大项目1：</w:t>
            </w:r>
            <w:r>
              <w:rPr>
                <w:rFonts w:hint="eastAsia" w:ascii="仿宋_GB2312" w:hAnsi="仿宋_GB2312" w:eastAsia="仿宋_GB2312" w:cs="仿宋_GB2312"/>
                <w:lang w:val="en-US" w:eastAsia="zh-CN"/>
              </w:rPr>
              <w:t>公办幼儿园学位扩容计划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lang w:val="en-US" w:eastAsia="zh-CN"/>
              </w:rPr>
              <w:t>巩固提升“5085”攻坚成果，到</w:t>
            </w:r>
            <w:r>
              <w:rPr>
                <w:rFonts w:hint="default" w:ascii="仿宋_GB2312" w:hAnsi="仿宋_GB2312" w:eastAsia="仿宋_GB2312" w:cs="仿宋_GB2312"/>
                <w:lang w:val="en-US" w:eastAsia="zh-CN"/>
              </w:rPr>
              <w:t>2030</w:t>
            </w:r>
            <w:r>
              <w:rPr>
                <w:rFonts w:hint="eastAsia" w:ascii="仿宋_GB2312" w:hAnsi="仿宋_GB2312" w:eastAsia="仿宋_GB2312" w:cs="仿宋_GB2312"/>
                <w:lang w:val="en-US" w:eastAsia="zh-CN"/>
              </w:rPr>
              <w:t>年，新增</w:t>
            </w:r>
            <w:r>
              <w:rPr>
                <w:rFonts w:hint="default" w:ascii="仿宋_GB2312" w:hAnsi="仿宋_GB2312" w:eastAsia="仿宋_GB2312" w:cs="仿宋_GB2312"/>
                <w:lang w:val="en-US" w:eastAsia="zh-CN"/>
              </w:rPr>
              <w:t>6</w:t>
            </w:r>
            <w:r>
              <w:rPr>
                <w:rFonts w:hint="eastAsia" w:ascii="仿宋_GB2312" w:hAnsi="仿宋_GB2312" w:eastAsia="仿宋_GB2312" w:cs="仿宋_GB2312"/>
                <w:lang w:val="en-US" w:eastAsia="zh-CN"/>
              </w:rPr>
              <w:t>所以上公办幼儿园，增加不少于</w:t>
            </w:r>
            <w:r>
              <w:rPr>
                <w:rFonts w:hint="default" w:ascii="仿宋_GB2312" w:hAnsi="仿宋_GB2312" w:eastAsia="仿宋_GB2312" w:cs="仿宋_GB2312"/>
                <w:lang w:val="en-US" w:eastAsia="zh-CN"/>
              </w:rPr>
              <w:t>1800</w:t>
            </w:r>
            <w:r>
              <w:rPr>
                <w:rFonts w:hint="eastAsia" w:ascii="仿宋_GB2312" w:hAnsi="仿宋_GB2312" w:eastAsia="仿宋_GB2312" w:cs="仿宋_GB2312"/>
                <w:lang w:val="en-US" w:eastAsia="zh-CN"/>
              </w:rPr>
              <w:t>个优质公办学位，到2030年全市公办幼儿园在园幼儿占比达到60%以上。</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（三）坚持城乡一体，推动义务教育优质均衡发展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1.建立适应人口变化的基础教育资源调配机制。</w:t>
      </w:r>
      <w:r>
        <w:rPr>
          <w:rFonts w:hint="eastAsia" w:ascii="仿宋_GB2312" w:hAnsi="仿宋_GB2312" w:eastAsia="仿宋_GB2312" w:cs="仿宋_GB2312"/>
          <w:b w:val="0"/>
          <w:bCs w:val="0"/>
          <w:highlight w:val="none"/>
          <w:lang w:val="en-US" w:eastAsia="zh-CN"/>
        </w:rPr>
        <w:t>完善城乡学校布局专项规划，增加义务教育阶段公办学位供给，办好办强公办义务教育，规范民办义务教育发展。深入实施中小学阳光招生专项行动。认真落实国家随迁子女义务教育入学政策，坚持以公办学校为主安排随迁子女就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2.统筹推进城乡义务教育一体化发展。</w:t>
      </w:r>
      <w:r>
        <w:rPr>
          <w:rFonts w:hint="eastAsia" w:ascii="仿宋_GB2312" w:hAnsi="仿宋_GB2312" w:eastAsia="仿宋_GB2312" w:cs="仿宋_GB2312"/>
          <w:b w:val="0"/>
          <w:bCs w:val="0"/>
          <w:highlight w:val="none"/>
          <w:lang w:val="en-US" w:eastAsia="zh-CN"/>
        </w:rPr>
        <w:t>深入实施“三所学校”质量提升工程，深化集团化办学和城乡教育共同体建设，推动城乡学校在教育教学管理、课程教学改革、校园文化建设、课题研究和学科教研等领域合作共建。全面落实国家关于中小学校基本办学条件底线要求，持续改善中小学校办学条件。鼓励有条件的地方探索小班化教学。</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2</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义务教育优质资源提升计划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highlight w:val="none"/>
                <w:vertAlign w:val="baseline"/>
                <w:lang w:val="en-US" w:eastAsia="zh-CN"/>
              </w:rPr>
            </w:pPr>
            <w:r>
              <w:rPr>
                <w:rFonts w:hint="eastAsia" w:ascii="仿宋_GB2312" w:hAnsi="仿宋_GB2312" w:eastAsia="仿宋_GB2312" w:cs="仿宋_GB2312"/>
                <w:lang w:val="en-US" w:eastAsia="zh-CN"/>
              </w:rPr>
              <w:t>推进</w:t>
            </w:r>
            <w:r>
              <w:rPr>
                <w:rFonts w:hint="default" w:ascii="仿宋_GB2312" w:hAnsi="仿宋_GB2312" w:eastAsia="仿宋_GB2312" w:cs="仿宋_GB2312"/>
                <w:lang w:val="en-US" w:eastAsia="zh-CN"/>
              </w:rPr>
              <w:t>53</w:t>
            </w:r>
            <w:r>
              <w:rPr>
                <w:rFonts w:hint="eastAsia" w:ascii="仿宋_GB2312" w:hAnsi="仿宋_GB2312" w:eastAsia="仿宋_GB2312" w:cs="仿宋_GB2312"/>
                <w:lang w:val="en-US" w:eastAsia="zh-CN"/>
              </w:rPr>
              <w:t>个义务教育学校新（改、扩）建项目，增加公办优质学位</w:t>
            </w:r>
            <w:r>
              <w:rPr>
                <w:rFonts w:hint="default" w:ascii="仿宋_GB2312" w:hAnsi="仿宋_GB2312" w:eastAsia="仿宋_GB2312" w:cs="仿宋_GB2312"/>
                <w:lang w:val="en-US" w:eastAsia="zh-CN"/>
              </w:rPr>
              <w:t>3</w:t>
            </w:r>
            <w:r>
              <w:rPr>
                <w:rFonts w:hint="eastAsia" w:ascii="仿宋_GB2312" w:hAnsi="仿宋_GB2312" w:eastAsia="仿宋_GB2312" w:cs="仿宋_GB2312"/>
                <w:lang w:val="en-US" w:eastAsia="zh-CN"/>
              </w:rPr>
              <w:t>万个。每个县（市、区）至少建成</w:t>
            </w:r>
            <w:r>
              <w:rPr>
                <w:rFonts w:hint="default" w:ascii="仿宋_GB2312" w:hAnsi="仿宋_GB2312" w:eastAsia="仿宋_GB2312" w:cs="仿宋_GB2312"/>
                <w:lang w:val="en-US" w:eastAsia="zh-CN"/>
              </w:rPr>
              <w:t>2</w:t>
            </w:r>
            <w:r>
              <w:rPr>
                <w:rFonts w:hint="eastAsia" w:ascii="仿宋_GB2312" w:hAnsi="仿宋_GB2312" w:eastAsia="仿宋_GB2312" w:cs="仿宋_GB2312"/>
                <w:lang w:val="en-US" w:eastAsia="zh-CN"/>
              </w:rPr>
              <w:t>个有影响力的教育集团，辖区内的优质学校至少牵手</w:t>
            </w:r>
            <w:r>
              <w:rPr>
                <w:rFonts w:hint="default" w:ascii="仿宋_GB2312" w:hAnsi="仿宋_GB2312" w:eastAsia="仿宋_GB2312" w:cs="仿宋_GB2312"/>
                <w:lang w:val="en-US" w:eastAsia="zh-CN"/>
              </w:rPr>
              <w:t>1-2</w:t>
            </w:r>
            <w:r>
              <w:rPr>
                <w:rFonts w:hint="eastAsia" w:ascii="仿宋_GB2312" w:hAnsi="仿宋_GB2312" w:eastAsia="仿宋_GB2312" w:cs="仿宋_GB2312"/>
                <w:lang w:val="en-US" w:eastAsia="zh-CN"/>
              </w:rPr>
              <w:t>所乡镇“三所学校”、联通</w:t>
            </w:r>
            <w:r>
              <w:rPr>
                <w:rFonts w:hint="default" w:ascii="仿宋_GB2312" w:hAnsi="仿宋_GB2312" w:eastAsia="仿宋_GB2312" w:cs="仿宋_GB2312"/>
                <w:lang w:val="en-US" w:eastAsia="zh-CN"/>
              </w:rPr>
              <w:t>N</w:t>
            </w:r>
            <w:r>
              <w:rPr>
                <w:rFonts w:hint="eastAsia" w:ascii="仿宋_GB2312" w:hAnsi="仿宋_GB2312" w:eastAsia="仿宋_GB2312" w:cs="仿宋_GB2312"/>
                <w:lang w:val="en-US" w:eastAsia="zh-CN"/>
              </w:rPr>
              <w:t>所乡村学校，实现管理互通、教研联动。</w:t>
            </w:r>
          </w:p>
        </w:tc>
      </w:tr>
    </w:tbl>
    <w:tbl>
      <w:tblPr>
        <w:tblStyle w:val="13"/>
        <w:tblpPr w:leftFromText="180" w:rightFromText="180" w:vertAnchor="text" w:horzAnchor="page" w:tblpX="1856" w:tblpY="38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3</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“双创”督导评估计划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lang w:val="en-US" w:eastAsia="zh-CN"/>
              </w:rPr>
              <w:t>推进“两项督导”工作提速力争到2026年底，至少有1个县(市、区)通过县域学前教育普及普惠省级督导评估，至少有1个县(市、区)通过县域义务教育优质均衡发展省级督导评估；力争到2030年，全部县(市、区)通过国家督导评估认定。</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（四）坚持扩容提质，推动普通高中优质特色发展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1.优化普通高中资源供给。</w:t>
      </w:r>
      <w:r>
        <w:rPr>
          <w:rFonts w:hint="eastAsia" w:ascii="仿宋_GB2312" w:hAnsi="仿宋_GB2312" w:eastAsia="仿宋_GB2312" w:cs="仿宋_GB2312"/>
          <w:b w:val="0"/>
          <w:bCs w:val="0"/>
          <w:highlight w:val="none"/>
          <w:lang w:val="en-US" w:eastAsia="zh-CN"/>
        </w:rPr>
        <w:t>改善普通高中办学条件，新改扩建校舍建筑，优化校舍功能，改善食宿条件，配置图书和教学仪器设备，建设体育运动场等附属设施，优化普通高中办学资源，增加学位供给。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default"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lang w:val="en-US" w:eastAsia="zh-CN"/>
        </w:rPr>
        <w:t>加强特色普通高中建设。</w:t>
      </w:r>
      <w:r>
        <w:rPr>
          <w:rFonts w:hint="eastAsia" w:ascii="仿宋_GB2312" w:hAnsi="仿宋_GB2312" w:eastAsia="仿宋_GB2312" w:cs="仿宋_GB2312"/>
          <w:b w:val="0"/>
          <w:bCs w:val="0"/>
          <w:highlight w:val="none"/>
          <w:lang w:val="en-US" w:eastAsia="zh-CN"/>
        </w:rPr>
        <w:t>试点培育科学、人文、艺术、体育、综合等特色普通高中，引领全市普通高中多样化有特色发展。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eastAsia="zh-CN"/>
        </w:rPr>
      </w:pPr>
      <w:r>
        <w:rPr>
          <w:rFonts w:hint="default"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val="en-US" w:eastAsia="zh-CN"/>
        </w:rPr>
        <w:t>.深化县域普通高中托管帮扶。</w:t>
      </w:r>
      <w:r>
        <w:rPr>
          <w:rFonts w:hint="eastAsia" w:ascii="仿宋_GB2312" w:hAnsi="仿宋_GB2312" w:eastAsia="仿宋_GB2312" w:cs="仿宋_GB2312"/>
          <w:b w:val="0"/>
          <w:bCs w:val="0"/>
          <w:highlight w:val="none"/>
          <w:lang w:val="en-US" w:eastAsia="zh-CN"/>
        </w:rPr>
        <w:t>持续推进县域普通高中与优质普通高中结对帮扶，实现县（市）薄弱公办普通高中帮扶工作全覆盖。</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4</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普通高中学位建设攻坚计划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highlight w:val="none"/>
                <w:vertAlign w:val="baseline"/>
                <w:lang w:val="en-US" w:eastAsia="zh-CN"/>
              </w:rPr>
            </w:pPr>
            <w:r>
              <w:rPr>
                <w:rFonts w:hint="eastAsia" w:ascii="仿宋_GB2312" w:hAnsi="仿宋_GB2312" w:eastAsia="仿宋_GB2312" w:cs="仿宋_GB2312"/>
                <w:b w:val="0"/>
                <w:bCs w:val="0"/>
                <w:highlight w:val="none"/>
                <w:vertAlign w:val="baseline"/>
                <w:lang w:val="en-US" w:eastAsia="zh-CN"/>
              </w:rPr>
              <w:t>实施高中优质学位建设“</w:t>
            </w:r>
            <w:r>
              <w:rPr>
                <w:rFonts w:hint="default" w:ascii="仿宋_GB2312" w:hAnsi="仿宋_GB2312" w:eastAsia="仿宋_GB2312" w:cs="仿宋_GB2312"/>
                <w:b w:val="0"/>
                <w:bCs w:val="0"/>
                <w:highlight w:val="none"/>
                <w:vertAlign w:val="baseline"/>
                <w:lang w:val="en-US" w:eastAsia="zh-CN"/>
              </w:rPr>
              <w:t>2+28</w:t>
            </w:r>
            <w:r>
              <w:rPr>
                <w:rFonts w:hint="eastAsia" w:ascii="仿宋_GB2312" w:hAnsi="仿宋_GB2312" w:eastAsia="仿宋_GB2312" w:cs="仿宋_GB2312"/>
                <w:b w:val="0"/>
                <w:bCs w:val="0"/>
                <w:highlight w:val="none"/>
                <w:vertAlign w:val="baseline"/>
                <w:lang w:val="en-US" w:eastAsia="zh-CN"/>
              </w:rPr>
              <w:t>”攻坚计划，即新建</w:t>
            </w:r>
            <w:r>
              <w:rPr>
                <w:rFonts w:hint="default" w:ascii="仿宋_GB2312" w:hAnsi="仿宋_GB2312" w:eastAsia="仿宋_GB2312" w:cs="仿宋_GB2312"/>
                <w:b w:val="0"/>
                <w:bCs w:val="0"/>
                <w:highlight w:val="none"/>
                <w:vertAlign w:val="baseline"/>
                <w:lang w:val="en-US" w:eastAsia="zh-CN"/>
              </w:rPr>
              <w:t>2</w:t>
            </w:r>
            <w:r>
              <w:rPr>
                <w:rFonts w:hint="eastAsia" w:ascii="仿宋_GB2312" w:hAnsi="仿宋_GB2312" w:eastAsia="仿宋_GB2312" w:cs="仿宋_GB2312"/>
                <w:b w:val="0"/>
                <w:bCs w:val="0"/>
                <w:highlight w:val="none"/>
                <w:vertAlign w:val="baseline"/>
                <w:lang w:val="en-US" w:eastAsia="zh-CN"/>
              </w:rPr>
              <w:t>所高中，改扩建</w:t>
            </w:r>
            <w:r>
              <w:rPr>
                <w:rFonts w:hint="default" w:ascii="仿宋_GB2312" w:hAnsi="仿宋_GB2312" w:eastAsia="仿宋_GB2312" w:cs="仿宋_GB2312"/>
                <w:b w:val="0"/>
                <w:bCs w:val="0"/>
                <w:highlight w:val="none"/>
                <w:vertAlign w:val="baseline"/>
                <w:lang w:val="en-US" w:eastAsia="zh-CN"/>
              </w:rPr>
              <w:t>28</w:t>
            </w:r>
            <w:r>
              <w:rPr>
                <w:rFonts w:hint="eastAsia" w:ascii="仿宋_GB2312" w:hAnsi="仿宋_GB2312" w:eastAsia="仿宋_GB2312" w:cs="仿宋_GB2312"/>
                <w:b w:val="0"/>
                <w:bCs w:val="0"/>
                <w:highlight w:val="none"/>
                <w:vertAlign w:val="baseline"/>
                <w:lang w:val="en-US" w:eastAsia="zh-CN"/>
              </w:rPr>
              <w:t>所高中，到</w:t>
            </w:r>
            <w:r>
              <w:rPr>
                <w:rFonts w:hint="default" w:ascii="仿宋_GB2312" w:hAnsi="仿宋_GB2312" w:eastAsia="仿宋_GB2312" w:cs="仿宋_GB2312"/>
                <w:b w:val="0"/>
                <w:bCs w:val="0"/>
                <w:highlight w:val="none"/>
                <w:vertAlign w:val="baseline"/>
                <w:lang w:val="en-US" w:eastAsia="zh-CN"/>
              </w:rPr>
              <w:t>2028</w:t>
            </w:r>
            <w:r>
              <w:rPr>
                <w:rFonts w:hint="eastAsia" w:ascii="仿宋_GB2312" w:hAnsi="仿宋_GB2312" w:eastAsia="仿宋_GB2312" w:cs="仿宋_GB2312"/>
                <w:b w:val="0"/>
                <w:bCs w:val="0"/>
                <w:highlight w:val="none"/>
                <w:vertAlign w:val="baseline"/>
                <w:lang w:val="en-US" w:eastAsia="zh-CN"/>
              </w:rPr>
              <w:t>年全市增加高中公办优质学位</w:t>
            </w:r>
            <w:r>
              <w:rPr>
                <w:rFonts w:hint="default" w:ascii="仿宋_GB2312" w:hAnsi="仿宋_GB2312" w:eastAsia="仿宋_GB2312" w:cs="仿宋_GB2312"/>
                <w:b w:val="0"/>
                <w:bCs w:val="0"/>
                <w:highlight w:val="none"/>
                <w:vertAlign w:val="baseline"/>
                <w:lang w:val="en-US" w:eastAsia="zh-CN"/>
              </w:rPr>
              <w:t>1.4</w:t>
            </w:r>
            <w:r>
              <w:rPr>
                <w:rFonts w:hint="eastAsia" w:ascii="仿宋_GB2312" w:hAnsi="仿宋_GB2312" w:eastAsia="仿宋_GB2312" w:cs="仿宋_GB2312"/>
                <w:b w:val="0"/>
                <w:bCs w:val="0"/>
                <w:highlight w:val="none"/>
                <w:vertAlign w:val="baseline"/>
                <w:lang w:val="en-US" w:eastAsia="zh-CN"/>
              </w:rPr>
              <w:t>万个，到</w:t>
            </w:r>
            <w:r>
              <w:rPr>
                <w:rFonts w:hint="default" w:ascii="仿宋_GB2312" w:hAnsi="仿宋_GB2312" w:eastAsia="仿宋_GB2312" w:cs="仿宋_GB2312"/>
                <w:b w:val="0"/>
                <w:bCs w:val="0"/>
                <w:highlight w:val="none"/>
                <w:vertAlign w:val="baseline"/>
                <w:lang w:val="en-US" w:eastAsia="zh-CN"/>
              </w:rPr>
              <w:t>2030</w:t>
            </w:r>
            <w:r>
              <w:rPr>
                <w:rFonts w:hint="eastAsia" w:ascii="仿宋_GB2312" w:hAnsi="仿宋_GB2312" w:eastAsia="仿宋_GB2312" w:cs="仿宋_GB2312"/>
                <w:b w:val="0"/>
                <w:bCs w:val="0"/>
                <w:highlight w:val="none"/>
                <w:vertAlign w:val="baseline"/>
                <w:lang w:val="en-US" w:eastAsia="zh-CN"/>
              </w:rPr>
              <w:t>年增加</w:t>
            </w:r>
            <w:r>
              <w:rPr>
                <w:rFonts w:hint="default" w:ascii="仿宋_GB2312" w:hAnsi="仿宋_GB2312" w:eastAsia="仿宋_GB2312" w:cs="仿宋_GB2312"/>
                <w:b w:val="0"/>
                <w:bCs w:val="0"/>
                <w:highlight w:val="none"/>
                <w:vertAlign w:val="baseline"/>
                <w:lang w:val="en-US" w:eastAsia="zh-CN"/>
              </w:rPr>
              <w:t>2</w:t>
            </w:r>
            <w:r>
              <w:rPr>
                <w:rFonts w:hint="eastAsia" w:ascii="仿宋_GB2312" w:hAnsi="仿宋_GB2312" w:eastAsia="仿宋_GB2312" w:cs="仿宋_GB2312"/>
                <w:b w:val="0"/>
                <w:bCs w:val="0"/>
                <w:highlight w:val="none"/>
                <w:vertAlign w:val="baseline"/>
                <w:lang w:val="en-US" w:eastAsia="zh-CN"/>
              </w:rPr>
              <w:t>万个。</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（五）坚持产教融合，推进职业教育提质培优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1.构建职业教育发展新格局。</w:t>
      </w:r>
      <w:r>
        <w:rPr>
          <w:rFonts w:hint="eastAsia" w:ascii="仿宋_GB2312" w:hAnsi="仿宋_GB2312" w:eastAsia="仿宋_GB2312" w:cs="仿宋_GB2312"/>
          <w:b w:val="0"/>
          <w:bCs w:val="0"/>
          <w:highlight w:val="none"/>
          <w:lang w:val="en-US" w:eastAsia="zh-CN"/>
        </w:rPr>
        <w:t>坚持提质培优办好职业教育。支持揭阳职业技术学院培优“升本”，积极创建省域高水平高职学校。支持省级重点中职学校创建省高水平中职学校，推动每个建制县（市、区）集中力量建成办好1所集中职教育、职业培训、技能鉴定、职业启蒙、社区教育、老年教育等功能为一体的中职学校，服务县域经济社会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2.健全技术技能人才培养体系。</w:t>
      </w:r>
      <w:r>
        <w:rPr>
          <w:rFonts w:hint="eastAsia" w:ascii="仿宋_GB2312" w:hAnsi="仿宋_GB2312" w:eastAsia="仿宋_GB2312" w:cs="仿宋_GB2312"/>
          <w:b w:val="0"/>
          <w:bCs w:val="0"/>
          <w:highlight w:val="none"/>
          <w:lang w:val="en-US" w:eastAsia="zh-CN"/>
        </w:rPr>
        <w:t>聚焦服务区域、支撑产业要求，构建职业教育服务区域、支撑产业两大布局结构体系，提升专业结构、人才培养与产业需求的适配性。建设一批省级高职高水平专业群和省级中职“双精准”示范专业，深入开展现代学徒制、订单培养等育人模式改革，定向精准培养高技能人才。全面推行中高职贯通培养三二试点，稳步推进三二分段专升本协同育人试点，积极参与中职本科“3+4”贯通培养改革试点。推动有条件的中职学校建设区域教育实践中心，面向普通中小学开展职业启蒙教育、劳动教育。鼓励职业院校向社区提供多样化职业课程，举办多种形式的职业体验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3.提升职业学校关键办学能力。</w:t>
      </w:r>
      <w:r>
        <w:rPr>
          <w:rFonts w:hint="eastAsia" w:ascii="仿宋_GB2312" w:hAnsi="仿宋_GB2312" w:eastAsia="仿宋_GB2312" w:cs="仿宋_GB2312"/>
          <w:b w:val="0"/>
          <w:bCs w:val="0"/>
          <w:highlight w:val="none"/>
          <w:lang w:val="en-US" w:eastAsia="zh-CN"/>
        </w:rPr>
        <w:t>聚焦土地、校舍、教师、设备等关键要素，加快推动职业院校办学条件达标。实施高等职业教育“创新强校工程”，加快实施揭阳职业技术学院扩建工程，稳步扩大办学规模，提高人才培养质量和办学水平。加强高水平职业学校和专业群建设，聚焦“一化一海五优特”产业集群建设需求，打造一批核心课程、优质教材、教师团队、实践项目，加快建设一批集实践教学、真实生产、技术服务功能于一体的实习实训基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highlight w:val="none"/>
          <w:lang w:val="en-US" w:eastAsia="zh-CN"/>
        </w:rPr>
      </w:pPr>
      <w:r>
        <w:rPr>
          <w:rFonts w:hint="eastAsia" w:ascii="仿宋_GB2312" w:hAnsi="仿宋_GB2312" w:eastAsia="仿宋_GB2312" w:cs="仿宋_GB2312"/>
          <w:b/>
          <w:bCs/>
          <w:highlight w:val="none"/>
          <w:lang w:val="en-US" w:eastAsia="zh-CN"/>
        </w:rPr>
        <w:t>4.深化产教融合校企协同育人。</w:t>
      </w:r>
      <w:r>
        <w:rPr>
          <w:rFonts w:hint="eastAsia" w:ascii="仿宋_GB2312" w:hAnsi="仿宋_GB2312" w:eastAsia="仿宋_GB2312" w:cs="仿宋_GB2312"/>
          <w:b w:val="0"/>
          <w:bCs w:val="0"/>
          <w:highlight w:val="none"/>
          <w:lang w:val="en-US" w:eastAsia="zh-CN"/>
        </w:rPr>
        <w:t>坚持职业教育主动服务经济社会发展需求，推动各地依托产业园区，统筹职业教育资源对接区域重点产业、园区重点企业，推进产教融合、校企合作。依托揭阳大南海绿色石化产业园，建强揭阳大南海绿色石化市域产教联合体；依托揭阳高新技术产业开发区，建强揭阳市智能家电市域产教联合体。加快探索建设行业产教融合共同体。支持学校服务企业技术创新、工艺改进、产品升级，促进教育链、人才链与产业链、创新链有机衔接。健全德技并修、工学结合育人机制，引导企业深度参与职业学校专业规划、教材开发、教学设计、课程设置、实习实训等环节，探索实行订单培养和学徒制培养等模式，在产业一线培养更多高技能人才。</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5</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职业教育提质培优计划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highlight w:val="none"/>
                <w:vertAlign w:val="baseline"/>
                <w:lang w:val="en-US" w:eastAsia="zh-CN"/>
              </w:rPr>
            </w:pPr>
            <w:r>
              <w:rPr>
                <w:rFonts w:hint="eastAsia" w:ascii="仿宋_GB2312" w:hAnsi="仿宋_GB2312" w:eastAsia="仿宋_GB2312" w:cs="仿宋_GB2312"/>
                <w:b w:val="0"/>
                <w:bCs w:val="0"/>
                <w:highlight w:val="none"/>
                <w:vertAlign w:val="baseline"/>
                <w:lang w:val="en-US" w:eastAsia="zh-CN"/>
              </w:rPr>
              <w:t>新建</w:t>
            </w:r>
            <w:r>
              <w:rPr>
                <w:rFonts w:hint="default" w:ascii="仿宋_GB2312" w:hAnsi="仿宋_GB2312" w:eastAsia="仿宋_GB2312" w:cs="仿宋_GB2312"/>
                <w:b w:val="0"/>
                <w:bCs w:val="0"/>
                <w:highlight w:val="none"/>
                <w:vertAlign w:val="baseline"/>
                <w:lang w:val="en-US" w:eastAsia="zh-CN"/>
              </w:rPr>
              <w:t>1</w:t>
            </w:r>
            <w:r>
              <w:rPr>
                <w:rFonts w:hint="eastAsia" w:ascii="仿宋_GB2312" w:hAnsi="仿宋_GB2312" w:eastAsia="仿宋_GB2312" w:cs="仿宋_GB2312"/>
                <w:b w:val="0"/>
                <w:bCs w:val="0"/>
                <w:highlight w:val="none"/>
                <w:vertAlign w:val="baseline"/>
                <w:lang w:val="en-US" w:eastAsia="zh-CN"/>
              </w:rPr>
              <w:t>所中等职业学校，实现各县（市、区）中等职业学校全覆盖；力争创建</w:t>
            </w:r>
            <w:r>
              <w:rPr>
                <w:rFonts w:hint="default" w:ascii="仿宋_GB2312" w:hAnsi="仿宋_GB2312" w:eastAsia="仿宋_GB2312" w:cs="仿宋_GB2312"/>
                <w:b w:val="0"/>
                <w:bCs w:val="0"/>
                <w:highlight w:val="none"/>
                <w:vertAlign w:val="baseline"/>
                <w:lang w:val="en-US" w:eastAsia="zh-CN"/>
              </w:rPr>
              <w:t>2</w:t>
            </w:r>
            <w:r>
              <w:rPr>
                <w:rFonts w:hint="eastAsia" w:ascii="仿宋_GB2312" w:hAnsi="仿宋_GB2312" w:eastAsia="仿宋_GB2312" w:cs="仿宋_GB2312"/>
                <w:b w:val="0"/>
                <w:bCs w:val="0"/>
                <w:highlight w:val="none"/>
                <w:vertAlign w:val="baseline"/>
                <w:lang w:val="en-US" w:eastAsia="zh-CN"/>
              </w:rPr>
              <w:t>所高水平职业学校（技师学院）。深化产教融合校企协同育人，建强</w:t>
            </w:r>
            <w:r>
              <w:rPr>
                <w:rFonts w:hint="default" w:ascii="仿宋_GB2312" w:hAnsi="仿宋_GB2312" w:eastAsia="仿宋_GB2312" w:cs="仿宋_GB2312"/>
                <w:b w:val="0"/>
                <w:bCs w:val="0"/>
                <w:highlight w:val="none"/>
                <w:vertAlign w:val="baseline"/>
                <w:lang w:val="en-US" w:eastAsia="zh-CN"/>
              </w:rPr>
              <w:t>2</w:t>
            </w:r>
            <w:r>
              <w:rPr>
                <w:rFonts w:hint="eastAsia" w:ascii="仿宋_GB2312" w:hAnsi="仿宋_GB2312" w:eastAsia="仿宋_GB2312" w:cs="仿宋_GB2312"/>
                <w:b w:val="0"/>
                <w:bCs w:val="0"/>
                <w:highlight w:val="none"/>
                <w:vertAlign w:val="baseline"/>
                <w:lang w:val="en-US" w:eastAsia="zh-CN"/>
              </w:rPr>
              <w:t>个市域产教联合体，探索建设</w:t>
            </w:r>
            <w:r>
              <w:rPr>
                <w:rFonts w:hint="default" w:ascii="仿宋_GB2312" w:hAnsi="仿宋_GB2312" w:eastAsia="仿宋_GB2312" w:cs="仿宋_GB2312"/>
                <w:b w:val="0"/>
                <w:bCs w:val="0"/>
                <w:highlight w:val="none"/>
                <w:vertAlign w:val="baseline"/>
                <w:lang w:val="en-US" w:eastAsia="zh-CN"/>
              </w:rPr>
              <w:t>1</w:t>
            </w:r>
            <w:r>
              <w:rPr>
                <w:rFonts w:hint="eastAsia" w:ascii="仿宋_GB2312" w:hAnsi="仿宋_GB2312" w:eastAsia="仿宋_GB2312" w:cs="仿宋_GB2312"/>
                <w:b w:val="0"/>
                <w:bCs w:val="0"/>
                <w:highlight w:val="none"/>
                <w:vertAlign w:val="baseline"/>
                <w:lang w:val="en-US" w:eastAsia="zh-CN"/>
              </w:rPr>
              <w:t>个行业产教融合共同体。</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（六）坚持拓展融合，推动特殊教育和专门教育内涵发展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pacing w:val="0"/>
          <w:w w:val="100"/>
          <w:kern w:val="0"/>
          <w:sz w:val="32"/>
          <w:szCs w:val="32"/>
          <w:highlight w:val="none"/>
          <w:lang w:val="en-US" w:eastAsia="zh-CN" w:bidi="ar-SA"/>
        </w:rPr>
      </w:pPr>
      <w:r>
        <w:rPr>
          <w:rFonts w:hint="default" w:ascii="仿宋_GB2312" w:hAnsi="仿宋_GB2312" w:eastAsia="仿宋_GB2312" w:cs="仿宋_GB2312"/>
          <w:b/>
          <w:bCs/>
          <w:spacing w:val="0"/>
          <w:w w:val="100"/>
          <w:kern w:val="0"/>
          <w:sz w:val="32"/>
          <w:szCs w:val="32"/>
          <w:highlight w:val="none"/>
          <w:lang w:val="en-US" w:eastAsia="zh-CN" w:bidi="ar-SA"/>
        </w:rPr>
        <w:t>1.促进特殊教育融合发展</w:t>
      </w:r>
      <w:r>
        <w:rPr>
          <w:rFonts w:hint="eastAsia" w:ascii="仿宋_GB2312" w:hAnsi="仿宋_GB2312" w:eastAsia="仿宋_GB2312" w:cs="仿宋_GB2312"/>
          <w:b/>
          <w:bCs/>
          <w:spacing w:val="0"/>
          <w:w w:val="100"/>
          <w:kern w:val="0"/>
          <w:sz w:val="32"/>
          <w:szCs w:val="32"/>
          <w:highlight w:val="none"/>
          <w:lang w:val="en-US" w:eastAsia="zh-CN" w:bidi="ar-SA"/>
        </w:rPr>
        <w:t>。</w:t>
      </w:r>
      <w:r>
        <w:rPr>
          <w:rFonts w:hint="default" w:ascii="仿宋_GB2312" w:hAnsi="仿宋_GB2312" w:eastAsia="仿宋_GB2312" w:cs="仿宋_GB2312"/>
          <w:b w:val="0"/>
          <w:bCs w:val="0"/>
          <w:spacing w:val="0"/>
          <w:w w:val="100"/>
          <w:kern w:val="0"/>
          <w:sz w:val="32"/>
          <w:szCs w:val="32"/>
          <w:highlight w:val="none"/>
          <w:lang w:val="en-US" w:eastAsia="zh-CN" w:bidi="ar-SA"/>
        </w:rPr>
        <w:t>推动特教班及资源教室规范发展，促进融合教育实验园及实验校内涵发展。加强课程开发，建立完整的区域特殊教育发展质量监测评价体系。继续落实残疾学生15年免费教育政策，继续将特殊教育纳入社会福利彩票收益使用范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highlight w:val="none"/>
          <w:lang w:val="en-US" w:eastAsia="zh-CN"/>
        </w:rPr>
      </w:pPr>
      <w:r>
        <w:rPr>
          <w:rFonts w:hint="default" w:ascii="仿宋_GB2312" w:hAnsi="仿宋_GB2312" w:eastAsia="仿宋_GB2312" w:cs="仿宋_GB2312"/>
          <w:b/>
          <w:bCs/>
          <w:spacing w:val="0"/>
          <w:w w:val="100"/>
          <w:kern w:val="0"/>
          <w:sz w:val="32"/>
          <w:szCs w:val="32"/>
          <w:highlight w:val="none"/>
          <w:lang w:val="en-US" w:eastAsia="zh-CN" w:bidi="ar-SA"/>
        </w:rPr>
        <w:t>2.办好专门教育</w:t>
      </w:r>
      <w:r>
        <w:rPr>
          <w:rFonts w:hint="eastAsia" w:ascii="仿宋_GB2312" w:hAnsi="仿宋_GB2312" w:eastAsia="仿宋_GB2312" w:cs="仿宋_GB2312"/>
          <w:b/>
          <w:bCs/>
          <w:spacing w:val="0"/>
          <w:w w:val="100"/>
          <w:kern w:val="0"/>
          <w:sz w:val="32"/>
          <w:szCs w:val="32"/>
          <w:highlight w:val="none"/>
          <w:lang w:val="en-US" w:eastAsia="zh-CN" w:bidi="ar-SA"/>
        </w:rPr>
        <w:t>。</w:t>
      </w:r>
      <w:r>
        <w:rPr>
          <w:rFonts w:hint="default" w:ascii="仿宋_GB2312" w:hAnsi="仿宋_GB2312" w:eastAsia="仿宋_GB2312" w:cs="仿宋_GB2312"/>
          <w:b w:val="0"/>
          <w:bCs w:val="0"/>
          <w:spacing w:val="0"/>
          <w:w w:val="100"/>
          <w:kern w:val="0"/>
          <w:sz w:val="32"/>
          <w:szCs w:val="32"/>
          <w:highlight w:val="none"/>
          <w:lang w:val="en-US" w:eastAsia="zh-CN" w:bidi="ar-SA"/>
        </w:rPr>
        <w:t>构建家庭、学校、少年宫、社会、教育和公检法司等多部门协调联动的运行机制，加强未成年人违法犯罪预防和教育矫治。保障特殊教育、专门教育教师待遇和专业发展，在职称评聘、业务培训、科研立项、评优评先等方面予以政策倾斜。</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6</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特殊教育内涵提升计划</w:t>
            </w:r>
          </w:p>
          <w:p>
            <w:pPr>
              <w:pStyle w:val="9"/>
              <w:ind w:firstLine="640" w:firstLineChars="200"/>
              <w:rPr>
                <w:rFonts w:hint="eastAsia" w:ascii="楷体_GB2312" w:hAnsi="楷体_GB2312" w:eastAsia="楷体_GB2312" w:cs="楷体_GB2312"/>
                <w:spacing w:val="0"/>
                <w:w w:val="100"/>
                <w:kern w:val="0"/>
                <w:sz w:val="32"/>
                <w:szCs w:val="32"/>
                <w:highlight w:val="none"/>
                <w:vertAlign w:val="baseline"/>
                <w:lang w:val="en-US" w:eastAsia="zh-CN" w:bidi="ar-SA"/>
              </w:rPr>
            </w:pPr>
            <w:r>
              <w:rPr>
                <w:rFonts w:hint="eastAsia" w:ascii="仿宋_GB2312" w:hAnsi="仿宋_GB2312" w:eastAsia="仿宋_GB2312" w:cs="仿宋_GB2312"/>
                <w:spacing w:val="0"/>
                <w:w w:val="100"/>
                <w:kern w:val="0"/>
                <w:sz w:val="32"/>
                <w:szCs w:val="32"/>
                <w:lang w:val="en-US" w:eastAsia="zh-CN" w:bidi="ar-SA"/>
              </w:rPr>
              <w:t>建设</w:t>
            </w:r>
            <w:r>
              <w:rPr>
                <w:rFonts w:hint="default" w:ascii="仿宋_GB2312" w:hAnsi="仿宋_GB2312" w:eastAsia="仿宋_GB2312" w:cs="仿宋_GB2312"/>
                <w:spacing w:val="0"/>
                <w:w w:val="100"/>
                <w:kern w:val="0"/>
                <w:sz w:val="32"/>
                <w:szCs w:val="32"/>
                <w:lang w:val="en-US" w:eastAsia="zh-CN" w:bidi="ar-SA"/>
              </w:rPr>
              <w:t>100</w:t>
            </w:r>
            <w:r>
              <w:rPr>
                <w:rFonts w:hint="eastAsia" w:ascii="仿宋_GB2312" w:hAnsi="仿宋_GB2312" w:eastAsia="仿宋_GB2312" w:cs="仿宋_GB2312"/>
                <w:spacing w:val="0"/>
                <w:w w:val="100"/>
                <w:kern w:val="0"/>
                <w:sz w:val="32"/>
                <w:szCs w:val="32"/>
                <w:lang w:val="en-US" w:eastAsia="zh-CN" w:bidi="ar-SA"/>
              </w:rPr>
              <w:t>个特殊教育资源教室，</w:t>
            </w:r>
            <w:r>
              <w:rPr>
                <w:rFonts w:hint="default" w:ascii="仿宋_GB2312" w:hAnsi="仿宋_GB2312" w:eastAsia="仿宋_GB2312" w:cs="仿宋_GB2312"/>
                <w:spacing w:val="0"/>
                <w:w w:val="100"/>
                <w:kern w:val="0"/>
                <w:sz w:val="32"/>
                <w:szCs w:val="32"/>
                <w:lang w:val="en-US" w:eastAsia="zh-CN" w:bidi="ar-SA"/>
              </w:rPr>
              <w:t>3</w:t>
            </w:r>
            <w:r>
              <w:rPr>
                <w:rFonts w:hint="eastAsia" w:ascii="仿宋_GB2312" w:hAnsi="仿宋_GB2312" w:eastAsia="仿宋_GB2312" w:cs="仿宋_GB2312"/>
                <w:spacing w:val="0"/>
                <w:w w:val="100"/>
                <w:kern w:val="0"/>
                <w:sz w:val="32"/>
                <w:szCs w:val="32"/>
                <w:lang w:val="en-US" w:eastAsia="zh-CN" w:bidi="ar-SA"/>
              </w:rPr>
              <w:t>个以上孤独症教育中心，为学生个性化教育与康复提供坚实支撑。</w:t>
            </w:r>
          </w:p>
        </w:tc>
      </w:tr>
    </w:tbl>
    <w:p>
      <w:pPr>
        <w:pStyle w:val="9"/>
        <w:ind w:firstLine="960" w:firstLineChars="300"/>
        <w:rPr>
          <w:rFonts w:hint="eastAsia" w:ascii="楷体_GB2312" w:hAnsi="楷体_GB2312" w:eastAsia="楷体_GB2312" w:cs="楷体_GB2312"/>
          <w:spacing w:val="0"/>
          <w:w w:val="100"/>
          <w:kern w:val="0"/>
          <w:sz w:val="32"/>
          <w:szCs w:val="32"/>
          <w:highlight w:val="none"/>
          <w:lang w:val="en-US" w:eastAsia="zh-CN" w:bidi="ar-SA"/>
        </w:rPr>
      </w:pPr>
    </w:p>
    <w:p>
      <w:pPr>
        <w:pStyle w:val="9"/>
        <w:ind w:firstLine="960" w:firstLineChars="300"/>
        <w:rPr>
          <w:rFonts w:hint="eastAsia" w:ascii="楷体_GB2312" w:hAnsi="楷体_GB2312" w:eastAsia="楷体_GB2312" w:cs="楷体_GB2312"/>
          <w:spacing w:val="0"/>
          <w:w w:val="100"/>
          <w:kern w:val="0"/>
          <w:sz w:val="32"/>
          <w:szCs w:val="32"/>
          <w:highlight w:val="none"/>
          <w:lang w:val="en-US" w:eastAsia="zh-CN" w:bidi="ar-SA"/>
        </w:rPr>
      </w:pPr>
      <w:r>
        <w:rPr>
          <w:rFonts w:hint="eastAsia" w:ascii="楷体_GB2312" w:hAnsi="楷体_GB2312" w:eastAsia="楷体_GB2312" w:cs="楷体_GB2312"/>
          <w:spacing w:val="0"/>
          <w:w w:val="100"/>
          <w:kern w:val="0"/>
          <w:sz w:val="32"/>
          <w:szCs w:val="32"/>
          <w:highlight w:val="none"/>
          <w:lang w:val="en-US" w:eastAsia="zh-CN" w:bidi="ar-SA"/>
        </w:rPr>
        <w:t>（七）坚持改革创新，增强高等教育综合实力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pacing w:val="0"/>
          <w:w w:val="100"/>
          <w:kern w:val="0"/>
          <w:sz w:val="32"/>
          <w:szCs w:val="32"/>
          <w:highlight w:val="none"/>
          <w:lang w:val="en-US" w:eastAsia="zh-CN" w:bidi="ar-SA"/>
        </w:rPr>
      </w:pPr>
      <w:r>
        <w:rPr>
          <w:rFonts w:hint="eastAsia" w:ascii="仿宋_GB2312" w:hAnsi="仿宋_GB2312" w:eastAsia="仿宋_GB2312" w:cs="仿宋_GB2312"/>
          <w:b/>
          <w:bCs/>
          <w:highlight w:val="none"/>
          <w:lang w:val="en-US" w:eastAsia="zh-CN"/>
        </w:rPr>
        <w:t>1.优化高等教育学位供给结构。</w:t>
      </w:r>
      <w:r>
        <w:rPr>
          <w:rFonts w:hint="eastAsia" w:ascii="仿宋_GB2312" w:hAnsi="仿宋_GB2312" w:eastAsia="仿宋_GB2312" w:cs="仿宋_GB2312"/>
          <w:b w:val="0"/>
          <w:bCs w:val="0"/>
          <w:spacing w:val="0"/>
          <w:w w:val="100"/>
          <w:kern w:val="0"/>
          <w:sz w:val="32"/>
          <w:szCs w:val="32"/>
          <w:highlight w:val="none"/>
          <w:lang w:val="en-US" w:eastAsia="zh-CN" w:bidi="ar-SA"/>
        </w:rPr>
        <w:t>加强高校规划建设，实施“迎峰计划”，扩大高等教育规模。支持广东工业大学揭阳校区二期工程建设，有序扩大本科和研究生培养规模。积极谋划建设一所新高校，优化高等学校布局。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pacing w:val="0"/>
          <w:w w:val="100"/>
          <w:kern w:val="0"/>
          <w:sz w:val="32"/>
          <w:szCs w:val="32"/>
          <w:highlight w:val="none"/>
          <w:lang w:val="en-US" w:eastAsia="zh-CN" w:bidi="ar-SA"/>
        </w:rPr>
      </w:pPr>
      <w:r>
        <w:rPr>
          <w:rFonts w:hint="eastAsia" w:ascii="仿宋_GB2312" w:hAnsi="仿宋_GB2312" w:eastAsia="仿宋_GB2312" w:cs="仿宋_GB2312"/>
          <w:b/>
          <w:bCs/>
          <w:highlight w:val="none"/>
          <w:lang w:val="en-US" w:eastAsia="zh-CN"/>
        </w:rPr>
        <w:t>2.推进高等教育内涵式发展。</w:t>
      </w:r>
      <w:r>
        <w:rPr>
          <w:rFonts w:hint="eastAsia" w:ascii="仿宋_GB2312" w:hAnsi="仿宋_GB2312" w:eastAsia="仿宋_GB2312" w:cs="仿宋_GB2312"/>
          <w:b w:val="0"/>
          <w:bCs w:val="0"/>
          <w:spacing w:val="0"/>
          <w:w w:val="100"/>
          <w:kern w:val="0"/>
          <w:sz w:val="32"/>
          <w:szCs w:val="32"/>
          <w:highlight w:val="none"/>
          <w:lang w:val="en-US" w:eastAsia="zh-CN" w:bidi="ar-SA"/>
        </w:rPr>
        <w:t>支持高校动态调整优化学科专业布局，加强基础学科、新兴学科、交叉学科专业建设。推动高校围绕揭阳重点行业产业，加快优化学科专业布局。支持广东工业大学揭阳校区扎根办强，坚持培养高素质创新性应用型人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spacing w:val="0"/>
          <w:w w:val="100"/>
          <w:kern w:val="0"/>
          <w:sz w:val="32"/>
          <w:szCs w:val="32"/>
          <w:highlight w:val="none"/>
          <w:lang w:val="en-US" w:eastAsia="zh-CN" w:bidi="ar-SA"/>
        </w:rPr>
      </w:pPr>
      <w:r>
        <w:rPr>
          <w:rFonts w:hint="eastAsia" w:ascii="仿宋_GB2312" w:hAnsi="仿宋_GB2312" w:eastAsia="仿宋_GB2312" w:cs="仿宋_GB2312"/>
          <w:b/>
          <w:bCs/>
          <w:highlight w:val="none"/>
          <w:lang w:val="en-US" w:eastAsia="zh-CN"/>
        </w:rPr>
        <w:t>3.提升高校科技创新效能。</w:t>
      </w:r>
      <w:r>
        <w:rPr>
          <w:rFonts w:hint="eastAsia" w:ascii="仿宋_GB2312" w:hAnsi="仿宋_GB2312" w:eastAsia="仿宋_GB2312" w:cs="仿宋_GB2312"/>
          <w:b w:val="0"/>
          <w:bCs w:val="0"/>
          <w:spacing w:val="0"/>
          <w:w w:val="100"/>
          <w:kern w:val="0"/>
          <w:sz w:val="32"/>
          <w:szCs w:val="32"/>
          <w:highlight w:val="none"/>
          <w:lang w:val="en-US" w:eastAsia="zh-CN" w:bidi="ar-SA"/>
        </w:rPr>
        <w:t>引导辖区高校围绕揭阳现代化产业集群和未来产业发展需求，面向区域、产业发展需求的基础性、共性关键问题，提炼和遴选一批关键核心技术攻关。支持高校参与建设一批面向区域和行业的关键共性技术研发平台和技术创新中心。推进技术转移和科技成果转化，强化经济社会发展的科技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（八）坚持多元发展，推动构建终身学习教育体系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1.完善终身教育制度体系。</w:t>
      </w:r>
      <w:r>
        <w:rPr>
          <w:rFonts w:hint="eastAsia" w:ascii="仿宋_GB2312" w:hAnsi="仿宋_GB2312" w:eastAsia="仿宋_GB2312" w:cs="仿宋_GB2312"/>
          <w:b w:val="0"/>
          <w:bCs w:val="0"/>
          <w:highlight w:val="none"/>
          <w:lang w:val="zh-CN" w:eastAsia="zh-CN"/>
        </w:rPr>
        <w:t>完善政府统筹、教育牵头、部门协同、社会参与的全民终身学习推进机制，构建网络化、数字化、个性化、终身化的教育体系。依托当地开放大学、普通高校、职业院校等，推动教育资源开放共享，建立健全城乡一体的</w:t>
      </w:r>
      <w:r>
        <w:rPr>
          <w:rFonts w:hint="eastAsia" w:ascii="仿宋_GB2312" w:hAnsi="仿宋_GB2312" w:eastAsia="仿宋_GB2312" w:cs="仿宋_GB2312"/>
          <w:b w:val="0"/>
          <w:bCs w:val="0"/>
          <w:highlight w:val="none"/>
          <w:lang w:val="en-US" w:eastAsia="zh-CN"/>
        </w:rPr>
        <w:t>终身教育机构</w:t>
      </w:r>
      <w:r>
        <w:rPr>
          <w:rFonts w:hint="eastAsia" w:ascii="仿宋_GB2312" w:hAnsi="仿宋_GB2312" w:eastAsia="仿宋_GB2312" w:cs="仿宋_GB2312"/>
          <w:b w:val="0"/>
          <w:bCs w:val="0"/>
          <w:highlight w:val="none"/>
          <w:lang w:val="zh-CN" w:eastAsia="zh-CN"/>
        </w:rPr>
        <w:t>，</w:t>
      </w:r>
      <w:r>
        <w:rPr>
          <w:rFonts w:hint="eastAsia" w:ascii="仿宋_GB2312" w:hAnsi="仿宋_GB2312" w:eastAsia="仿宋_GB2312" w:cs="仿宋_GB2312"/>
          <w:b w:val="0"/>
          <w:bCs w:val="0"/>
          <w:highlight w:val="none"/>
          <w:lang w:val="en-US" w:eastAsia="zh-CN"/>
        </w:rPr>
        <w:t>扩大社区教育、老年教育供给和非学历继续教育规模，开设适应社会需求的课程</w:t>
      </w:r>
      <w:r>
        <w:rPr>
          <w:rFonts w:hint="eastAsia" w:ascii="仿宋_GB2312" w:hAnsi="仿宋_GB2312" w:eastAsia="仿宋_GB2312" w:cs="仿宋_GB2312"/>
          <w:b w:val="0"/>
          <w:bCs w:val="0"/>
          <w:highlight w:val="none"/>
          <w:lang w:val="zh-CN" w:eastAsia="zh-CN"/>
        </w:rPr>
        <w:t>。</w:t>
      </w:r>
      <w:r>
        <w:rPr>
          <w:rFonts w:hint="default" w:ascii="仿宋_GB2312" w:hAnsi="仿宋_GB2312" w:eastAsia="仿宋_GB2312" w:cs="仿宋_GB2312"/>
          <w:b w:val="0"/>
          <w:bCs w:val="0"/>
          <w:highlight w:val="none"/>
          <w:lang w:val="en-US" w:eastAsia="zh-CN"/>
        </w:rPr>
        <w:t>培育一批优质终身学习项目与品牌，提升内涵质量与品牌效应。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highlight w:val="none"/>
          <w:lang w:val="en-US" w:eastAsia="zh-CN"/>
        </w:rPr>
        <w:t>2.扩大终身教育资源供给。</w:t>
      </w:r>
      <w:r>
        <w:rPr>
          <w:rFonts w:hint="eastAsia" w:ascii="仿宋_GB2312" w:hAnsi="仿宋_GB2312" w:eastAsia="仿宋_GB2312" w:cs="仿宋_GB2312"/>
          <w:b w:val="0"/>
          <w:bCs w:val="0"/>
          <w:highlight w:val="none"/>
          <w:lang w:val="en-US" w:eastAsia="zh-CN"/>
        </w:rPr>
        <w:t>探索建立</w:t>
      </w:r>
      <w:r>
        <w:rPr>
          <w:rFonts w:hint="eastAsia" w:ascii="仿宋_GB2312" w:hAnsi="仿宋_GB2312" w:eastAsia="仿宋_GB2312" w:cs="仿宋_GB2312"/>
          <w:sz w:val="32"/>
          <w:szCs w:val="32"/>
          <w:highlight w:val="none"/>
          <w:lang w:val="en-US" w:eastAsia="zh-CN"/>
        </w:rPr>
        <w:t>政府、学校、培训机构、社会组织等组成的多维立体资源供给体系。引导各级开放大学广泛开展职工教育、社区教育、老年教育、新型农民教育等各类培训。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3.夯实终身教育保障制度。</w:t>
      </w:r>
      <w:r>
        <w:rPr>
          <w:rFonts w:hint="eastAsia" w:ascii="仿宋_GB2312" w:hAnsi="仿宋_GB2312" w:eastAsia="仿宋_GB2312" w:cs="仿宋_GB2312"/>
          <w:sz w:val="32"/>
          <w:szCs w:val="32"/>
          <w:highlight w:val="none"/>
          <w:lang w:val="en-US" w:eastAsia="zh-CN"/>
        </w:rPr>
        <w:t>夯实终身教育保障机制，推动建立健全终身学习公共服务政府投入、社会捐赠、学习者合理分担的多元经费保障机制。加强终身教育宣传，营造浓厚终身学习氛围，推动学习型社会建设。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eastAsia="zh-CN"/>
        </w:rPr>
      </w:pPr>
      <w:r>
        <w:rPr>
          <w:rFonts w:hint="eastAsia" w:ascii="楷体_GB2312" w:hAnsi="楷体_GB2312" w:eastAsia="楷体_GB2312" w:cs="楷体_GB2312"/>
          <w:highlight w:val="none"/>
          <w:lang w:val="en-US" w:eastAsia="zh-CN"/>
        </w:rPr>
        <w:t>（九）</w:t>
      </w:r>
      <w:r>
        <w:rPr>
          <w:rFonts w:hint="eastAsia" w:ascii="楷体_GB2312" w:hAnsi="楷体_GB2312" w:eastAsia="楷体_GB2312" w:cs="楷体_GB2312"/>
          <w:highlight w:val="none"/>
        </w:rPr>
        <w:t>坚持提质提能，推进新时代教师队伍建设</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1.涵养高尚师德师风。</w:t>
      </w:r>
      <w:r>
        <w:rPr>
          <w:rFonts w:hint="eastAsia" w:ascii="仿宋_GB2312" w:hAnsi="仿宋_GB2312" w:eastAsia="仿宋_GB2312" w:cs="仿宋_GB2312"/>
          <w:color w:val="auto"/>
          <w:sz w:val="32"/>
          <w:szCs w:val="32"/>
          <w:highlight w:val="none"/>
          <w:lang w:val="en-US" w:eastAsia="zh-CN"/>
        </w:rPr>
        <w:t>启动实施教育家精神铸魂强师行动，加强教师队伍思想政治建设。建立健全教师定期理论学习制度。加强教师入职的思想政治素质、业务能力、师德师风考察。加强政治引领，做好在高层次人才、优秀青年教师中发展党员工作。建立健全师德师风建设长效机制，严格落实师德违规“零容忍”。</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43" w:firstLineChars="200"/>
        <w:jc w:val="both"/>
        <w:textAlignment w:val="auto"/>
        <w:rPr>
          <w:rFonts w:hint="default" w:ascii="仿宋_GB2312" w:hAnsi="仿宋_GB2312" w:eastAsia="仿宋_GB2312" w:cs="仿宋_GB2312"/>
          <w:b/>
          <w:bCs/>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u w:val="none" w:color="auto"/>
          <w:lang w:val="en-US" w:eastAsia="zh-CN"/>
        </w:rPr>
        <w:t>优化教师资源配置。</w:t>
      </w:r>
      <w:r>
        <w:rPr>
          <w:rFonts w:hint="eastAsia" w:ascii="仿宋_GB2312" w:hAnsi="仿宋_GB2312" w:eastAsia="仿宋_GB2312" w:cs="仿宋_GB2312"/>
          <w:color w:val="auto"/>
          <w:sz w:val="32"/>
          <w:szCs w:val="32"/>
          <w:highlight w:val="none"/>
          <w:u w:val="none" w:color="auto"/>
          <w:lang w:eastAsia="zh-CN"/>
        </w:rPr>
        <w:t>盘活现有编制存量，</w:t>
      </w:r>
      <w:r>
        <w:rPr>
          <w:rFonts w:hint="eastAsia" w:ascii="仿宋_GB2312" w:hAnsi="仿宋_GB2312" w:eastAsia="仿宋_GB2312" w:cs="仿宋_GB2312"/>
          <w:color w:val="auto"/>
          <w:sz w:val="32"/>
          <w:szCs w:val="32"/>
          <w:highlight w:val="none"/>
          <w:u w:val="none" w:color="auto"/>
          <w:lang w:val="en-US" w:eastAsia="zh-CN"/>
        </w:rPr>
        <w:t>健全中小学教师补充机制</w:t>
      </w:r>
      <w:r>
        <w:rPr>
          <w:rFonts w:hint="eastAsia" w:ascii="仿宋_GB2312" w:hAnsi="仿宋_GB2312" w:eastAsia="仿宋_GB2312" w:cs="仿宋_GB2312"/>
          <w:color w:val="auto"/>
          <w:sz w:val="32"/>
          <w:szCs w:val="32"/>
          <w:highlight w:val="none"/>
          <w:u w:val="none" w:color="auto"/>
          <w:lang w:eastAsia="zh-CN"/>
        </w:rPr>
        <w:t>，严把教师入口关，依据国家课程方案</w:t>
      </w:r>
      <w:r>
        <w:rPr>
          <w:rFonts w:hint="eastAsia" w:ascii="仿宋_GB2312" w:hAnsi="仿宋_GB2312" w:eastAsia="仿宋_GB2312" w:cs="仿宋_GB2312"/>
          <w:color w:val="auto"/>
          <w:sz w:val="32"/>
          <w:szCs w:val="32"/>
          <w:highlight w:val="none"/>
          <w:u w:val="none" w:color="auto"/>
        </w:rPr>
        <w:t>配足配齐各学段各学科教师，</w:t>
      </w:r>
      <w:r>
        <w:rPr>
          <w:rFonts w:hint="eastAsia" w:ascii="仿宋_GB2312" w:hAnsi="仿宋_GB2312" w:eastAsia="仿宋_GB2312" w:cs="仿宋_GB2312"/>
          <w:color w:val="auto"/>
          <w:sz w:val="32"/>
          <w:szCs w:val="32"/>
          <w:highlight w:val="none"/>
          <w:u w:val="none" w:color="auto"/>
          <w:lang w:eastAsia="zh-CN"/>
        </w:rPr>
        <w:t>保障</w:t>
      </w:r>
      <w:r>
        <w:rPr>
          <w:rFonts w:hint="eastAsia" w:ascii="仿宋_GB2312" w:hAnsi="仿宋_GB2312" w:eastAsia="仿宋_GB2312" w:cs="仿宋_GB2312"/>
          <w:color w:val="auto"/>
          <w:sz w:val="32"/>
          <w:szCs w:val="32"/>
          <w:highlight w:val="none"/>
          <w:u w:val="none" w:color="auto"/>
        </w:rPr>
        <w:t>各学科教师总体上满足教育教学需要。大力实施公费定向培养</w:t>
      </w:r>
      <w:r>
        <w:rPr>
          <w:rFonts w:hint="eastAsia" w:ascii="仿宋_GB2312" w:hAnsi="仿宋_GB2312" w:eastAsia="仿宋_GB2312" w:cs="仿宋_GB2312"/>
          <w:color w:val="auto"/>
          <w:sz w:val="32"/>
          <w:szCs w:val="32"/>
          <w:highlight w:val="none"/>
          <w:u w:val="none" w:color="auto"/>
          <w:lang w:eastAsia="zh-CN"/>
        </w:rPr>
        <w:t>中小学</w:t>
      </w:r>
      <w:r>
        <w:rPr>
          <w:rFonts w:hint="eastAsia" w:ascii="仿宋_GB2312" w:hAnsi="仿宋_GB2312" w:eastAsia="仿宋_GB2312" w:cs="仿宋_GB2312"/>
          <w:color w:val="auto"/>
          <w:sz w:val="32"/>
          <w:szCs w:val="32"/>
          <w:highlight w:val="none"/>
          <w:u w:val="none" w:color="auto"/>
        </w:rPr>
        <w:t>教师项目</w:t>
      </w:r>
      <w:r>
        <w:rPr>
          <w:rFonts w:hint="eastAsia" w:ascii="仿宋_GB2312" w:hAnsi="仿宋_GB2312" w:eastAsia="仿宋_GB2312" w:cs="仿宋_GB2312"/>
          <w:color w:val="auto"/>
          <w:sz w:val="32"/>
          <w:szCs w:val="32"/>
          <w:highlight w:val="none"/>
          <w:u w:val="none" w:color="auto"/>
          <w:lang w:eastAsia="zh-CN"/>
        </w:rPr>
        <w:t>，重点为</w:t>
      </w:r>
      <w:r>
        <w:rPr>
          <w:rFonts w:hint="eastAsia" w:ascii="仿宋_GB2312" w:hAnsi="仿宋_GB2312" w:eastAsia="仿宋_GB2312" w:cs="仿宋_GB2312"/>
          <w:color w:val="auto"/>
          <w:sz w:val="32"/>
          <w:szCs w:val="32"/>
          <w:highlight w:val="none"/>
          <w:u w:val="none" w:color="auto"/>
        </w:rPr>
        <w:t>乡村</w:t>
      </w:r>
      <w:r>
        <w:rPr>
          <w:rFonts w:hint="eastAsia" w:ascii="仿宋_GB2312" w:hAnsi="仿宋_GB2312" w:eastAsia="仿宋_GB2312" w:cs="仿宋_GB2312"/>
          <w:color w:val="auto"/>
          <w:sz w:val="32"/>
          <w:szCs w:val="32"/>
          <w:highlight w:val="none"/>
          <w:u w:val="none" w:color="auto"/>
          <w:lang w:eastAsia="zh-CN"/>
        </w:rPr>
        <w:t>学校订单式</w:t>
      </w:r>
      <w:r>
        <w:rPr>
          <w:rFonts w:hint="eastAsia" w:ascii="仿宋_GB2312" w:hAnsi="仿宋_GB2312" w:eastAsia="仿宋_GB2312" w:cs="仿宋_GB2312"/>
          <w:color w:val="auto"/>
          <w:sz w:val="32"/>
          <w:szCs w:val="32"/>
          <w:highlight w:val="none"/>
          <w:u w:val="none" w:color="auto"/>
        </w:rPr>
        <w:t>培养“下得去、留得住、教得好、有发展”的</w:t>
      </w:r>
      <w:r>
        <w:rPr>
          <w:rFonts w:hint="eastAsia" w:ascii="仿宋_GB2312" w:hAnsi="仿宋_GB2312" w:eastAsia="仿宋_GB2312" w:cs="仿宋_GB2312"/>
          <w:color w:val="auto"/>
          <w:sz w:val="32"/>
          <w:szCs w:val="32"/>
          <w:highlight w:val="none"/>
          <w:u w:val="none" w:color="auto"/>
          <w:lang w:eastAsia="zh-CN"/>
        </w:rPr>
        <w:t>紧缺学科</w:t>
      </w:r>
      <w:r>
        <w:rPr>
          <w:rFonts w:hint="eastAsia" w:ascii="仿宋_GB2312" w:hAnsi="仿宋_GB2312" w:eastAsia="仿宋_GB2312" w:cs="仿宋_GB2312"/>
          <w:color w:val="auto"/>
          <w:sz w:val="32"/>
          <w:szCs w:val="32"/>
          <w:highlight w:val="none"/>
          <w:u w:val="none" w:color="auto"/>
        </w:rPr>
        <w:t>教师。</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val="en-US" w:eastAsia="zh-CN"/>
        </w:rPr>
        <w:t>.提升教师素质能力。</w:t>
      </w:r>
      <w:r>
        <w:rPr>
          <w:rFonts w:hint="eastAsia" w:ascii="仿宋_GB2312" w:hAnsi="仿宋_GB2312" w:eastAsia="仿宋_GB2312" w:cs="仿宋_GB2312"/>
          <w:b w:val="0"/>
          <w:bCs w:val="0"/>
          <w:color w:val="auto"/>
          <w:sz w:val="32"/>
          <w:szCs w:val="32"/>
          <w:highlight w:val="none"/>
          <w:u w:val="none" w:color="auto"/>
        </w:rPr>
        <w:t>建立健全校长教师培养培训体系，</w:t>
      </w:r>
      <w:r>
        <w:rPr>
          <w:rFonts w:hint="eastAsia" w:ascii="仿宋_GB2312" w:hAnsi="仿宋_GB2312" w:eastAsia="仿宋_GB2312" w:cs="仿宋_GB2312"/>
          <w:color w:val="auto"/>
          <w:sz w:val="32"/>
          <w:szCs w:val="32"/>
          <w:highlight w:val="none"/>
          <w:lang w:val="en-US" w:eastAsia="zh-CN"/>
        </w:rPr>
        <w:t>落实教师全员培训制度，</w:t>
      </w:r>
      <w:r>
        <w:rPr>
          <w:rFonts w:hint="eastAsia" w:ascii="仿宋_GB2312" w:hAnsi="仿宋_GB2312" w:eastAsia="仿宋_GB2312" w:cs="仿宋_GB2312"/>
          <w:b w:val="0"/>
          <w:bCs w:val="0"/>
          <w:color w:val="auto"/>
          <w:sz w:val="32"/>
          <w:szCs w:val="32"/>
          <w:highlight w:val="none"/>
          <w:u w:val="none"/>
          <w:lang w:val="en-US" w:eastAsia="zh-CN"/>
        </w:rPr>
        <w:t>依托华南师范大学、韩山师范学院、东莞市等校地优质教育资源培养培训骨干校长、教师，打造教师专业发展项目县，</w:t>
      </w:r>
      <w:r>
        <w:rPr>
          <w:rFonts w:hint="eastAsia" w:ascii="仿宋_GB2312" w:hAnsi="仿宋_GB2312" w:eastAsia="仿宋_GB2312" w:cs="仿宋_GB2312"/>
          <w:color w:val="auto"/>
          <w:sz w:val="32"/>
          <w:szCs w:val="32"/>
          <w:highlight w:val="none"/>
          <w:u w:val="none" w:color="auto"/>
          <w:lang w:eastAsia="zh-CN"/>
        </w:rPr>
        <w:t>大力</w:t>
      </w:r>
      <w:r>
        <w:rPr>
          <w:rFonts w:hint="eastAsia" w:ascii="仿宋_GB2312" w:hAnsi="仿宋_GB2312" w:eastAsia="仿宋_GB2312" w:cs="仿宋_GB2312"/>
          <w:color w:val="auto"/>
          <w:sz w:val="32"/>
          <w:szCs w:val="32"/>
          <w:highlight w:val="none"/>
          <w:u w:val="none" w:color="auto"/>
        </w:rPr>
        <w:t>开展名优骨干校长、教师、班主任、教研员等培养培训项目。</w:t>
      </w:r>
      <w:r>
        <w:rPr>
          <w:rFonts w:hint="eastAsia" w:ascii="仿宋_GB2312" w:hAnsi="仿宋_GB2312" w:eastAsia="仿宋_GB2312" w:cs="仿宋_GB2312"/>
          <w:color w:val="auto"/>
          <w:sz w:val="32"/>
          <w:szCs w:val="32"/>
          <w:highlight w:val="none"/>
          <w:u w:val="none" w:color="auto"/>
          <w:lang w:eastAsia="zh-CN"/>
        </w:rPr>
        <w:t>实施高中阶段</w:t>
      </w:r>
      <w:r>
        <w:rPr>
          <w:rFonts w:hint="eastAsia" w:ascii="仿宋_GB2312" w:hAnsi="仿宋_GB2312" w:eastAsia="仿宋_GB2312" w:cs="仿宋_GB2312"/>
          <w:color w:val="auto"/>
          <w:sz w:val="32"/>
          <w:szCs w:val="32"/>
          <w:highlight w:val="none"/>
          <w:u w:val="none" w:color="auto"/>
        </w:rPr>
        <w:t>教师学历提升工</w:t>
      </w:r>
      <w:r>
        <w:rPr>
          <w:rFonts w:hint="eastAsia" w:ascii="仿宋_GB2312" w:hAnsi="仿宋_GB2312" w:eastAsia="仿宋_GB2312" w:cs="仿宋_GB2312"/>
          <w:color w:val="auto"/>
          <w:sz w:val="32"/>
          <w:szCs w:val="32"/>
          <w:highlight w:val="none"/>
          <w:u w:val="none" w:color="auto"/>
          <w:lang w:eastAsia="zh-CN"/>
        </w:rPr>
        <w:t>程，</w:t>
      </w:r>
      <w:r>
        <w:rPr>
          <w:rFonts w:hint="eastAsia" w:ascii="仿宋_GB2312" w:hAnsi="仿宋_GB2312" w:eastAsia="仿宋_GB2312" w:cs="仿宋_GB2312"/>
          <w:color w:val="auto"/>
          <w:sz w:val="32"/>
          <w:szCs w:val="32"/>
          <w:highlight w:val="none"/>
          <w:u w:val="none" w:color="auto"/>
          <w:lang w:val="en-US" w:eastAsia="zh-CN"/>
        </w:rPr>
        <w:t>逐步提升高中阶段教师研究生以上学历比例。</w:t>
      </w:r>
      <w:r>
        <w:rPr>
          <w:rFonts w:hint="eastAsia" w:ascii="仿宋_GB2312" w:hAnsi="仿宋_GB2312" w:eastAsia="仿宋_GB2312" w:cs="仿宋_GB2312"/>
          <w:color w:val="auto"/>
          <w:sz w:val="32"/>
          <w:szCs w:val="32"/>
          <w:highlight w:val="none"/>
          <w:u w:val="none" w:color="auto"/>
        </w:rPr>
        <w:t>深化市县教师发展中心内涵建设，发挥</w:t>
      </w:r>
      <w:r>
        <w:rPr>
          <w:rFonts w:hint="eastAsia" w:ascii="仿宋_GB2312" w:hAnsi="仿宋_GB2312" w:eastAsia="仿宋_GB2312" w:cs="仿宋_GB2312"/>
          <w:color w:val="auto"/>
          <w:sz w:val="32"/>
          <w:szCs w:val="32"/>
          <w:highlight w:val="none"/>
          <w:u w:val="none" w:color="auto"/>
          <w:lang w:val="en-US" w:eastAsia="zh-CN"/>
        </w:rPr>
        <w:t>好</w:t>
      </w:r>
      <w:r>
        <w:rPr>
          <w:rFonts w:hint="eastAsia" w:ascii="仿宋_GB2312" w:hAnsi="仿宋_GB2312" w:eastAsia="仿宋_GB2312" w:cs="仿宋_GB2312"/>
          <w:color w:val="auto"/>
          <w:sz w:val="32"/>
          <w:szCs w:val="32"/>
          <w:highlight w:val="none"/>
          <w:u w:val="none" w:color="auto"/>
        </w:rPr>
        <w:t>市县教师发展中心培养培训教师主阵地作用</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lang w:val="en-US" w:eastAsia="zh-CN"/>
        </w:rPr>
        <w:t>.</w:t>
      </w:r>
      <w:bookmarkStart w:id="1" w:name="OLE_LINK33"/>
      <w:r>
        <w:rPr>
          <w:rFonts w:hint="eastAsia" w:ascii="仿宋_GB2312" w:hAnsi="仿宋_GB2312" w:eastAsia="仿宋_GB2312" w:cs="仿宋_GB2312"/>
          <w:b/>
          <w:bCs/>
          <w:color w:val="auto"/>
          <w:sz w:val="32"/>
          <w:szCs w:val="32"/>
          <w:highlight w:val="none"/>
          <w:u w:val="none" w:color="auto"/>
        </w:rPr>
        <w:t>提高教师</w:t>
      </w:r>
      <w:r>
        <w:rPr>
          <w:rFonts w:hint="eastAsia" w:ascii="仿宋_GB2312" w:hAnsi="仿宋_GB2312" w:eastAsia="仿宋_GB2312" w:cs="仿宋_GB2312"/>
          <w:b/>
          <w:bCs/>
          <w:color w:val="auto"/>
          <w:sz w:val="32"/>
          <w:szCs w:val="32"/>
          <w:highlight w:val="none"/>
          <w:u w:val="none" w:color="auto"/>
          <w:lang w:eastAsia="zh-CN"/>
        </w:rPr>
        <w:t>地位</w:t>
      </w:r>
      <w:r>
        <w:rPr>
          <w:rFonts w:hint="eastAsia" w:ascii="仿宋_GB2312" w:hAnsi="仿宋_GB2312" w:eastAsia="仿宋_GB2312" w:cs="仿宋_GB2312"/>
          <w:b/>
          <w:bCs/>
          <w:color w:val="auto"/>
          <w:sz w:val="32"/>
          <w:szCs w:val="32"/>
          <w:highlight w:val="none"/>
          <w:u w:val="none" w:color="auto"/>
        </w:rPr>
        <w:t>待遇</w:t>
      </w:r>
      <w:bookmarkEnd w:id="1"/>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健全中小学教师待遇保障长效机制，落实“两个不低于或高于”政策要求。完善中小学教师绩效工资制度，</w:t>
      </w:r>
      <w:r>
        <w:rPr>
          <w:rFonts w:hint="eastAsia" w:ascii="仿宋_GB2312" w:hAnsi="仿宋_GB2312" w:eastAsia="仿宋_GB2312" w:cs="仿宋_GB2312"/>
          <w:color w:val="auto"/>
          <w:sz w:val="32"/>
          <w:szCs w:val="32"/>
          <w:highlight w:val="none"/>
          <w:u w:val="none" w:color="auto"/>
        </w:rPr>
        <w:t>重点向一线教师和骨干教师、特别是向做出突出成绩的优秀教师倾斜。</w:t>
      </w:r>
      <w:r>
        <w:rPr>
          <w:rFonts w:hint="eastAsia" w:ascii="仿宋_GB2312" w:hAnsi="仿宋_GB2312" w:eastAsia="仿宋_GB2312" w:cs="仿宋_GB2312"/>
          <w:color w:val="auto"/>
          <w:sz w:val="32"/>
          <w:szCs w:val="32"/>
          <w:highlight w:val="none"/>
          <w:lang w:val="en-US" w:eastAsia="zh-CN"/>
        </w:rPr>
        <w:t>持续推动各县（市、区）开展教师岗位内部不同等级晋升。引导民办学校合理提高教师工资待遇。统筹规范社会事务进校园，减轻中小学教师非教育教学负担。</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7</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新时代教师培养计划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spacing w:val="0"/>
                <w:w w:val="100"/>
                <w:kern w:val="0"/>
                <w:sz w:val="32"/>
                <w:szCs w:val="32"/>
                <w:lang w:val="en-US" w:eastAsia="zh-CN" w:bidi="ar-SA"/>
              </w:rPr>
              <w:t>实施“新强师工程”，每年完成约10万名的教师培训任务，充分利用东莞市、华南师范大学、韩山师范学院等校地资源培养培训我市骨干校长、教师、教研员，组织骨干教师参加国培、省培等项目。到2030年，我市正高级教师数量在100名以上，培育100名市级及以上教育教学领军人才，300名市级名书记、名校长、名教师、名班主任，500名学科带头人，3000名骨干教师。</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十</w:t>
      </w: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坚持</w:t>
      </w:r>
      <w:r>
        <w:rPr>
          <w:rFonts w:hint="eastAsia" w:ascii="楷体_GB2312" w:hAnsi="楷体_GB2312" w:eastAsia="楷体_GB2312" w:cs="楷体_GB2312"/>
          <w:highlight w:val="none"/>
        </w:rPr>
        <w:t>教学</w:t>
      </w:r>
      <w:r>
        <w:rPr>
          <w:rFonts w:hint="eastAsia" w:ascii="楷体_GB2312" w:hAnsi="楷体_GB2312" w:eastAsia="楷体_GB2312" w:cs="楷体_GB2312"/>
          <w:highlight w:val="none"/>
          <w:lang w:val="en-US" w:eastAsia="zh-CN"/>
        </w:rPr>
        <w:t>改革</w:t>
      </w: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全面提升教学质量</w:t>
      </w:r>
    </w:p>
    <w:p>
      <w:pPr>
        <w:pStyle w:val="11"/>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eastAsia="仿宋_GB2312" w:cs="仿宋_GB2312"/>
          <w:b w:val="0"/>
          <w:bCs w:val="0"/>
          <w:color w:val="auto"/>
          <w:kern w:val="21"/>
          <w:sz w:val="32"/>
          <w:szCs w:val="32"/>
          <w:highlight w:val="none"/>
          <w:lang w:val="en-US" w:eastAsia="zh-CN" w:bidi="ar-SA"/>
        </w:rPr>
      </w:pPr>
      <w:r>
        <w:rPr>
          <w:rFonts w:hint="eastAsia" w:ascii="仿宋_GB2312" w:hAnsi="仿宋_GB2312" w:eastAsia="仿宋_GB2312" w:cs="仿宋_GB2312"/>
          <w:b/>
          <w:bCs/>
          <w:kern w:val="21"/>
          <w:sz w:val="32"/>
          <w:szCs w:val="32"/>
          <w:highlight w:val="none"/>
          <w:lang w:val="en-US" w:eastAsia="zh-CN"/>
        </w:rPr>
        <w:t>1.深化课堂教学改革。</w:t>
      </w:r>
      <w:r>
        <w:rPr>
          <w:rFonts w:hint="eastAsia" w:ascii="仿宋_GB2312" w:hAnsi="仿宋_GB2312" w:eastAsia="仿宋_GB2312" w:cs="仿宋_GB2312"/>
          <w:b w:val="0"/>
          <w:bCs w:val="0"/>
          <w:kern w:val="21"/>
          <w:sz w:val="32"/>
          <w:szCs w:val="32"/>
          <w:highlight w:val="none"/>
          <w:lang w:val="en-US" w:eastAsia="zh-CN"/>
        </w:rPr>
        <w:t>实行“让教学更有效”课堂变革行动，加强课堂教学管理，提高课堂教学实效。鼓励学科教师结合自身特点，对标新课程标准，打造各学科精品课，提升新课程改革品质和实效。做实校本教研，注重“课程设计—教学实施—评估改进”的全过程全链条评价。开展联片教研，拓展校本教研形式，推动教育教研均衡、协调、可持续发展，实现区域联动、校际互动、资源共享、优势互补、双赢共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推进学校课程建设。</w:t>
      </w:r>
      <w:r>
        <w:rPr>
          <w:rFonts w:hint="eastAsia" w:ascii="仿宋_GB2312" w:hAnsi="仿宋_GB2312" w:eastAsia="仿宋_GB2312" w:cs="仿宋_GB2312"/>
          <w:color w:val="auto"/>
          <w:sz w:val="32"/>
          <w:szCs w:val="32"/>
          <w:highlight w:val="none"/>
          <w:lang w:val="en-US" w:eastAsia="zh-CN"/>
        </w:rPr>
        <w:t>深入实施基础教育课程教学改革深化行动。完善学前教育课程资源体系，全面提升保育教育质量。严格落实义务教育课程方案和课程标准。加强青少年科技教育，常态化开设人工智能课程，强化科技教育和人文教育协同，加强青少年科学素养、批判性思维和创新能力培养。鼓励学校深入挖掘当地乡土文化内涵，探索乡土特色教育教学模式，开发特色校本课程，培育学生核心素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highlight w:val="none"/>
        </w:rPr>
      </w:pP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加强教育科学研究</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kern w:val="21"/>
          <w:sz w:val="32"/>
          <w:szCs w:val="32"/>
          <w:highlight w:val="none"/>
          <w:lang w:val="en-US" w:eastAsia="zh-CN" w:bidi="ar-SA"/>
        </w:rPr>
        <w:t>加强教科研成果与教学实践的深度融合。加强课题管理，以课题研究引领课堂教学改革，解决教学实际问题，加强对研究过程和成果推广应用的指导，增强课题研究的针对性和实效性。加大课题成果运用，遴选优秀省、市级课题进行试点推广，发挥课题成果辐射作用</w:t>
      </w:r>
      <w:r>
        <w:rPr>
          <w:rFonts w:ascii="仿宋_GB2312" w:hAnsi="仿宋_GB2312" w:eastAsia="仿宋_GB2312" w:cs="仿宋_GB2312"/>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lang w:val="en-US"/>
        </w:rPr>
        <w:t>4.</w:t>
      </w:r>
      <w:r>
        <w:rPr>
          <w:rFonts w:hint="eastAsia" w:ascii="仿宋_GB2312" w:hAnsi="仿宋_GB2312" w:eastAsia="仿宋_GB2312" w:cs="仿宋_GB2312"/>
          <w:b/>
          <w:bCs/>
          <w:color w:val="auto"/>
          <w:highlight w:val="none"/>
        </w:rPr>
        <w:t>完善教研机制。</w:t>
      </w:r>
      <w:r>
        <w:rPr>
          <w:rFonts w:hint="eastAsia" w:ascii="仿宋_GB2312" w:hAnsi="仿宋_GB2312" w:eastAsia="仿宋_GB2312" w:cs="仿宋_GB2312"/>
          <w:b w:val="0"/>
          <w:bCs w:val="0"/>
          <w:color w:val="auto"/>
          <w:highlight w:val="none"/>
        </w:rPr>
        <w:t>创新教研工作方式，聚焦</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五育</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并举，开展协同教研。健全完善市、区、镇、校、名师工作室五级教研联动机制，以教研员队伍为主体，建设</w:t>
      </w:r>
      <w:r>
        <w:rPr>
          <w:rFonts w:hint="eastAsia" w:ascii="仿宋_GB2312" w:hAnsi="仿宋_GB2312" w:eastAsia="仿宋_GB2312" w:cs="仿宋_GB2312"/>
          <w:b w:val="0"/>
          <w:bCs w:val="0"/>
          <w:color w:val="auto"/>
          <w:highlight w:val="none"/>
          <w:lang w:eastAsia="zh-CN"/>
        </w:rPr>
        <w:t>“一体四翼”</w:t>
      </w:r>
      <w:r>
        <w:rPr>
          <w:rFonts w:hint="eastAsia" w:ascii="仿宋_GB2312" w:hAnsi="仿宋_GB2312" w:eastAsia="仿宋_GB2312" w:cs="仿宋_GB2312"/>
          <w:b w:val="0"/>
          <w:bCs w:val="0"/>
          <w:color w:val="auto"/>
          <w:highlight w:val="none"/>
        </w:rPr>
        <w:t>教研队伍，形成立体化、多维度的教研网络。创设</w:t>
      </w:r>
      <w:r>
        <w:rPr>
          <w:rFonts w:hint="eastAsia" w:ascii="仿宋_GB2312" w:hAnsi="仿宋_GB2312" w:eastAsia="仿宋_GB2312" w:cs="仿宋_GB2312"/>
          <w:b w:val="0"/>
          <w:bCs w:val="0"/>
          <w:color w:val="auto"/>
          <w:highlight w:val="none"/>
          <w:lang w:eastAsia="zh-CN"/>
        </w:rPr>
        <w:t>“学科教研员—学科教研基地—辐射学校”</w:t>
      </w:r>
      <w:r>
        <w:rPr>
          <w:rFonts w:hint="eastAsia" w:ascii="仿宋_GB2312" w:hAnsi="仿宋_GB2312" w:eastAsia="仿宋_GB2312" w:cs="仿宋_GB2312"/>
          <w:b w:val="0"/>
          <w:bCs w:val="0"/>
          <w:color w:val="auto"/>
          <w:highlight w:val="none"/>
        </w:rPr>
        <w:t>三级互动式学科教研机制，聚焦</w:t>
      </w:r>
      <w:r>
        <w:rPr>
          <w:rFonts w:hint="eastAsia" w:ascii="仿宋_GB2312" w:hAnsi="仿宋_GB2312" w:eastAsia="仿宋_GB2312" w:cs="仿宋_GB2312"/>
          <w:b w:val="0"/>
          <w:bCs w:val="0"/>
          <w:color w:val="auto"/>
          <w:highlight w:val="none"/>
          <w:lang w:eastAsia="zh-CN"/>
        </w:rPr>
        <w:t>“学科育人”</w:t>
      </w:r>
      <w:r>
        <w:rPr>
          <w:rFonts w:hint="eastAsia" w:ascii="仿宋_GB2312" w:hAnsi="仿宋_GB2312" w:eastAsia="仿宋_GB2312" w:cs="仿宋_GB2312"/>
          <w:b w:val="0"/>
          <w:bCs w:val="0"/>
          <w:color w:val="auto"/>
          <w:highlight w:val="none"/>
        </w:rPr>
        <w:t>核心目标，为学校和教师提供专业服务和指导，提升教研员服务课程教学改革的能力。以教研基地、名师讲堂、</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千人万场</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送教下乡活动为抓手，建设具有揭阳特色的高质量教研体系。</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8</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教学质量提升计划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vertAlign w:val="baseline"/>
              </w:rPr>
            </w:pPr>
            <w:r>
              <w:rPr>
                <w:rFonts w:hint="eastAsia" w:ascii="仿宋_GB2312" w:hAnsi="仿宋_GB2312" w:eastAsia="仿宋_GB2312" w:cs="仿宋_GB2312"/>
                <w:spacing w:val="0"/>
                <w:w w:val="100"/>
                <w:kern w:val="0"/>
                <w:sz w:val="32"/>
                <w:szCs w:val="32"/>
                <w:lang w:val="en-US" w:eastAsia="zh-CN" w:bidi="ar-SA"/>
              </w:rPr>
              <w:t>深化市本级教研力量，构建市、县、镇、校四级教学教研贯通协同体系，打造“教科研学训”五位一体平台，到</w:t>
            </w:r>
            <w:r>
              <w:rPr>
                <w:rFonts w:hint="default" w:ascii="仿宋_GB2312" w:hAnsi="仿宋_GB2312" w:eastAsia="仿宋_GB2312" w:cs="仿宋_GB2312"/>
                <w:spacing w:val="0"/>
                <w:w w:val="100"/>
                <w:kern w:val="0"/>
                <w:sz w:val="32"/>
                <w:szCs w:val="32"/>
                <w:lang w:val="en-US" w:eastAsia="zh-CN" w:bidi="ar-SA"/>
              </w:rPr>
              <w:t>2030</w:t>
            </w:r>
            <w:r>
              <w:rPr>
                <w:rFonts w:hint="eastAsia" w:ascii="仿宋_GB2312" w:hAnsi="仿宋_GB2312" w:eastAsia="仿宋_GB2312" w:cs="仿宋_GB2312"/>
                <w:spacing w:val="0"/>
                <w:w w:val="100"/>
                <w:kern w:val="0"/>
                <w:sz w:val="32"/>
                <w:szCs w:val="32"/>
                <w:lang w:val="en-US" w:eastAsia="zh-CN" w:bidi="ar-SA"/>
              </w:rPr>
              <w:t>年，完成</w:t>
            </w:r>
            <w:r>
              <w:rPr>
                <w:rFonts w:hint="default" w:ascii="仿宋_GB2312" w:hAnsi="仿宋_GB2312" w:eastAsia="仿宋_GB2312" w:cs="仿宋_GB2312"/>
                <w:spacing w:val="0"/>
                <w:w w:val="100"/>
                <w:kern w:val="0"/>
                <w:sz w:val="32"/>
                <w:szCs w:val="32"/>
                <w:lang w:val="en-US" w:eastAsia="zh-CN" w:bidi="ar-SA"/>
              </w:rPr>
              <w:t>28</w:t>
            </w:r>
            <w:r>
              <w:rPr>
                <w:rFonts w:hint="eastAsia" w:ascii="仿宋_GB2312" w:hAnsi="仿宋_GB2312" w:eastAsia="仿宋_GB2312" w:cs="仿宋_GB2312"/>
                <w:spacing w:val="0"/>
                <w:w w:val="100"/>
                <w:kern w:val="0"/>
                <w:sz w:val="32"/>
                <w:szCs w:val="32"/>
                <w:lang w:val="en-US" w:eastAsia="zh-CN" w:bidi="ar-SA"/>
              </w:rPr>
              <w:t>个市级基础教育教研体系学科教研项目建设。</w:t>
            </w:r>
          </w:p>
        </w:tc>
      </w:tr>
    </w:tbl>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楷体_GB2312" w:hAnsi="楷体_GB2312" w:eastAsia="楷体_GB2312" w:cs="楷体_GB231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楷体_GB2312" w:hAnsi="楷体_GB2312" w:eastAsia="楷体_GB2312" w:cs="楷体_GB2312"/>
          <w:highlight w:val="none"/>
          <w:lang w:eastAsia="zh-CN"/>
        </w:rPr>
      </w:pP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十一</w:t>
      </w: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坚持数字赋能</w:t>
      </w:r>
      <w:r>
        <w:rPr>
          <w:rFonts w:hint="eastAsia" w:ascii="楷体_GB2312" w:hAnsi="楷体_GB2312" w:eastAsia="楷体_GB2312" w:cs="楷体_GB2312"/>
          <w:highlight w:val="none"/>
        </w:rPr>
        <w:t>，推进构建智慧教育系统</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right="0" w:firstLine="643" w:firstLineChars="200"/>
        <w:textAlignment w:val="auto"/>
        <w:rPr>
          <w:rFonts w:hint="default" w:ascii="仿宋_GB2312" w:hAnsi="仿宋_GB2312" w:eastAsia="仿宋_GB2312" w:cs="仿宋_GB2312"/>
          <w:b/>
          <w:bCs/>
          <w:color w:val="auto"/>
          <w:spacing w:val="0"/>
          <w:w w:val="100"/>
          <w:kern w:val="21"/>
          <w:sz w:val="32"/>
          <w:szCs w:val="32"/>
          <w:highlight w:val="none"/>
          <w:lang w:val="en-US" w:eastAsia="zh-CN" w:bidi="ar-SA"/>
        </w:rPr>
      </w:pPr>
      <w:r>
        <w:rPr>
          <w:rFonts w:hint="eastAsia" w:ascii="仿宋_GB2312" w:hAnsi="仿宋_GB2312" w:eastAsia="仿宋_GB2312" w:cs="仿宋_GB2312"/>
          <w:b/>
          <w:bCs/>
          <w:color w:val="auto"/>
          <w:spacing w:val="0"/>
          <w:w w:val="100"/>
          <w:kern w:val="21"/>
          <w:sz w:val="32"/>
          <w:szCs w:val="32"/>
          <w:highlight w:val="none"/>
          <w:lang w:val="en-US" w:eastAsia="zh-CN" w:bidi="ar-SA"/>
        </w:rPr>
        <w:t>1.夯实教育数字化基础底座。</w:t>
      </w:r>
      <w:r>
        <w:rPr>
          <w:rFonts w:hint="eastAsia" w:ascii="仿宋_GB2312" w:hAnsi="仿宋_GB2312" w:eastAsia="仿宋_GB2312" w:cs="仿宋_GB2312"/>
          <w:b w:val="0"/>
          <w:bCs w:val="0"/>
          <w:color w:val="auto"/>
          <w:spacing w:val="0"/>
          <w:w w:val="100"/>
          <w:kern w:val="21"/>
          <w:sz w:val="32"/>
          <w:szCs w:val="32"/>
          <w:highlight w:val="none"/>
          <w:lang w:val="en-US" w:eastAsia="zh-CN" w:bidi="ar-SA"/>
        </w:rPr>
        <w:t>推进教育数字化基础设施提质升级，优化升级教育专网、校园网。加快智慧教学空间、智能终端配套建设，推动实验室数字化迭代。衔接省级大数据中心，完善市-县-校三级数据服务体系，落地教育行业 “一网统管”，提升教育治理、决策与监测预警的智能化水平。打造 “1+1+6” 智慧教育新生态，打造1个人工智能试点应用实验区、6 所智慧教育项目校，探索数字技术赋能因材施教路径。</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right="0" w:firstLine="643" w:firstLineChars="200"/>
        <w:textAlignment w:val="auto"/>
        <w:rPr>
          <w:rFonts w:hint="eastAsia" w:ascii="仿宋_GB2312" w:hAnsi="仿宋_GB2312" w:eastAsia="仿宋_GB2312" w:cs="仿宋_GB2312"/>
          <w:b w:val="0"/>
          <w:bCs w:val="0"/>
          <w:color w:val="auto"/>
          <w:spacing w:val="0"/>
          <w:w w:val="100"/>
          <w:kern w:val="21"/>
          <w:sz w:val="32"/>
          <w:szCs w:val="32"/>
          <w:highlight w:val="none"/>
          <w:lang w:val="en-US" w:eastAsia="zh-CN" w:bidi="ar-SA"/>
        </w:rPr>
      </w:pPr>
      <w:r>
        <w:rPr>
          <w:rFonts w:hint="eastAsia" w:ascii="仿宋_GB2312" w:hAnsi="仿宋_GB2312" w:eastAsia="仿宋_GB2312" w:cs="仿宋_GB2312"/>
          <w:b/>
          <w:bCs/>
          <w:color w:val="auto"/>
          <w:spacing w:val="0"/>
          <w:w w:val="100"/>
          <w:kern w:val="21"/>
          <w:sz w:val="32"/>
          <w:szCs w:val="32"/>
          <w:highlight w:val="none"/>
          <w:lang w:val="en-US" w:eastAsia="zh-CN" w:bidi="ar-SA"/>
        </w:rPr>
        <w:t>2.深化国家智慧教育平台应用。</w:t>
      </w:r>
      <w:r>
        <w:rPr>
          <w:rFonts w:hint="eastAsia" w:ascii="仿宋_GB2312" w:hAnsi="仿宋_GB2312" w:eastAsia="仿宋_GB2312" w:cs="仿宋_GB2312"/>
          <w:b w:val="0"/>
          <w:bCs w:val="0"/>
          <w:color w:val="auto"/>
          <w:spacing w:val="0"/>
          <w:w w:val="100"/>
          <w:kern w:val="21"/>
          <w:sz w:val="32"/>
          <w:szCs w:val="32"/>
          <w:highlight w:val="none"/>
          <w:lang w:val="en-US" w:eastAsia="zh-CN" w:bidi="ar-SA"/>
        </w:rPr>
        <w:t>坚持应用导向，全面深化国家平台、省级平台常态化应用，拓展备课授课、课后服务、家校共育等应用场景。统筹建设本地化特色数字教育资源库，健全数字教育资源共建共享机制，推动优质数字资源向乡村学校倾斜，持续缩小城乡数字鸿沟。加快提升教师数字素养，分层分类开展平台应用培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right="0" w:firstLine="643" w:firstLineChars="200"/>
        <w:textAlignment w:val="auto"/>
        <w:rPr>
          <w:rFonts w:hint="eastAsia" w:ascii="仿宋_GB2312" w:hAnsi="仿宋_GB2312" w:eastAsia="仿宋_GB2312" w:cs="仿宋_GB2312"/>
          <w:b w:val="0"/>
          <w:bCs w:val="0"/>
          <w:color w:val="auto"/>
          <w:spacing w:val="0"/>
          <w:w w:val="100"/>
          <w:kern w:val="21"/>
          <w:sz w:val="32"/>
          <w:szCs w:val="32"/>
          <w:highlight w:val="none"/>
          <w:lang w:val="en-US" w:eastAsia="zh-CN" w:bidi="ar-SA"/>
        </w:rPr>
      </w:pPr>
      <w:r>
        <w:rPr>
          <w:rFonts w:hint="eastAsia" w:ascii="仿宋_GB2312" w:hAnsi="仿宋_GB2312" w:eastAsia="仿宋_GB2312" w:cs="仿宋_GB2312"/>
          <w:b/>
          <w:bCs/>
          <w:color w:val="auto"/>
          <w:spacing w:val="0"/>
          <w:w w:val="100"/>
          <w:kern w:val="21"/>
          <w:sz w:val="32"/>
          <w:szCs w:val="32"/>
          <w:highlight w:val="none"/>
          <w:lang w:val="en-US" w:eastAsia="zh-CN" w:bidi="ar-SA"/>
        </w:rPr>
        <w:t>3.促进人工智能赋能教育。</w:t>
      </w:r>
      <w:r>
        <w:rPr>
          <w:rFonts w:hint="eastAsia" w:ascii="仿宋_GB2312" w:hAnsi="仿宋_GB2312" w:eastAsia="仿宋_GB2312" w:cs="仿宋_GB2312"/>
          <w:b w:val="0"/>
          <w:bCs w:val="0"/>
          <w:color w:val="auto"/>
          <w:spacing w:val="0"/>
          <w:w w:val="100"/>
          <w:kern w:val="21"/>
          <w:sz w:val="32"/>
          <w:szCs w:val="32"/>
          <w:highlight w:val="none"/>
          <w:lang w:val="en-US" w:eastAsia="zh-CN" w:bidi="ar-SA"/>
        </w:rPr>
        <w:t>全学段开设人工智能通识课程，实现中小学AI教育全覆盖。实施教师及管理干部智能素养提升计划，结合“百千万工程”教育行动、教育纵向帮扶、“1+N”数字化教学实践共同体等工作开展全学段教师及管理干部分层分类培训。人工智能赋能教育教学实现全场景覆盖，形成一批人工智能与教育融合创新发展的典型案例。</w:t>
      </w:r>
    </w:p>
    <w:p>
      <w:pPr>
        <w:ind w:firstLine="643" w:firstLineChars="200"/>
        <w:rPr>
          <w:rFonts w:hint="eastAsia" w:ascii="仿宋_GB2312" w:hAnsi="仿宋_GB2312" w:eastAsia="仿宋_GB2312" w:cs="仿宋_GB2312"/>
          <w:b w:val="0"/>
          <w:bCs w:val="0"/>
          <w:color w:val="auto"/>
          <w:spacing w:val="0"/>
          <w:w w:val="100"/>
          <w:kern w:val="21"/>
          <w:sz w:val="32"/>
          <w:szCs w:val="32"/>
          <w:highlight w:val="none"/>
          <w:lang w:val="en-US" w:eastAsia="zh-CN" w:bidi="ar-SA"/>
        </w:rPr>
      </w:pPr>
      <w:r>
        <w:rPr>
          <w:rFonts w:hint="eastAsia" w:ascii="仿宋_GB2312" w:hAnsi="仿宋_GB2312" w:eastAsia="仿宋_GB2312" w:cs="仿宋_GB2312"/>
          <w:b/>
          <w:bCs/>
          <w:color w:val="auto"/>
          <w:spacing w:val="0"/>
          <w:w w:val="100"/>
          <w:kern w:val="21"/>
          <w:sz w:val="32"/>
          <w:szCs w:val="32"/>
          <w:highlight w:val="none"/>
          <w:lang w:val="en-US" w:eastAsia="zh-CN" w:bidi="ar-SA"/>
        </w:rPr>
        <w:t>4.筑牢教育系统网络安全防火墙。</w:t>
      </w:r>
      <w:r>
        <w:rPr>
          <w:rFonts w:hint="eastAsia" w:ascii="仿宋_GB2312" w:hAnsi="仿宋_GB2312" w:eastAsia="仿宋_GB2312" w:cs="仿宋_GB2312"/>
          <w:b w:val="0"/>
          <w:bCs w:val="0"/>
          <w:color w:val="auto"/>
          <w:spacing w:val="0"/>
          <w:w w:val="100"/>
          <w:kern w:val="21"/>
          <w:sz w:val="32"/>
          <w:szCs w:val="32"/>
          <w:highlight w:val="none"/>
          <w:lang w:val="en-US" w:eastAsia="zh-CN" w:bidi="ar-SA"/>
        </w:rPr>
        <w:t>压实网络安全工作责任制，落实网络安全等级保护要求，构建数据全生命周期安全防护体系。严格执行资源“三审三校”制度，强化校园网络内容、师生个人信息保护，防范算法风险、网络攻击等隐患。常态化开展网络安全宣传教育与应急演练，建强专业运维队伍，培育清朗网络空间，全面守护教育数字化安全底线。</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重大项目</w:t>
            </w:r>
            <w:r>
              <w:rPr>
                <w:rFonts w:hint="default" w:ascii="仿宋_GB2312" w:hAnsi="仿宋_GB2312" w:eastAsia="仿宋_GB2312" w:cs="仿宋_GB2312"/>
                <w:b/>
                <w:bCs/>
                <w:lang w:val="en-US" w:eastAsia="zh-CN"/>
              </w:rPr>
              <w:t>9</w:t>
            </w:r>
            <w:r>
              <w:rPr>
                <w:rFonts w:hint="eastAsia" w:ascii="仿宋_GB2312" w:hAnsi="仿宋_GB2312" w:eastAsia="仿宋_GB2312" w:cs="仿宋_GB2312"/>
                <w:b/>
                <w:bCs/>
                <w:lang w:val="en-US" w:eastAsia="zh-CN"/>
              </w:rPr>
              <w:t>：</w:t>
            </w:r>
            <w:r>
              <w:rPr>
                <w:rFonts w:hint="eastAsia" w:ascii="仿宋_GB2312" w:hAnsi="仿宋_GB2312" w:eastAsia="仿宋_GB2312" w:cs="仿宋_GB2312"/>
                <w:lang w:val="en-US" w:eastAsia="zh-CN"/>
              </w:rPr>
              <w:t>人工智能赋能教育计划</w:t>
            </w:r>
          </w:p>
          <w:p>
            <w:pPr>
              <w:ind w:firstLine="640" w:firstLineChars="200"/>
              <w:rPr>
                <w:rFonts w:hint="eastAsia" w:ascii="楷体_GB2312" w:hAnsi="楷体_GB2312" w:eastAsia="楷体_GB2312" w:cs="楷体_GB2312"/>
                <w:sz w:val="32"/>
                <w:szCs w:val="32"/>
                <w:vertAlign w:val="baseline"/>
                <w:lang w:eastAsia="zh-CN"/>
              </w:rPr>
            </w:pPr>
            <w:r>
              <w:rPr>
                <w:rFonts w:hint="eastAsia" w:ascii="仿宋_GB2312" w:hAnsi="仿宋_GB2312" w:eastAsia="仿宋_GB2312" w:cs="仿宋_GB2312"/>
                <w:spacing w:val="0"/>
                <w:w w:val="100"/>
                <w:kern w:val="0"/>
                <w:sz w:val="32"/>
                <w:szCs w:val="32"/>
                <w:lang w:val="en-US" w:eastAsia="zh-CN" w:bidi="ar-SA"/>
              </w:rPr>
              <w:t>探索人工智能赋能教育教学全场景覆盖，构建“1+1+6”智慧教育新生态，锚定全市智慧教育提档升级1个目标，打造1个人工智能试点应用实验区和6个智慧教育项目校，形成一批人工智能与教育融合创新发展的典型案例。</w:t>
            </w:r>
          </w:p>
        </w:tc>
      </w:tr>
    </w:tbl>
    <w:p>
      <w:pPr>
        <w:ind w:firstLine="640" w:firstLineChars="200"/>
        <w:rPr>
          <w:rFonts w:hint="eastAsia" w:ascii="楷体_GB2312" w:hAnsi="楷体_GB2312" w:eastAsia="楷体_GB2312" w:cs="楷体_GB2312"/>
          <w:sz w:val="32"/>
          <w:szCs w:val="32"/>
          <w:lang w:eastAsia="zh-CN"/>
        </w:rPr>
      </w:pPr>
    </w:p>
    <w:p>
      <w:pPr>
        <w:ind w:firstLine="640" w:firstLineChars="200"/>
        <w:rPr>
          <w:rFonts w:hint="eastAsia" w:ascii="黑体" w:hAnsi="黑体" w:eastAsia="黑体" w:cs="黑体"/>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坚持</w:t>
      </w:r>
      <w:r>
        <w:rPr>
          <w:rFonts w:hint="eastAsia" w:ascii="楷体_GB2312" w:hAnsi="楷体_GB2312" w:eastAsia="楷体_GB2312" w:cs="楷体_GB2312"/>
          <w:sz w:val="32"/>
          <w:szCs w:val="32"/>
        </w:rPr>
        <w:t>更高水平安全</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筑牢校园平安根基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rPr>
      </w:pPr>
      <w:r>
        <w:rPr>
          <w:rFonts w:hint="default" w:ascii="仿宋_GB2312" w:hAnsi="仿宋_GB2312" w:eastAsia="仿宋_GB2312" w:cs="仿宋_GB2312"/>
          <w:b/>
          <w:bCs/>
          <w:sz w:val="32"/>
          <w:szCs w:val="32"/>
          <w:lang w:val="en-US"/>
        </w:rPr>
        <w:t>1.筑牢全域校园安全防线。</w:t>
      </w:r>
      <w:r>
        <w:rPr>
          <w:rFonts w:hint="default" w:ascii="仿宋_GB2312" w:hAnsi="仿宋_GB2312" w:eastAsia="仿宋_GB2312" w:cs="仿宋_GB2312"/>
          <w:sz w:val="32"/>
          <w:szCs w:val="32"/>
          <w:lang w:val="en-US"/>
        </w:rPr>
        <w:t>坚守意识形态安全首位责任，压实工作责任制，强化校园意识形态阵地管控，常态化开展国家安全教育，培育安全教育骨干教师，筑牢师生思想安全屏障。深入推进“护校安园”专项行动，聚焦校园重点领域，常态化开展食品安全、消防安全、校车安全、实验室安全、防溺水、防欺凌等专项教育与隐患排查整治。规范校园网络、数据管理，强化学生个人信息保护，防范网络安全风险，推进规范化校园安全管理阵地建设，全方位守牢校园安全底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rPr>
      </w:pPr>
      <w:r>
        <w:rPr>
          <w:rFonts w:hint="default" w:ascii="仿宋_GB2312" w:hAnsi="仿宋_GB2312" w:eastAsia="仿宋_GB2312" w:cs="仿宋_GB2312"/>
          <w:b/>
          <w:bCs/>
          <w:sz w:val="32"/>
          <w:szCs w:val="32"/>
          <w:lang w:val="en-US"/>
        </w:rPr>
        <w:t>2.健全长效风险防控处置机制。</w:t>
      </w:r>
      <w:r>
        <w:rPr>
          <w:rFonts w:hint="default" w:ascii="仿宋_GB2312" w:hAnsi="仿宋_GB2312" w:eastAsia="仿宋_GB2312" w:cs="仿宋_GB2312"/>
          <w:sz w:val="32"/>
          <w:szCs w:val="32"/>
          <w:lang w:val="en-US"/>
        </w:rPr>
        <w:t>搭建校园安全风险监测预警体系，依托人工智能赋能校园安保，打造全覆盖智能化安防体系，深化更高水平平安校园建设。完善各类校园突发事件应急预案，健全跨部门协同联动、涉校矛盾纠纷多元化解机制，落实安全风险社会化分担机制。常态化开展校园安全专项整治和应急演练，配齐应急物资、建强骨干队伍、强化专项培训，全面提升校园风险防控、应急响应和处置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highlight w:val="none"/>
        </w:rPr>
      </w:pP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十三</w:t>
      </w:r>
      <w:r>
        <w:rPr>
          <w:rFonts w:hint="eastAsia" w:ascii="楷体_GB2312" w:hAnsi="楷体_GB2312" w:eastAsia="楷体_GB2312" w:cs="楷体_GB2312"/>
          <w:highlight w:val="none"/>
          <w:lang w:eastAsia="zh-CN"/>
        </w:rPr>
        <w:t>）</w:t>
      </w:r>
      <w:r>
        <w:rPr>
          <w:rFonts w:hint="eastAsia" w:ascii="楷体_GB2312" w:hAnsi="楷体_GB2312" w:eastAsia="楷体_GB2312" w:cs="楷体_GB2312"/>
          <w:highlight w:val="none"/>
          <w:lang w:val="en-US" w:eastAsia="zh-CN"/>
        </w:rPr>
        <w:t>坚持深化改革，</w:t>
      </w:r>
      <w:r>
        <w:rPr>
          <w:rFonts w:hint="eastAsia" w:ascii="楷体_GB2312" w:hAnsi="楷体_GB2312" w:eastAsia="楷体_GB2312" w:cs="楷体_GB2312"/>
          <w:highlight w:val="none"/>
        </w:rPr>
        <w:t>加快推进教育治理现代化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val="en-US"/>
        </w:rPr>
      </w:pPr>
      <w:r>
        <w:rPr>
          <w:rFonts w:hint="eastAsia" w:ascii="仿宋_GB2312" w:hAnsi="仿宋_GB2312" w:eastAsia="仿宋_GB2312" w:cs="仿宋_GB2312"/>
          <w:b/>
          <w:bCs/>
          <w:highlight w:val="none"/>
          <w:lang w:val="en-US"/>
        </w:rPr>
        <w:t>1.引导规范民办教育发展。</w:t>
      </w:r>
      <w:r>
        <w:rPr>
          <w:rFonts w:hint="eastAsia" w:ascii="仿宋_GB2312" w:hAnsi="仿宋_GB2312" w:eastAsia="仿宋_GB2312" w:cs="仿宋_GB2312"/>
          <w:b w:val="0"/>
          <w:bCs w:val="0"/>
          <w:highlight w:val="none"/>
          <w:lang w:val="en-US"/>
        </w:rPr>
        <w:t>依法支持和规范社会力量举办民办教育，保障民办学校依法办学、自主管理，鼓励、引导民办学校提高质量、办出特色，满足多样化教育需求。加强民办学校党的建设，推进民办学校党组织按规定参与学校重大决策并实施监督，实施党组织班子与民办学校决策层、管理层“双向进入、交叉任职”。提升民办学校治理水平，参照同级同类公办学校优化市、县审批和管理机制，推进民办学校分类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rPr>
      </w:pPr>
      <w:r>
        <w:rPr>
          <w:rFonts w:hint="default" w:ascii="仿宋_GB2312" w:hAnsi="仿宋_GB2312" w:eastAsia="仿宋_GB2312" w:cs="仿宋_GB2312"/>
          <w:b/>
          <w:bCs/>
          <w:highlight w:val="none"/>
          <w:lang w:val="en-US"/>
        </w:rPr>
        <w:t>2</w:t>
      </w:r>
      <w:r>
        <w:rPr>
          <w:rFonts w:hint="eastAsia" w:ascii="仿宋_GB2312" w:hAnsi="仿宋_GB2312" w:eastAsia="仿宋_GB2312" w:cs="仿宋_GB2312"/>
          <w:b/>
          <w:bCs/>
          <w:highlight w:val="none"/>
          <w:lang w:val="en-US"/>
        </w:rPr>
        <w:t>.</w:t>
      </w:r>
      <w:r>
        <w:rPr>
          <w:rFonts w:hint="eastAsia" w:ascii="仿宋_GB2312" w:hAnsi="仿宋_GB2312" w:eastAsia="仿宋_GB2312" w:cs="仿宋_GB2312"/>
          <w:b/>
          <w:bCs/>
          <w:highlight w:val="none"/>
        </w:rPr>
        <w:t>完善教育治理体系。</w:t>
      </w:r>
      <w:r>
        <w:rPr>
          <w:rFonts w:hint="eastAsia" w:ascii="仿宋_GB2312" w:hAnsi="仿宋_GB2312" w:eastAsia="仿宋_GB2312" w:cs="仿宋_GB2312"/>
          <w:b w:val="0"/>
          <w:bCs w:val="0"/>
          <w:highlight w:val="none"/>
        </w:rPr>
        <w:t>加快构建政府、学校、社会之间权责清晰、规范高效、开放包容的教育治理新格局。 全面保障学校办学自主权，完善内部治理结构和民主管理机制，推动中小学普遍建立依法办学、自主管理、民主监督、社会参与的现代学校制度。统筹深化“双减”工作与教育教学提质增效，持续巩固校外培训治理成效。坚决破除“五唯”顽瘴痼疾，构建科学多元、导向鲜明的学生综合素质评价、教师发展性评价和学校办学质量评价体系，形成富有时代特征、彰显本市特色的教育评价范式。加强教育舆情监测与引导，营造全社会关心支持教育的良好生态，提升教育治理的公共性和开放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highlight w:val="none"/>
          <w:lang w:val="en-US"/>
        </w:rPr>
      </w:pPr>
      <w:r>
        <w:rPr>
          <w:rFonts w:hint="default" w:ascii="仿宋_GB2312" w:hAnsi="仿宋_GB2312" w:eastAsia="仿宋_GB2312" w:cs="仿宋_GB2312"/>
          <w:b/>
          <w:bCs/>
          <w:highlight w:val="none"/>
          <w:lang w:val="en-US"/>
        </w:rPr>
        <w:t>3</w:t>
      </w:r>
      <w:r>
        <w:rPr>
          <w:rFonts w:hint="eastAsia" w:ascii="仿宋_GB2312" w:hAnsi="仿宋_GB2312" w:eastAsia="仿宋_GB2312" w:cs="仿宋_GB2312"/>
          <w:b/>
          <w:bCs/>
          <w:highlight w:val="none"/>
          <w:lang w:val="en-US"/>
        </w:rPr>
        <w:t>.</w:t>
      </w:r>
      <w:r>
        <w:rPr>
          <w:rFonts w:hint="eastAsia" w:ascii="仿宋_GB2312" w:hAnsi="仿宋_GB2312" w:eastAsia="仿宋_GB2312" w:cs="仿宋_GB2312"/>
          <w:b/>
          <w:bCs/>
          <w:highlight w:val="none"/>
        </w:rPr>
        <w:t>创新</w:t>
      </w:r>
      <w:r>
        <w:rPr>
          <w:rFonts w:hint="eastAsia" w:ascii="仿宋_GB2312" w:hAnsi="仿宋_GB2312" w:eastAsia="仿宋_GB2312" w:cs="仿宋_GB2312"/>
          <w:b/>
          <w:bCs/>
          <w:highlight w:val="none"/>
          <w:lang w:val="en-US" w:eastAsia="zh-CN"/>
        </w:rPr>
        <w:t>督导</w:t>
      </w:r>
      <w:r>
        <w:rPr>
          <w:rFonts w:hint="eastAsia" w:ascii="仿宋_GB2312" w:hAnsi="仿宋_GB2312" w:eastAsia="仿宋_GB2312" w:cs="仿宋_GB2312"/>
          <w:b/>
          <w:bCs/>
          <w:highlight w:val="none"/>
        </w:rPr>
        <w:t>评价机制。</w:t>
      </w:r>
      <w:bookmarkStart w:id="2" w:name="OLE_LINK1"/>
      <w:r>
        <w:rPr>
          <w:rFonts w:hint="eastAsia" w:ascii="仿宋_GB2312" w:hAnsi="仿宋_GB2312" w:eastAsia="仿宋_GB2312" w:cs="仿宋_GB2312"/>
          <w:b w:val="0"/>
          <w:bCs w:val="0"/>
          <w:color w:val="auto"/>
          <w:highlight w:val="none"/>
          <w:lang w:val="en-US"/>
        </w:rPr>
        <w:t>健全教育督导运行机制，加强教育督导经费和人员保障，推进督政、督学、评估监测工作。强化督政职能，推动有关部门、地方各级政府、各级各类学校和其他教育机构切实履行教育职责。加强对学校的督导，组织责任督学对学校开展经常性督导，督促规范办学行为。优化评估监测职能，开展义务教育质量监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highlight w:val="none"/>
          <w:lang w:eastAsia="zh-CN"/>
        </w:rPr>
      </w:pPr>
      <w:r>
        <w:rPr>
          <w:rFonts w:hint="default" w:ascii="仿宋_GB2312" w:hAnsi="仿宋_GB2312" w:eastAsia="仿宋_GB2312" w:cs="仿宋_GB2312"/>
          <w:b/>
          <w:bCs/>
          <w:highlight w:val="none"/>
          <w:lang w:val="en-US"/>
        </w:rPr>
        <w:t>4</w:t>
      </w:r>
      <w:r>
        <w:rPr>
          <w:rFonts w:hint="eastAsia" w:ascii="仿宋_GB2312" w:hAnsi="仿宋_GB2312" w:eastAsia="仿宋_GB2312" w:cs="仿宋_GB2312"/>
          <w:b/>
          <w:bCs/>
          <w:highlight w:val="none"/>
          <w:lang w:val="en-US"/>
        </w:rPr>
        <w:t>.</w:t>
      </w:r>
      <w:r>
        <w:rPr>
          <w:rFonts w:hint="eastAsia" w:ascii="仿宋_GB2312" w:hAnsi="仿宋_GB2312" w:eastAsia="仿宋_GB2312" w:cs="仿宋_GB2312"/>
          <w:b/>
          <w:bCs/>
          <w:highlight w:val="none"/>
        </w:rPr>
        <w:t>深化</w:t>
      </w:r>
      <w:r>
        <w:rPr>
          <w:rFonts w:hint="eastAsia" w:ascii="仿宋_GB2312" w:hAnsi="仿宋_GB2312" w:eastAsia="仿宋_GB2312" w:cs="仿宋_GB2312"/>
          <w:b/>
          <w:bCs/>
          <w:highlight w:val="none"/>
          <w:lang w:val="en-US" w:eastAsia="zh-CN"/>
        </w:rPr>
        <w:t>办学机制</w:t>
      </w:r>
      <w:r>
        <w:rPr>
          <w:rFonts w:hint="eastAsia" w:ascii="仿宋_GB2312" w:hAnsi="仿宋_GB2312" w:eastAsia="仿宋_GB2312" w:cs="仿宋_GB2312"/>
          <w:b/>
          <w:bCs/>
          <w:highlight w:val="none"/>
        </w:rPr>
        <w:t>改革。</w:t>
      </w:r>
      <w:r>
        <w:rPr>
          <w:rFonts w:hint="eastAsia" w:ascii="仿宋_GB2312" w:hAnsi="仿宋_GB2312" w:eastAsia="仿宋_GB2312" w:cs="仿宋_GB2312"/>
          <w:b w:val="0"/>
          <w:bCs w:val="0"/>
          <w:highlight w:val="none"/>
        </w:rPr>
        <w:t>坚持规范与活力并重，系统深化办学体制机制改革。全面推进集团化办学模式升级，推动师资、课程、管理优质资源共享互促，打造一批具有示范引领作用的教育集团品牌，显著扩大优质教育资源覆盖面。完善学校内部治理结构，保障中小学在课程实施、教师评聘、经费使用等方面的自主权。</w:t>
      </w:r>
    </w:p>
    <w:bookmarkEnd w:id="2"/>
    <w:p>
      <w:pPr>
        <w:keepNext w:val="0"/>
        <w:keepLines w:val="0"/>
        <w:pageBreakBefore w:val="0"/>
        <w:kinsoku/>
        <w:wordWrap/>
        <w:overflowPunct/>
        <w:topLinePunct w:val="0"/>
        <w:bidi w:val="0"/>
        <w:snapToGrid/>
        <w:spacing w:line="560" w:lineRule="exact"/>
        <w:ind w:firstLine="640" w:firstLineChars="200"/>
        <w:textAlignment w:val="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三、组织实施</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加强党对教育工作的全面领导，健全党委统一领导、党政齐抓共管、部门各负其责的教育领导体制。健全经费保障机制，强化各级教育财政支出责任，确保“两个只增不减”。健全政府主导、多元参与、合力推进、鼓励创新的规划实施机制，加强规划落实情况监测评估，深化规划实施全过程跟踪，及时公布规划实施进展，自觉接受人大监督、审计监督和社会监督。加强宣传和舆论引导，增强规划实施合力。</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各地各部门要支持、重视教育强市建设。要始终坚持教育优先发展，不断加大组织领导、发展规划、资源保障、经费投入等工作力度，汇聚社会各界力量，确保本规划如期实施达成各项目标任务。</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02DC5"/>
    <w:rsid w:val="00016432"/>
    <w:rsid w:val="06D22F13"/>
    <w:rsid w:val="088C6811"/>
    <w:rsid w:val="09853DC4"/>
    <w:rsid w:val="0A6C433A"/>
    <w:rsid w:val="0FB35D0C"/>
    <w:rsid w:val="10E41897"/>
    <w:rsid w:val="15C725E1"/>
    <w:rsid w:val="180F7D0A"/>
    <w:rsid w:val="1919157A"/>
    <w:rsid w:val="1BE551EE"/>
    <w:rsid w:val="1FDC0C03"/>
    <w:rsid w:val="233F7B1A"/>
    <w:rsid w:val="2A840241"/>
    <w:rsid w:val="2AC4668B"/>
    <w:rsid w:val="2B10662E"/>
    <w:rsid w:val="317A423A"/>
    <w:rsid w:val="33170CEC"/>
    <w:rsid w:val="35F66F32"/>
    <w:rsid w:val="379B489C"/>
    <w:rsid w:val="39711D75"/>
    <w:rsid w:val="46D511EF"/>
    <w:rsid w:val="572F2A84"/>
    <w:rsid w:val="57AB0DDF"/>
    <w:rsid w:val="5AF01381"/>
    <w:rsid w:val="5B634689"/>
    <w:rsid w:val="5D300342"/>
    <w:rsid w:val="68C72213"/>
    <w:rsid w:val="6A895DB9"/>
    <w:rsid w:val="7AF22B8E"/>
    <w:rsid w:val="7C231C91"/>
    <w:rsid w:val="7C836F51"/>
    <w:rsid w:val="7EE02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楷体_GB2312"/>
      <w:spacing w:val="0"/>
      <w:w w:val="100"/>
      <w:kern w:val="0"/>
      <w:sz w:val="32"/>
      <w:szCs w:val="3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kern w:val="2"/>
      <w:sz w:val="21"/>
    </w:rPr>
  </w:style>
  <w:style w:type="paragraph" w:styleId="4">
    <w:name w:val="Body Text First Indent"/>
    <w:basedOn w:val="3"/>
    <w:qFormat/>
    <w:uiPriority w:val="99"/>
    <w:pPr>
      <w:ind w:firstLine="420" w:firstLineChars="100"/>
    </w:pPr>
    <w:rPr>
      <w:rFonts w:ascii="Times New Roman" w:hAnsi="Times New Roman" w:eastAsia="宋体" w:cs="Times New Roman"/>
    </w:rPr>
  </w:style>
  <w:style w:type="paragraph" w:styleId="5">
    <w:name w:val="Body Text Indent"/>
    <w:basedOn w:val="1"/>
    <w:unhideWhenUsed/>
    <w:qFormat/>
    <w:uiPriority w:val="99"/>
    <w:pPr>
      <w:ind w:firstLine="660"/>
    </w:pPr>
    <w:rPr>
      <w:rFonts w:ascii="黑体" w:eastAsia="黑体"/>
    </w:rPr>
  </w:style>
  <w:style w:type="paragraph" w:styleId="6">
    <w:name w:val="Plain Text"/>
    <w:next w:val="1"/>
    <w:qFormat/>
    <w:uiPriority w:val="0"/>
    <w:pPr>
      <w:widowControl w:val="0"/>
      <w:jc w:val="both"/>
    </w:pPr>
    <w:rPr>
      <w:rFonts w:ascii="宋体" w:hAnsi="Courier New" w:eastAsia="宋体" w:cs="Times New Roman"/>
      <w:kern w:val="2"/>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unhideWhenUsed/>
    <w:qFormat/>
    <w:uiPriority w:val="0"/>
    <w:pPr>
      <w:snapToGrid w:val="0"/>
      <w:spacing w:beforeLines="0" w:afterLines="0"/>
    </w:pPr>
    <w:rPr>
      <w:rFonts w:hint="default"/>
      <w:sz w:val="18"/>
      <w:szCs w:val="2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5"/>
    <w:unhideWhenUsed/>
    <w:qFormat/>
    <w:uiPriority w:val="99"/>
    <w:pPr>
      <w:spacing w:after="120"/>
      <w:ind w:left="420" w:leftChars="200" w:firstLine="420" w:firstLineChars="200"/>
    </w:pPr>
    <w:rPr>
      <w:rFonts w:ascii="宋体" w:eastAsia="宋体"/>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p0"/>
    <w:basedOn w:val="1"/>
    <w:qFormat/>
    <w:uiPriority w:val="0"/>
    <w:pPr>
      <w:widowControl/>
      <w:spacing w:line="365" w:lineRule="atLeast"/>
      <w:ind w:left="1"/>
      <w:textAlignment w:val="bottom"/>
    </w:pPr>
    <w:rPr>
      <w:rFonts w:eastAsiaTheme="minorEastAsia" w:cstheme="minorBidi"/>
    </w:rPr>
  </w:style>
  <w:style w:type="character" w:customStyle="1" w:styleId="1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揭阳市教育局</Company>
  <Pages>1</Pages>
  <Words>0</Words>
  <Characters>0</Characters>
  <Lines>0</Lines>
  <Paragraphs>0</Paragraphs>
  <TotalTime>39</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2025-05-02T08:38:00Z</dcterms:created>
  <dc:creator>Administrator</dc:creator>
  <cp:lastModifiedBy>Administrator</cp:lastModifiedBy>
  <cp:lastPrinted>2026-08-24T03:46:00Z</cp:lastPrinted>
  <dcterms:modified xsi:type="dcterms:W3CDTF">2026-08-26T01:32:14Z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7F9807C345C74D148CD5F497E3E16721</vt:lpwstr>
  </property>
</Properties>
</file>