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360" w:lineRule="auto"/>
        <w:rPr>
          <w:rFonts w:hint="eastAsia" w:ascii="方正小标宋简体" w:hAnsi="方正小标宋简体" w:eastAsia="方正小标宋简体" w:cs="方正小标宋简体"/>
          <w:sz w:val="28"/>
          <w:szCs w:val="28"/>
          <w:lang w:val="en-US" w:eastAsia="zh-CN"/>
        </w:rPr>
      </w:pPr>
      <w:r>
        <w:rPr>
          <w:rFonts w:hint="eastAsia" w:ascii="方正仿宋_GBK" w:hAnsi="方正仿宋_GBK" w:eastAsia="方正仿宋_GBK" w:cs="方正仿宋_GBK"/>
          <w:kern w:val="2"/>
          <w:sz w:val="32"/>
          <w:szCs w:val="32"/>
          <w:lang w:val="en-US" w:eastAsia="zh-CN" w:bidi="ar-SA"/>
        </w:rPr>
        <w:t>附件2：</w:t>
      </w:r>
    </w:p>
    <w:p>
      <w:pPr>
        <w:pStyle w:val="8"/>
        <w:keepNext w:val="0"/>
        <w:keepLines w:val="0"/>
        <w:pageBreakBefore w:val="0"/>
        <w:widowControl/>
        <w:kinsoku/>
        <w:wordWrap/>
        <w:overflowPunct/>
        <w:topLinePunct w:val="0"/>
        <w:autoSpaceDE/>
        <w:autoSpaceDN/>
        <w:bidi w:val="0"/>
        <w:adjustRightInd/>
        <w:snapToGrid/>
        <w:spacing w:after="313" w:afterLines="100" w:line="360" w:lineRule="auto"/>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评审标准表</w:t>
      </w:r>
    </w:p>
    <w:tbl>
      <w:tblPr>
        <w:tblStyle w:val="5"/>
        <w:tblW w:w="9027" w:type="dxa"/>
        <w:tblInd w:w="-2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561"/>
        <w:gridCol w:w="74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732" w:hRule="atLeast"/>
        </w:trPr>
        <w:tc>
          <w:tcPr>
            <w:tcW w:w="9027" w:type="dxa"/>
            <w:gridSpan w:val="2"/>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b/>
                <w:bCs/>
                <w:sz w:val="28"/>
                <w:szCs w:val="28"/>
              </w:rPr>
              <w:t>评审标准</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100分</w:t>
            </w:r>
            <w:r>
              <w:rPr>
                <w:rFonts w:hint="eastAsia" w:ascii="方正仿宋_GBK" w:hAnsi="方正仿宋_GBK" w:eastAsia="方正仿宋_GBK" w:cs="方正仿宋_GBK"/>
                <w:b/>
                <w:bCs/>
                <w:sz w:val="28"/>
                <w:szCs w:val="28"/>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61" w:type="dxa"/>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承保经验（20.0分）</w:t>
            </w:r>
          </w:p>
        </w:tc>
        <w:tc>
          <w:tcPr>
            <w:tcW w:w="7466" w:type="dxa"/>
          </w:tcPr>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2023至2025年（以签单时间为准），参选机构具有相关科技保险产品的开发与承保经验（包括不限于针对高新技术企业等科技型企业的科技保险），每承保1家企业得1.5分，没承保经验的，不得分。</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注：提供保单复印件/抄件并加盖公章。（保单内容须体现签单日期、销售机构、相关保险内容等关键信息，若无法体现以上关键信息不得分）。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61" w:type="dxa"/>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lang w:val="en-US" w:eastAsia="zh-CN"/>
              </w:rPr>
              <w:t>服务队伍</w:t>
            </w:r>
            <w:r>
              <w:rPr>
                <w:rFonts w:hint="eastAsia" w:ascii="方正仿宋_GBK" w:hAnsi="方正仿宋_GBK" w:eastAsia="方正仿宋_GBK" w:cs="方正仿宋_GBK"/>
                <w:b/>
                <w:bCs/>
                <w:sz w:val="28"/>
                <w:szCs w:val="28"/>
              </w:rPr>
              <w:t>(</w:t>
            </w:r>
            <w:r>
              <w:rPr>
                <w:rFonts w:hint="eastAsia" w:ascii="方正仿宋_GBK" w:hAnsi="方正仿宋_GBK" w:eastAsia="方正仿宋_GBK" w:cs="方正仿宋_GBK"/>
                <w:b/>
                <w:bCs/>
                <w:sz w:val="28"/>
                <w:szCs w:val="28"/>
                <w:lang w:val="en-US" w:eastAsia="zh-CN"/>
              </w:rPr>
              <w:t>20</w:t>
            </w:r>
            <w:r>
              <w:rPr>
                <w:rFonts w:hint="eastAsia" w:ascii="方正仿宋_GBK" w:hAnsi="方正仿宋_GBK" w:eastAsia="方正仿宋_GBK" w:cs="方正仿宋_GBK"/>
                <w:b/>
                <w:bCs/>
                <w:sz w:val="28"/>
                <w:szCs w:val="28"/>
              </w:rPr>
              <w:t>.0分)</w:t>
            </w:r>
          </w:p>
        </w:tc>
        <w:tc>
          <w:tcPr>
            <w:tcW w:w="7466" w:type="dxa"/>
          </w:tcPr>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以参选机构及其分支机构能为本项目服务的人员的数量进行评审，每提供一个人得1分，本项最高得20分。 </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注：参选机构须编制服务人员配备一览表并提供2026年6月本机构及其分支机构为专职保险服务人员缴纳社保的证明材料复印件。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61" w:type="dxa"/>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赔付能力(</w:t>
            </w:r>
            <w:r>
              <w:rPr>
                <w:rFonts w:hint="eastAsia" w:ascii="方正仿宋_GBK" w:hAnsi="方正仿宋_GBK" w:eastAsia="方正仿宋_GBK" w:cs="方正仿宋_GBK"/>
                <w:b/>
                <w:bCs/>
                <w:sz w:val="28"/>
                <w:szCs w:val="28"/>
                <w:lang w:val="en-US" w:eastAsia="zh-CN"/>
              </w:rPr>
              <w:t>20.0</w:t>
            </w:r>
            <w:r>
              <w:rPr>
                <w:rFonts w:hint="eastAsia" w:ascii="方正仿宋_GBK" w:hAnsi="方正仿宋_GBK" w:eastAsia="方正仿宋_GBK" w:cs="方正仿宋_GBK"/>
                <w:b/>
                <w:bCs/>
                <w:sz w:val="28"/>
                <w:szCs w:val="28"/>
              </w:rPr>
              <w:t>分)</w:t>
            </w:r>
          </w:p>
        </w:tc>
        <w:tc>
          <w:tcPr>
            <w:tcW w:w="7466" w:type="dxa"/>
          </w:tcPr>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以参选机构2025年度的核心偿付能力充足率作为评审依据： </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1.核心偿付能力充足率高于200%（含），得20分； </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2.核心偿付能力充足率150%（含）-200%，得15分； </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3.核心偿付能力充足率100%（含）-150%，得10分；  </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4.核心偿付能力充足率不足100%的，得0分。 </w:t>
            </w:r>
          </w:p>
          <w:p>
            <w:pPr>
              <w:pStyle w:val="8"/>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注：需提供经外部审计的2025年度</w:t>
            </w:r>
            <w:bookmarkStart w:id="0" w:name="_GoBack"/>
            <w:bookmarkEnd w:id="0"/>
            <w:r>
              <w:rPr>
                <w:rFonts w:hint="eastAsia" w:ascii="方正仿宋_GBK" w:hAnsi="方正仿宋_GBK" w:eastAsia="方正仿宋_GBK" w:cs="方正仿宋_GBK"/>
                <w:sz w:val="28"/>
                <w:szCs w:val="28"/>
              </w:rPr>
              <w:t>偿付能力报告（含偿付能力充足率相关页面）并加盖参选机构公章，不提供不得分。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61" w:type="dxa"/>
            <w:shd w:val="clear" w:color="auto" w:fill="auto"/>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rPr>
              <w:t>承保服务方案</w:t>
            </w:r>
            <w:r>
              <w:rPr>
                <w:rFonts w:hint="eastAsia" w:ascii="方正仿宋_GBK" w:hAnsi="方正仿宋_GBK" w:eastAsia="方正仿宋_GBK" w:cs="方正仿宋_GBK"/>
                <w:b/>
                <w:bCs/>
                <w:sz w:val="28"/>
                <w:szCs w:val="28"/>
              </w:rPr>
              <w:br w:type="textWrapping"/>
            </w:r>
            <w:r>
              <w:rPr>
                <w:rFonts w:hint="eastAsia" w:ascii="方正仿宋_GBK" w:hAnsi="方正仿宋_GBK" w:eastAsia="方正仿宋_GBK" w:cs="方正仿宋_GBK"/>
                <w:b/>
                <w:bCs/>
                <w:sz w:val="28"/>
                <w:szCs w:val="28"/>
              </w:rPr>
              <w:t>(</w:t>
            </w:r>
            <w:r>
              <w:rPr>
                <w:rFonts w:hint="eastAsia" w:ascii="方正仿宋_GBK" w:hAnsi="方正仿宋_GBK" w:eastAsia="方正仿宋_GBK" w:cs="方正仿宋_GBK"/>
                <w:b/>
                <w:bCs/>
                <w:sz w:val="28"/>
                <w:szCs w:val="28"/>
                <w:lang w:val="en-US" w:eastAsia="zh-CN"/>
              </w:rPr>
              <w:t>20.0</w:t>
            </w:r>
            <w:r>
              <w:rPr>
                <w:rFonts w:hint="eastAsia" w:ascii="方正仿宋_GBK" w:hAnsi="方正仿宋_GBK" w:eastAsia="方正仿宋_GBK" w:cs="方正仿宋_GBK"/>
                <w:b/>
                <w:bCs/>
                <w:sz w:val="28"/>
                <w:szCs w:val="28"/>
              </w:rPr>
              <w:t>分)</w:t>
            </w:r>
          </w:p>
        </w:tc>
        <w:tc>
          <w:tcPr>
            <w:tcW w:w="7466" w:type="dxa"/>
            <w:shd w:val="clear" w:color="auto" w:fill="auto"/>
            <w:vAlign w:val="center"/>
          </w:tcPr>
          <w:p>
            <w:pPr>
              <w:pStyle w:val="8"/>
              <w:keepNext w:val="0"/>
              <w:keepLines w:val="0"/>
              <w:pageBreakBefore w:val="0"/>
              <w:widowControl/>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根据</w:t>
            </w:r>
            <w:r>
              <w:rPr>
                <w:rFonts w:hint="eastAsia" w:ascii="方正仿宋_GBK" w:hAnsi="方正仿宋_GBK" w:eastAsia="方正仿宋_GBK" w:cs="方正仿宋_GBK"/>
                <w:sz w:val="28"/>
                <w:szCs w:val="28"/>
                <w:lang w:eastAsia="zh-CN"/>
              </w:rPr>
              <w:t>参选机构</w:t>
            </w:r>
            <w:r>
              <w:rPr>
                <w:rFonts w:hint="eastAsia" w:ascii="方正仿宋_GBK" w:hAnsi="方正仿宋_GBK" w:eastAsia="方正仿宋_GBK" w:cs="方正仿宋_GBK"/>
                <w:sz w:val="28"/>
                <w:szCs w:val="28"/>
              </w:rPr>
              <w:t>提供的</w:t>
            </w:r>
            <w:r>
              <w:rPr>
                <w:rFonts w:hint="eastAsia" w:ascii="方正仿宋_GBK" w:hAnsi="方正仿宋_GBK" w:eastAsia="方正仿宋_GBK" w:cs="方正仿宋_GBK"/>
                <w:sz w:val="28"/>
                <w:szCs w:val="28"/>
                <w:lang w:eastAsia="zh-CN"/>
              </w:rPr>
              <w:t>保险服务开发与</w:t>
            </w:r>
            <w:r>
              <w:rPr>
                <w:rFonts w:hint="eastAsia" w:ascii="方正仿宋_GBK" w:hAnsi="方正仿宋_GBK" w:eastAsia="方正仿宋_GBK" w:cs="方正仿宋_GBK"/>
                <w:sz w:val="28"/>
                <w:szCs w:val="28"/>
              </w:rPr>
              <w:t>承保服务方案进行评审。</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承保服务方案全面细致，合理可行，得</w:t>
            </w:r>
            <w:r>
              <w:rPr>
                <w:rFonts w:hint="eastAsia" w:ascii="方正仿宋_GBK" w:hAnsi="方正仿宋_GBK" w:eastAsia="方正仿宋_GBK" w:cs="方正仿宋_GBK"/>
                <w:sz w:val="28"/>
                <w:szCs w:val="28"/>
                <w:lang w:val="en-US" w:eastAsia="zh-CN"/>
              </w:rPr>
              <w:t>20</w:t>
            </w:r>
            <w:r>
              <w:rPr>
                <w:rFonts w:hint="eastAsia" w:ascii="方正仿宋_GBK" w:hAnsi="方正仿宋_GBK" w:eastAsia="方正仿宋_GBK" w:cs="方正仿宋_GBK"/>
                <w:sz w:val="28"/>
                <w:szCs w:val="28"/>
              </w:rPr>
              <w:t>分；</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承保服务方案基本覆盖全面，基本合理可行，得</w:t>
            </w:r>
            <w:r>
              <w:rPr>
                <w:rFonts w:hint="eastAsia" w:ascii="方正仿宋_GBK" w:hAnsi="方正仿宋_GBK" w:eastAsia="方正仿宋_GBK" w:cs="方正仿宋_GBK"/>
                <w:sz w:val="28"/>
                <w:szCs w:val="28"/>
                <w:lang w:val="en-US" w:eastAsia="zh-CN"/>
              </w:rPr>
              <w:t>15</w:t>
            </w:r>
            <w:r>
              <w:rPr>
                <w:rFonts w:hint="eastAsia" w:ascii="方正仿宋_GBK" w:hAnsi="方正仿宋_GBK" w:eastAsia="方正仿宋_GBK" w:cs="方正仿宋_GBK"/>
                <w:sz w:val="28"/>
                <w:szCs w:val="28"/>
              </w:rPr>
              <w:t>分；</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承保服务方案覆盖不够全面，合理性可行性较差，得</w:t>
            </w:r>
            <w:r>
              <w:rPr>
                <w:rFonts w:hint="eastAsia" w:ascii="方正仿宋_GBK" w:hAnsi="方正仿宋_GBK" w:eastAsia="方正仿宋_GBK" w:cs="方正仿宋_GBK"/>
                <w:sz w:val="28"/>
                <w:szCs w:val="28"/>
                <w:lang w:val="en-US" w:eastAsia="zh-CN"/>
              </w:rPr>
              <w:t>10</w:t>
            </w:r>
            <w:r>
              <w:rPr>
                <w:rFonts w:hint="eastAsia" w:ascii="方正仿宋_GBK" w:hAnsi="方正仿宋_GBK" w:eastAsia="方正仿宋_GBK" w:cs="方正仿宋_GBK"/>
                <w:sz w:val="28"/>
                <w:szCs w:val="28"/>
              </w:rPr>
              <w:t>分；</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rPr>
              <w:t>存在严重负偏离，或未提供承保服务方案不得分。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61" w:type="dxa"/>
            <w:shd w:val="clear" w:color="auto" w:fill="auto"/>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rPr>
              <w:t>理赔方案(</w:t>
            </w:r>
            <w:r>
              <w:rPr>
                <w:rFonts w:hint="eastAsia" w:ascii="方正仿宋_GBK" w:hAnsi="方正仿宋_GBK" w:eastAsia="方正仿宋_GBK" w:cs="方正仿宋_GBK"/>
                <w:b/>
                <w:bCs/>
                <w:sz w:val="28"/>
                <w:szCs w:val="28"/>
                <w:lang w:val="en-US" w:eastAsia="zh-CN"/>
              </w:rPr>
              <w:t>20.0</w:t>
            </w:r>
            <w:r>
              <w:rPr>
                <w:rFonts w:hint="eastAsia" w:ascii="方正仿宋_GBK" w:hAnsi="方正仿宋_GBK" w:eastAsia="方正仿宋_GBK" w:cs="方正仿宋_GBK"/>
                <w:b/>
                <w:bCs/>
                <w:sz w:val="28"/>
                <w:szCs w:val="28"/>
              </w:rPr>
              <w:t>分)</w:t>
            </w:r>
          </w:p>
        </w:tc>
        <w:tc>
          <w:tcPr>
            <w:tcW w:w="7466" w:type="dxa"/>
            <w:shd w:val="clear" w:color="auto" w:fill="auto"/>
            <w:vAlign w:val="center"/>
          </w:tcPr>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根据</w:t>
            </w:r>
            <w:r>
              <w:rPr>
                <w:rFonts w:hint="eastAsia" w:ascii="方正仿宋_GBK" w:hAnsi="方正仿宋_GBK" w:eastAsia="方正仿宋_GBK" w:cs="方正仿宋_GBK"/>
                <w:sz w:val="28"/>
                <w:szCs w:val="28"/>
                <w:lang w:eastAsia="zh-CN"/>
              </w:rPr>
              <w:t>参选机构</w:t>
            </w:r>
            <w:r>
              <w:rPr>
                <w:rFonts w:hint="eastAsia" w:ascii="方正仿宋_GBK" w:hAnsi="方正仿宋_GBK" w:eastAsia="方正仿宋_GBK" w:cs="方正仿宋_GBK"/>
                <w:sz w:val="28"/>
                <w:szCs w:val="28"/>
              </w:rPr>
              <w:t>提供的理赔服务方案进行评审。</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理赔服务方案针对性强、措施全面，得</w:t>
            </w:r>
            <w:r>
              <w:rPr>
                <w:rFonts w:hint="eastAsia" w:ascii="方正仿宋_GBK" w:hAnsi="方正仿宋_GBK" w:eastAsia="方正仿宋_GBK" w:cs="方正仿宋_GBK"/>
                <w:sz w:val="28"/>
                <w:szCs w:val="28"/>
                <w:lang w:val="en-US" w:eastAsia="zh-CN"/>
              </w:rPr>
              <w:t>20</w:t>
            </w:r>
            <w:r>
              <w:rPr>
                <w:rFonts w:hint="eastAsia" w:ascii="方正仿宋_GBK" w:hAnsi="方正仿宋_GBK" w:eastAsia="方正仿宋_GBK" w:cs="方正仿宋_GBK"/>
                <w:sz w:val="28"/>
                <w:szCs w:val="28"/>
              </w:rPr>
              <w:t>分；</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理赔服务方案针对性较强，措施较为全面，得</w:t>
            </w:r>
            <w:r>
              <w:rPr>
                <w:rFonts w:hint="eastAsia" w:ascii="方正仿宋_GBK" w:hAnsi="方正仿宋_GBK" w:eastAsia="方正仿宋_GBK" w:cs="方正仿宋_GBK"/>
                <w:sz w:val="28"/>
                <w:szCs w:val="28"/>
                <w:lang w:val="en-US" w:eastAsia="zh-CN"/>
              </w:rPr>
              <w:t>15</w:t>
            </w:r>
            <w:r>
              <w:rPr>
                <w:rFonts w:hint="eastAsia" w:ascii="方正仿宋_GBK" w:hAnsi="方正仿宋_GBK" w:eastAsia="方正仿宋_GBK" w:cs="方正仿宋_GBK"/>
                <w:sz w:val="28"/>
                <w:szCs w:val="28"/>
              </w:rPr>
              <w:t>分；</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理赔服务方案针对性一般，仅具有基本措施，得</w:t>
            </w:r>
            <w:r>
              <w:rPr>
                <w:rFonts w:hint="eastAsia" w:ascii="方正仿宋_GBK" w:hAnsi="方正仿宋_GBK" w:eastAsia="方正仿宋_GBK" w:cs="方正仿宋_GBK"/>
                <w:sz w:val="28"/>
                <w:szCs w:val="28"/>
                <w:lang w:val="en-US" w:eastAsia="zh-CN"/>
              </w:rPr>
              <w:t>10</w:t>
            </w:r>
            <w:r>
              <w:rPr>
                <w:rFonts w:hint="eastAsia" w:ascii="方正仿宋_GBK" w:hAnsi="方正仿宋_GBK" w:eastAsia="方正仿宋_GBK" w:cs="方正仿宋_GBK"/>
                <w:sz w:val="28"/>
                <w:szCs w:val="28"/>
              </w:rPr>
              <w:t>分；</w:t>
            </w:r>
          </w:p>
          <w:p>
            <w:pPr>
              <w:pStyle w:val="8"/>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rPr>
              <w:t>存在严重负偏离，或未提供不得分。</w:t>
            </w:r>
          </w:p>
        </w:tc>
      </w:tr>
    </w:tbl>
    <w:p>
      <w:pPr>
        <w:pStyle w:val="8"/>
        <w:spacing w:line="360" w:lineRule="auto"/>
        <w:jc w:val="both"/>
        <w:rPr>
          <w:rFonts w:hint="eastAsia" w:ascii="方正小标宋简体" w:hAnsi="方正小标宋简体" w:eastAsia="方正小标宋简体" w:cs="方正小标宋简体"/>
          <w:kern w:val="2"/>
          <w:sz w:val="44"/>
          <w:szCs w:val="44"/>
          <w:lang w:val="en-US" w:eastAsia="zh-CN" w:bidi="ar-SA"/>
        </w:rPr>
      </w:pPr>
    </w:p>
    <w:p>
      <w:pPr>
        <w:ind w:left="0" w:leftChars="0" w:firstLine="0" w:firstLineChars="0"/>
        <w:jc w:val="both"/>
        <w:rPr>
          <w:rFonts w:hint="eastAsia" w:ascii="方正仿宋_GBK" w:hAnsi="方正仿宋_GBK" w:eastAsia="方正仿宋_GBK" w:cs="方正仿宋_GBK"/>
          <w:sz w:val="32"/>
          <w:szCs w:val="32"/>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87CCC2"/>
    <w:rsid w:val="07BFB2A1"/>
    <w:rsid w:val="23FFFFE0"/>
    <w:rsid w:val="27B3414A"/>
    <w:rsid w:val="35D62B16"/>
    <w:rsid w:val="39FF8FD3"/>
    <w:rsid w:val="3EBF3579"/>
    <w:rsid w:val="3FDB9BEE"/>
    <w:rsid w:val="4FFD4452"/>
    <w:rsid w:val="503E8457"/>
    <w:rsid w:val="5B3F77AA"/>
    <w:rsid w:val="5FF8489A"/>
    <w:rsid w:val="5FFDC5A9"/>
    <w:rsid w:val="67DD0F32"/>
    <w:rsid w:val="69DF72DD"/>
    <w:rsid w:val="6BB602E1"/>
    <w:rsid w:val="6EFD5236"/>
    <w:rsid w:val="6F3F2D89"/>
    <w:rsid w:val="7757C21B"/>
    <w:rsid w:val="7AD77A5D"/>
    <w:rsid w:val="7B3D3C91"/>
    <w:rsid w:val="7B7F3E10"/>
    <w:rsid w:val="7BBE4361"/>
    <w:rsid w:val="7BBF2EB7"/>
    <w:rsid w:val="7BEB8139"/>
    <w:rsid w:val="7BEE157C"/>
    <w:rsid w:val="7BFD6F76"/>
    <w:rsid w:val="7EB6A857"/>
    <w:rsid w:val="7F9FCA31"/>
    <w:rsid w:val="7FBE5308"/>
    <w:rsid w:val="7FBFAEF0"/>
    <w:rsid w:val="7FCFE3C4"/>
    <w:rsid w:val="7FDE913D"/>
    <w:rsid w:val="7FFE1A05"/>
    <w:rsid w:val="8FF7413E"/>
    <w:rsid w:val="9FF8B1CB"/>
    <w:rsid w:val="AFDB484F"/>
    <w:rsid w:val="C9FD70DA"/>
    <w:rsid w:val="D5AA6D69"/>
    <w:rsid w:val="D5DD3ED6"/>
    <w:rsid w:val="DBBE193C"/>
    <w:rsid w:val="DBDF2680"/>
    <w:rsid w:val="DD7F5913"/>
    <w:rsid w:val="DDFF40C0"/>
    <w:rsid w:val="DFFFA894"/>
    <w:rsid w:val="E7FF28B8"/>
    <w:rsid w:val="EADD125A"/>
    <w:rsid w:val="EBBC8C09"/>
    <w:rsid w:val="EEB31F2E"/>
    <w:rsid w:val="F17BF378"/>
    <w:rsid w:val="F37E9D72"/>
    <w:rsid w:val="F3FDE556"/>
    <w:rsid w:val="F7DF05AA"/>
    <w:rsid w:val="F7F4D21D"/>
    <w:rsid w:val="F7FD82B2"/>
    <w:rsid w:val="F8AD15F5"/>
    <w:rsid w:val="F91F9A46"/>
    <w:rsid w:val="F9FF1E88"/>
    <w:rsid w:val="FBF1C808"/>
    <w:rsid w:val="FBFE6DAC"/>
    <w:rsid w:val="FE87CCC2"/>
    <w:rsid w:val="FF7D3972"/>
    <w:rsid w:val="FFEB66BE"/>
    <w:rsid w:val="FFFE5427"/>
    <w:rsid w:val="FFFF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2026-05-16T01:33:00Z</dcterms:created>
  <dc:creator>a07</dc:creator>
  <cp:lastModifiedBy>Admin</cp:lastModifiedBy>
  <cp:lastPrinted>2026-06-11T01:40:00Z</cp:lastPrinted>
  <dcterms:modified xsi:type="dcterms:W3CDTF">2026-07-17T03:23:17Z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29509402E8A3E791E333296AFCA27C69_43</vt:lpwstr>
  </property>
</Properties>
</file>