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158148">
      <w:pPr>
        <w:spacing w:line="600" w:lineRule="exact"/>
        <w:jc w:val="center"/>
        <w:rPr>
          <w:rFonts w:ascii="Times New Roman" w:hAnsi="Times New Roman" w:eastAsia="方正小标宋简体" w:cs="Times New Roman"/>
          <w:sz w:val="36"/>
          <w:szCs w:val="36"/>
        </w:rPr>
      </w:pPr>
      <w:bookmarkStart w:id="135" w:name="_GoBack"/>
      <w:bookmarkEnd w:id="135"/>
    </w:p>
    <w:p w14:paraId="3A0D735C">
      <w:pPr>
        <w:spacing w:line="600" w:lineRule="exact"/>
        <w:jc w:val="center"/>
        <w:rPr>
          <w:rFonts w:ascii="Times New Roman" w:hAnsi="Times New Roman" w:eastAsia="方正小标宋简体" w:cs="Times New Roman"/>
          <w:sz w:val="36"/>
          <w:szCs w:val="36"/>
        </w:rPr>
      </w:pPr>
    </w:p>
    <w:p w14:paraId="310F5FD9">
      <w:pPr>
        <w:spacing w:line="600" w:lineRule="exact"/>
        <w:jc w:val="center"/>
        <w:rPr>
          <w:rFonts w:ascii="Times New Roman" w:hAnsi="Times New Roman" w:eastAsia="方正小标宋简体" w:cs="Times New Roman"/>
          <w:sz w:val="36"/>
          <w:szCs w:val="36"/>
        </w:rPr>
      </w:pPr>
    </w:p>
    <w:p w14:paraId="35DCCFFD">
      <w:pPr>
        <w:spacing w:line="600" w:lineRule="exact"/>
        <w:jc w:val="center"/>
        <w:rPr>
          <w:rFonts w:ascii="Times New Roman" w:hAnsi="Times New Roman" w:eastAsia="方正小标宋简体" w:cs="Times New Roman"/>
          <w:sz w:val="36"/>
          <w:szCs w:val="36"/>
        </w:rPr>
      </w:pPr>
    </w:p>
    <w:p w14:paraId="7323F3AD">
      <w:pPr>
        <w:spacing w:line="600" w:lineRule="exact"/>
        <w:jc w:val="center"/>
        <w:rPr>
          <w:rFonts w:ascii="Times New Roman" w:hAnsi="Times New Roman" w:eastAsia="方正小标宋简体" w:cs="Times New Roman"/>
          <w:sz w:val="36"/>
          <w:szCs w:val="36"/>
        </w:rPr>
      </w:pPr>
    </w:p>
    <w:p w14:paraId="45481AB9">
      <w:pPr>
        <w:spacing w:line="600" w:lineRule="exact"/>
        <w:jc w:val="center"/>
        <w:rPr>
          <w:rFonts w:ascii="Times New Roman" w:hAnsi="Times New Roman" w:eastAsia="方正小标宋简体" w:cs="Times New Roman"/>
          <w:sz w:val="36"/>
          <w:szCs w:val="36"/>
        </w:rPr>
      </w:pPr>
    </w:p>
    <w:p w14:paraId="7A36142E">
      <w:pPr>
        <w:spacing w:line="600" w:lineRule="exact"/>
        <w:jc w:val="center"/>
        <w:rPr>
          <w:rFonts w:ascii="Times New Roman" w:hAnsi="Times New Roman" w:eastAsia="方正小标宋简体" w:cs="Times New Roman"/>
          <w:sz w:val="36"/>
          <w:szCs w:val="36"/>
        </w:rPr>
      </w:pPr>
    </w:p>
    <w:p w14:paraId="07B114E9">
      <w:pPr>
        <w:spacing w:line="600" w:lineRule="exact"/>
        <w:jc w:val="center"/>
        <w:rPr>
          <w:rFonts w:ascii="Times New Roman" w:hAnsi="Times New Roman" w:eastAsia="方正小标宋简体" w:cs="Times New Roman"/>
          <w:sz w:val="44"/>
          <w:szCs w:val="44"/>
        </w:rPr>
      </w:pPr>
      <w:r>
        <w:rPr>
          <w:rFonts w:hint="eastAsia" w:ascii="Times New Roman" w:hAnsi="Times New Roman" w:eastAsia="方正小标宋简体" w:cs="Times New Roman"/>
          <w:sz w:val="44"/>
          <w:szCs w:val="44"/>
        </w:rPr>
        <w:t>揭阳</w:t>
      </w:r>
      <w:r>
        <w:rPr>
          <w:rFonts w:ascii="Times New Roman" w:hAnsi="Times New Roman" w:eastAsia="方正小标宋简体" w:cs="Times New Roman"/>
          <w:sz w:val="44"/>
          <w:szCs w:val="44"/>
        </w:rPr>
        <w:t>市“十五五”住房发展规划</w:t>
      </w:r>
    </w:p>
    <w:p w14:paraId="2F7BED36">
      <w:pPr>
        <w:spacing w:line="600" w:lineRule="exact"/>
        <w:jc w:val="center"/>
        <w:rPr>
          <w:rFonts w:ascii="Times New Roman" w:hAnsi="Times New Roman" w:eastAsia="楷体_GB2312" w:cs="Times New Roman"/>
          <w:sz w:val="32"/>
          <w:szCs w:val="32"/>
        </w:rPr>
      </w:pPr>
      <w:r>
        <w:rPr>
          <w:rFonts w:ascii="Times New Roman" w:hAnsi="Times New Roman" w:eastAsia="楷体_GB2312" w:cs="Times New Roman"/>
          <w:bCs/>
          <w:sz w:val="32"/>
          <w:szCs w:val="24"/>
        </w:rPr>
        <w:t>（文本）</w:t>
      </w:r>
    </w:p>
    <w:p w14:paraId="4047FDCB">
      <w:pPr>
        <w:spacing w:line="600" w:lineRule="exact"/>
        <w:jc w:val="center"/>
        <w:rPr>
          <w:rFonts w:ascii="Times New Roman" w:hAnsi="Times New Roman" w:eastAsia="楷体_GB2312" w:cs="Times New Roman"/>
          <w:sz w:val="32"/>
          <w:szCs w:val="32"/>
        </w:rPr>
      </w:pPr>
      <w:r>
        <w:rPr>
          <w:rFonts w:ascii="Times New Roman" w:hAnsi="Times New Roman" w:eastAsia="楷体_GB2312" w:cs="Times New Roman"/>
          <w:sz w:val="32"/>
          <w:szCs w:val="32"/>
        </w:rPr>
        <w:t>（</w:t>
      </w:r>
      <w:r>
        <w:rPr>
          <w:rFonts w:hint="eastAsia" w:ascii="Times New Roman" w:hAnsi="Times New Roman" w:eastAsia="楷体_GB2312" w:cs="Times New Roman"/>
          <w:sz w:val="32"/>
          <w:szCs w:val="32"/>
          <w:lang w:val="en-US" w:eastAsia="zh-CN"/>
        </w:rPr>
        <w:t>征求意见稿</w:t>
      </w:r>
      <w:r>
        <w:rPr>
          <w:rFonts w:ascii="Times New Roman" w:hAnsi="Times New Roman" w:eastAsia="楷体_GB2312" w:cs="Times New Roman"/>
          <w:sz w:val="32"/>
          <w:szCs w:val="32"/>
        </w:rPr>
        <w:t>）</w:t>
      </w:r>
    </w:p>
    <w:p w14:paraId="24E03209">
      <w:pPr>
        <w:spacing w:line="600" w:lineRule="exact"/>
        <w:jc w:val="center"/>
        <w:rPr>
          <w:rFonts w:ascii="Times New Roman" w:hAnsi="Times New Roman" w:eastAsia="方正小标宋简体" w:cs="Times New Roman"/>
          <w:sz w:val="36"/>
          <w:szCs w:val="36"/>
        </w:rPr>
      </w:pPr>
    </w:p>
    <w:p w14:paraId="47EC3C37">
      <w:pPr>
        <w:spacing w:line="600" w:lineRule="exact"/>
        <w:jc w:val="center"/>
        <w:rPr>
          <w:rFonts w:ascii="Times New Roman" w:hAnsi="Times New Roman" w:eastAsia="方正小标宋简体" w:cs="Times New Roman"/>
          <w:sz w:val="36"/>
          <w:szCs w:val="36"/>
        </w:rPr>
      </w:pPr>
    </w:p>
    <w:p w14:paraId="4CCEE59E">
      <w:pPr>
        <w:spacing w:line="600" w:lineRule="exact"/>
        <w:jc w:val="center"/>
        <w:rPr>
          <w:rFonts w:ascii="Times New Roman" w:hAnsi="Times New Roman" w:eastAsia="方正小标宋简体" w:cs="Times New Roman"/>
          <w:sz w:val="36"/>
          <w:szCs w:val="36"/>
        </w:rPr>
      </w:pPr>
    </w:p>
    <w:p w14:paraId="384BBDDC">
      <w:pPr>
        <w:spacing w:line="600" w:lineRule="exact"/>
        <w:jc w:val="center"/>
        <w:rPr>
          <w:rFonts w:ascii="Times New Roman" w:hAnsi="Times New Roman" w:eastAsia="方正小标宋简体" w:cs="Times New Roman"/>
          <w:sz w:val="36"/>
          <w:szCs w:val="36"/>
        </w:rPr>
      </w:pPr>
    </w:p>
    <w:p w14:paraId="4CBF6422">
      <w:pPr>
        <w:spacing w:line="600" w:lineRule="exact"/>
        <w:jc w:val="center"/>
        <w:rPr>
          <w:rFonts w:ascii="Times New Roman" w:hAnsi="Times New Roman" w:eastAsia="方正小标宋简体" w:cs="Times New Roman"/>
          <w:sz w:val="36"/>
          <w:szCs w:val="36"/>
        </w:rPr>
      </w:pPr>
    </w:p>
    <w:p w14:paraId="65714391">
      <w:pPr>
        <w:spacing w:line="600" w:lineRule="exact"/>
        <w:jc w:val="center"/>
        <w:rPr>
          <w:rFonts w:ascii="Times New Roman" w:hAnsi="Times New Roman" w:eastAsia="方正小标宋简体" w:cs="Times New Roman"/>
          <w:sz w:val="36"/>
          <w:szCs w:val="36"/>
        </w:rPr>
      </w:pPr>
    </w:p>
    <w:p w14:paraId="4539FC00">
      <w:pPr>
        <w:spacing w:line="600" w:lineRule="exact"/>
        <w:jc w:val="center"/>
        <w:rPr>
          <w:rFonts w:ascii="Times New Roman" w:hAnsi="Times New Roman" w:eastAsia="方正小标宋简体" w:cs="Times New Roman"/>
          <w:sz w:val="36"/>
          <w:szCs w:val="36"/>
        </w:rPr>
      </w:pPr>
    </w:p>
    <w:p w14:paraId="5C855C2C">
      <w:pPr>
        <w:spacing w:line="600" w:lineRule="exact"/>
        <w:jc w:val="center"/>
        <w:rPr>
          <w:rFonts w:ascii="Times New Roman" w:hAnsi="Times New Roman" w:eastAsia="方正小标宋简体" w:cs="Times New Roman"/>
          <w:sz w:val="36"/>
          <w:szCs w:val="36"/>
        </w:rPr>
      </w:pPr>
    </w:p>
    <w:p w14:paraId="5F586626">
      <w:pPr>
        <w:spacing w:after="160" w:line="600" w:lineRule="exact"/>
        <w:jc w:val="center"/>
        <w:rPr>
          <w:rFonts w:hint="eastAsia" w:ascii="Times New Roman" w:hAnsi="Times New Roman" w:eastAsia="仿宋_GB2312" w:cs="Times New Roman"/>
          <w:sz w:val="32"/>
          <w:szCs w:val="32"/>
        </w:rPr>
      </w:pPr>
    </w:p>
    <w:p w14:paraId="032DEB77">
      <w:pPr>
        <w:spacing w:after="160" w:line="600" w:lineRule="exact"/>
        <w:jc w:val="center"/>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揭阳</w:t>
      </w:r>
      <w:r>
        <w:rPr>
          <w:rFonts w:ascii="Times New Roman" w:hAnsi="Times New Roman" w:eastAsia="仿宋_GB2312" w:cs="Times New Roman"/>
          <w:sz w:val="32"/>
          <w:szCs w:val="32"/>
        </w:rPr>
        <w:t>市住房和城乡建设局</w:t>
      </w:r>
    </w:p>
    <w:p w14:paraId="13AEE1CA">
      <w:pPr>
        <w:spacing w:after="160" w:line="6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广东省城乡规划设计研究院科技集团股份有限公司</w:t>
      </w:r>
    </w:p>
    <w:p w14:paraId="4C8984A1">
      <w:pPr>
        <w:spacing w:line="6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202</w:t>
      </w:r>
      <w:r>
        <w:rPr>
          <w:rFonts w:hint="eastAsia" w:ascii="Times New Roman" w:hAnsi="Times New Roman" w:eastAsia="仿宋_GB2312" w:cs="Times New Roman"/>
          <w:sz w:val="32"/>
          <w:szCs w:val="32"/>
        </w:rPr>
        <w:t>6</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7</w:t>
      </w:r>
      <w:r>
        <w:rPr>
          <w:rFonts w:ascii="Times New Roman" w:hAnsi="Times New Roman" w:eastAsia="仿宋_GB2312" w:cs="Times New Roman"/>
          <w:sz w:val="32"/>
          <w:szCs w:val="32"/>
        </w:rPr>
        <w:t>月</w:t>
      </w:r>
    </w:p>
    <w:p w14:paraId="52B1E26A">
      <w:pPr>
        <w:spacing w:line="600" w:lineRule="exact"/>
        <w:jc w:val="center"/>
        <w:rPr>
          <w:rFonts w:ascii="Times New Roman" w:hAnsi="Times New Roman" w:eastAsia="黑体" w:cs="Times New Roman"/>
          <w:sz w:val="36"/>
          <w:szCs w:val="36"/>
        </w:rPr>
        <w:sectPr>
          <w:pgSz w:w="11906" w:h="16838"/>
          <w:pgMar w:top="1440" w:right="1800" w:bottom="1440" w:left="1800" w:header="851" w:footer="992" w:gutter="0"/>
          <w:pgNumType w:fmt="numberInDash"/>
          <w:cols w:space="425" w:num="1"/>
          <w:docGrid w:type="lines" w:linePitch="312" w:charSpace="0"/>
        </w:sectPr>
      </w:pPr>
    </w:p>
    <w:p w14:paraId="0D47D2C1">
      <w:pPr>
        <w:spacing w:before="312" w:beforeLines="100" w:after="312" w:afterLines="100" w:line="600" w:lineRule="exact"/>
        <w:jc w:val="center"/>
        <w:rPr>
          <w:rFonts w:ascii="Times New Roman" w:hAnsi="Times New Roman" w:eastAsia="黑体" w:cs="Times New Roman"/>
          <w:sz w:val="36"/>
          <w:szCs w:val="36"/>
        </w:rPr>
      </w:pPr>
      <w:r>
        <w:rPr>
          <w:rFonts w:ascii="Times New Roman" w:hAnsi="Times New Roman" w:eastAsia="黑体" w:cs="Times New Roman"/>
          <w:sz w:val="36"/>
          <w:szCs w:val="36"/>
        </w:rPr>
        <w:t>目录</w:t>
      </w:r>
    </w:p>
    <w:p w14:paraId="3707E2EE">
      <w:pPr>
        <w:pStyle w:val="20"/>
        <w:tabs>
          <w:tab w:val="right" w:leader="dot" w:pos="8306"/>
        </w:tabs>
        <w:rPr>
          <w:rFonts w:ascii="Times New Roman" w:hAnsi="Times New Roman" w:cs="Times New Roman"/>
          <w:sz w:val="32"/>
          <w:szCs w:val="32"/>
        </w:rPr>
      </w:pPr>
      <w:r>
        <w:rPr>
          <w:rFonts w:ascii="Times New Roman" w:hAnsi="Times New Roman" w:eastAsia="黑体" w:cs="Times New Roman"/>
          <w:sz w:val="32"/>
          <w:szCs w:val="32"/>
        </w:rPr>
        <w:fldChar w:fldCharType="begin"/>
      </w:r>
      <w:r>
        <w:rPr>
          <w:rFonts w:ascii="Times New Roman" w:hAnsi="Times New Roman" w:eastAsia="黑体" w:cs="Times New Roman"/>
          <w:sz w:val="32"/>
          <w:szCs w:val="32"/>
        </w:rPr>
        <w:instrText xml:space="preserve"> TOC \o "1-2" \h \z \u </w:instrText>
      </w:r>
      <w:r>
        <w:rPr>
          <w:rFonts w:ascii="Times New Roman" w:hAnsi="Times New Roman" w:eastAsia="黑体" w:cs="Times New Roman"/>
          <w:sz w:val="32"/>
          <w:szCs w:val="32"/>
        </w:rPr>
        <w:fldChar w:fldCharType="separate"/>
      </w:r>
      <w:r>
        <w:rPr>
          <w:rFonts w:ascii="Times New Roman" w:hAnsi="Times New Roman" w:eastAsia="黑体" w:cs="Times New Roman"/>
          <w:sz w:val="32"/>
          <w:szCs w:val="32"/>
        </w:rPr>
        <w:fldChar w:fldCharType="begin"/>
      </w:r>
      <w:r>
        <w:rPr>
          <w:rFonts w:ascii="Times New Roman" w:hAnsi="Times New Roman" w:eastAsia="黑体" w:cs="Times New Roman"/>
          <w:sz w:val="32"/>
          <w:szCs w:val="32"/>
        </w:rPr>
        <w:instrText xml:space="preserve"> HYPERLINK \l _Toc16929 </w:instrText>
      </w:r>
      <w:r>
        <w:rPr>
          <w:rFonts w:ascii="Times New Roman" w:hAnsi="Times New Roman" w:eastAsia="黑体" w:cs="Times New Roman"/>
          <w:sz w:val="32"/>
          <w:szCs w:val="32"/>
        </w:rPr>
        <w:fldChar w:fldCharType="separate"/>
      </w:r>
      <w:r>
        <w:rPr>
          <w:rFonts w:ascii="Times New Roman" w:hAnsi="Times New Roman" w:eastAsia="黑体" w:cs="Times New Roman"/>
          <w:sz w:val="32"/>
          <w:szCs w:val="32"/>
        </w:rPr>
        <w:t>一、发展基础</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_Toc16929 \h </w:instrText>
      </w:r>
      <w:r>
        <w:rPr>
          <w:rFonts w:ascii="Times New Roman" w:hAnsi="Times New Roman" w:cs="Times New Roman"/>
          <w:sz w:val="32"/>
          <w:szCs w:val="32"/>
        </w:rPr>
        <w:fldChar w:fldCharType="separate"/>
      </w:r>
      <w:r>
        <w:rPr>
          <w:rFonts w:ascii="Times New Roman" w:hAnsi="Times New Roman" w:cs="Times New Roman"/>
          <w:sz w:val="32"/>
          <w:szCs w:val="32"/>
        </w:rPr>
        <w:t>- 1 -</w:t>
      </w:r>
      <w:r>
        <w:rPr>
          <w:rFonts w:ascii="Times New Roman" w:hAnsi="Times New Roman" w:cs="Times New Roman"/>
          <w:sz w:val="32"/>
          <w:szCs w:val="32"/>
        </w:rPr>
        <w:fldChar w:fldCharType="end"/>
      </w:r>
      <w:r>
        <w:rPr>
          <w:rFonts w:ascii="Times New Roman" w:hAnsi="Times New Roman" w:eastAsia="黑体" w:cs="Times New Roman"/>
          <w:sz w:val="32"/>
          <w:szCs w:val="32"/>
        </w:rPr>
        <w:fldChar w:fldCharType="end"/>
      </w:r>
    </w:p>
    <w:p w14:paraId="763F8955">
      <w:pPr>
        <w:pStyle w:val="23"/>
        <w:tabs>
          <w:tab w:val="right" w:leader="dot" w:pos="8306"/>
        </w:tabs>
        <w:rPr>
          <w:rFonts w:ascii="Times New Roman" w:hAnsi="Times New Roman" w:cs="Times New Roman"/>
          <w:sz w:val="32"/>
          <w:szCs w:val="32"/>
        </w:rPr>
      </w:pPr>
      <w:r>
        <w:rPr>
          <w:rFonts w:ascii="Times New Roman" w:hAnsi="Times New Roman" w:eastAsia="黑体" w:cs="Times New Roman"/>
          <w:sz w:val="32"/>
          <w:szCs w:val="32"/>
        </w:rPr>
        <w:fldChar w:fldCharType="begin"/>
      </w:r>
      <w:r>
        <w:rPr>
          <w:rFonts w:ascii="Times New Roman" w:hAnsi="Times New Roman" w:eastAsia="黑体" w:cs="Times New Roman"/>
          <w:sz w:val="32"/>
          <w:szCs w:val="32"/>
        </w:rPr>
        <w:instrText xml:space="preserve"> HYPERLINK \l _Toc24440 </w:instrText>
      </w:r>
      <w:r>
        <w:rPr>
          <w:rFonts w:ascii="Times New Roman" w:hAnsi="Times New Roman" w:eastAsia="黑体" w:cs="Times New Roman"/>
          <w:sz w:val="32"/>
          <w:szCs w:val="32"/>
        </w:rPr>
        <w:fldChar w:fldCharType="separate"/>
      </w:r>
      <w:r>
        <w:rPr>
          <w:rFonts w:ascii="Times New Roman" w:hAnsi="Times New Roman" w:eastAsia="楷体_GB2312" w:cs="Times New Roman"/>
          <w:sz w:val="32"/>
          <w:szCs w:val="32"/>
        </w:rPr>
        <w:t>（一）</w:t>
      </w:r>
      <w:r>
        <w:rPr>
          <w:rFonts w:hint="default" w:ascii="Times New Roman" w:hAnsi="Times New Roman" w:eastAsia="楷体_GB2312" w:cs="Times New Roman"/>
          <w:sz w:val="32"/>
          <w:szCs w:val="32"/>
          <w:lang w:eastAsia="zh-CN"/>
        </w:rPr>
        <w:t>“</w:t>
      </w:r>
      <w:r>
        <w:rPr>
          <w:rFonts w:ascii="Times New Roman" w:hAnsi="Times New Roman" w:eastAsia="楷体_GB2312" w:cs="Times New Roman"/>
          <w:sz w:val="32"/>
          <w:szCs w:val="32"/>
        </w:rPr>
        <w:t>十四五</w:t>
      </w:r>
      <w:r>
        <w:rPr>
          <w:rFonts w:hint="default" w:ascii="Times New Roman" w:hAnsi="Times New Roman" w:eastAsia="楷体_GB2312" w:cs="Times New Roman"/>
          <w:sz w:val="32"/>
          <w:szCs w:val="32"/>
          <w:lang w:eastAsia="zh-CN"/>
        </w:rPr>
        <w:t>”</w:t>
      </w:r>
      <w:r>
        <w:rPr>
          <w:rFonts w:ascii="Times New Roman" w:hAnsi="Times New Roman" w:eastAsia="楷体_GB2312" w:cs="Times New Roman"/>
          <w:sz w:val="32"/>
          <w:szCs w:val="32"/>
        </w:rPr>
        <w:t>时期发展成效</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_Toc24440 \h </w:instrText>
      </w:r>
      <w:r>
        <w:rPr>
          <w:rFonts w:ascii="Times New Roman" w:hAnsi="Times New Roman" w:cs="Times New Roman"/>
          <w:sz w:val="32"/>
          <w:szCs w:val="32"/>
        </w:rPr>
        <w:fldChar w:fldCharType="separate"/>
      </w:r>
      <w:r>
        <w:rPr>
          <w:rFonts w:ascii="Times New Roman" w:hAnsi="Times New Roman" w:cs="Times New Roman"/>
          <w:sz w:val="32"/>
          <w:szCs w:val="32"/>
        </w:rPr>
        <w:t>- 1 -</w:t>
      </w:r>
      <w:r>
        <w:rPr>
          <w:rFonts w:ascii="Times New Roman" w:hAnsi="Times New Roman" w:cs="Times New Roman"/>
          <w:sz w:val="32"/>
          <w:szCs w:val="32"/>
        </w:rPr>
        <w:fldChar w:fldCharType="end"/>
      </w:r>
      <w:r>
        <w:rPr>
          <w:rFonts w:ascii="Times New Roman" w:hAnsi="Times New Roman" w:eastAsia="黑体" w:cs="Times New Roman"/>
          <w:sz w:val="32"/>
          <w:szCs w:val="32"/>
        </w:rPr>
        <w:fldChar w:fldCharType="end"/>
      </w:r>
    </w:p>
    <w:p w14:paraId="6A54075D">
      <w:pPr>
        <w:pStyle w:val="23"/>
        <w:tabs>
          <w:tab w:val="right" w:leader="dot" w:pos="8306"/>
        </w:tabs>
        <w:rPr>
          <w:rFonts w:ascii="Times New Roman" w:hAnsi="Times New Roman" w:cs="Times New Roman"/>
          <w:sz w:val="32"/>
          <w:szCs w:val="32"/>
        </w:rPr>
      </w:pPr>
      <w:r>
        <w:rPr>
          <w:rFonts w:ascii="Times New Roman" w:hAnsi="Times New Roman" w:eastAsia="黑体" w:cs="Times New Roman"/>
          <w:sz w:val="32"/>
          <w:szCs w:val="32"/>
        </w:rPr>
        <w:fldChar w:fldCharType="begin"/>
      </w:r>
      <w:r>
        <w:rPr>
          <w:rFonts w:ascii="Times New Roman" w:hAnsi="Times New Roman" w:eastAsia="黑体" w:cs="Times New Roman"/>
          <w:sz w:val="32"/>
          <w:szCs w:val="32"/>
        </w:rPr>
        <w:instrText xml:space="preserve"> HYPERLINK \l _Toc27740 </w:instrText>
      </w:r>
      <w:r>
        <w:rPr>
          <w:rFonts w:ascii="Times New Roman" w:hAnsi="Times New Roman" w:eastAsia="黑体" w:cs="Times New Roman"/>
          <w:sz w:val="32"/>
          <w:szCs w:val="32"/>
        </w:rPr>
        <w:fldChar w:fldCharType="separate"/>
      </w:r>
      <w:r>
        <w:rPr>
          <w:rFonts w:ascii="Times New Roman" w:hAnsi="Times New Roman" w:eastAsia="楷体_GB2312" w:cs="Times New Roman"/>
          <w:sz w:val="32"/>
          <w:szCs w:val="32"/>
        </w:rPr>
        <w:t>（</w:t>
      </w:r>
      <w:r>
        <w:rPr>
          <w:rFonts w:hint="default" w:ascii="Times New Roman" w:hAnsi="Times New Roman" w:eastAsia="楷体_GB2312" w:cs="Times New Roman"/>
          <w:sz w:val="32"/>
          <w:szCs w:val="32"/>
          <w:lang w:val="en-US" w:eastAsia="zh-CN"/>
        </w:rPr>
        <w:t>二</w:t>
      </w:r>
      <w:r>
        <w:rPr>
          <w:rFonts w:ascii="Times New Roman" w:hAnsi="Times New Roman" w:eastAsia="楷体_GB2312" w:cs="Times New Roman"/>
          <w:sz w:val="32"/>
          <w:szCs w:val="32"/>
        </w:rPr>
        <w:t>）</w:t>
      </w:r>
      <w:r>
        <w:rPr>
          <w:rFonts w:hint="default" w:ascii="Times New Roman" w:hAnsi="Times New Roman" w:eastAsia="楷体_GB2312" w:cs="Times New Roman"/>
          <w:sz w:val="32"/>
          <w:szCs w:val="32"/>
          <w:lang w:eastAsia="zh-CN"/>
        </w:rPr>
        <w:t>“</w:t>
      </w:r>
      <w:r>
        <w:rPr>
          <w:rFonts w:ascii="Times New Roman" w:hAnsi="Times New Roman" w:eastAsia="楷体_GB2312" w:cs="Times New Roman"/>
          <w:sz w:val="32"/>
          <w:szCs w:val="32"/>
        </w:rPr>
        <w:t>十五五</w:t>
      </w:r>
      <w:r>
        <w:rPr>
          <w:rFonts w:hint="default" w:ascii="Times New Roman" w:hAnsi="Times New Roman" w:eastAsia="楷体_GB2312" w:cs="Times New Roman"/>
          <w:sz w:val="32"/>
          <w:szCs w:val="32"/>
          <w:lang w:eastAsia="zh-CN"/>
        </w:rPr>
        <w:t>”</w:t>
      </w:r>
      <w:r>
        <w:rPr>
          <w:rFonts w:ascii="Times New Roman" w:hAnsi="Times New Roman" w:eastAsia="楷体_GB2312" w:cs="Times New Roman"/>
          <w:sz w:val="32"/>
          <w:szCs w:val="32"/>
        </w:rPr>
        <w:t>时期发展形势</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_Toc27740 \h </w:instrText>
      </w:r>
      <w:r>
        <w:rPr>
          <w:rFonts w:ascii="Times New Roman" w:hAnsi="Times New Roman" w:cs="Times New Roman"/>
          <w:sz w:val="32"/>
          <w:szCs w:val="32"/>
        </w:rPr>
        <w:fldChar w:fldCharType="separate"/>
      </w:r>
      <w:r>
        <w:rPr>
          <w:rFonts w:ascii="Times New Roman" w:hAnsi="Times New Roman" w:cs="Times New Roman"/>
          <w:sz w:val="32"/>
          <w:szCs w:val="32"/>
        </w:rPr>
        <w:t>- 3 -</w:t>
      </w:r>
      <w:r>
        <w:rPr>
          <w:rFonts w:ascii="Times New Roman" w:hAnsi="Times New Roman" w:cs="Times New Roman"/>
          <w:sz w:val="32"/>
          <w:szCs w:val="32"/>
        </w:rPr>
        <w:fldChar w:fldCharType="end"/>
      </w:r>
      <w:r>
        <w:rPr>
          <w:rFonts w:ascii="Times New Roman" w:hAnsi="Times New Roman" w:eastAsia="黑体" w:cs="Times New Roman"/>
          <w:sz w:val="32"/>
          <w:szCs w:val="32"/>
        </w:rPr>
        <w:fldChar w:fldCharType="end"/>
      </w:r>
    </w:p>
    <w:p w14:paraId="7280D957">
      <w:pPr>
        <w:pStyle w:val="20"/>
        <w:tabs>
          <w:tab w:val="right" w:leader="dot" w:pos="8306"/>
        </w:tabs>
        <w:rPr>
          <w:rFonts w:ascii="Times New Roman" w:hAnsi="Times New Roman" w:cs="Times New Roman"/>
          <w:sz w:val="32"/>
          <w:szCs w:val="32"/>
        </w:rPr>
      </w:pPr>
      <w:r>
        <w:rPr>
          <w:rFonts w:ascii="Times New Roman" w:hAnsi="Times New Roman" w:eastAsia="黑体" w:cs="Times New Roman"/>
          <w:sz w:val="32"/>
          <w:szCs w:val="32"/>
        </w:rPr>
        <w:fldChar w:fldCharType="begin"/>
      </w:r>
      <w:r>
        <w:rPr>
          <w:rFonts w:ascii="Times New Roman" w:hAnsi="Times New Roman" w:eastAsia="黑体" w:cs="Times New Roman"/>
          <w:sz w:val="32"/>
          <w:szCs w:val="32"/>
        </w:rPr>
        <w:instrText xml:space="preserve"> HYPERLINK \l _Toc19430 </w:instrText>
      </w:r>
      <w:r>
        <w:rPr>
          <w:rFonts w:ascii="Times New Roman" w:hAnsi="Times New Roman" w:eastAsia="黑体" w:cs="Times New Roman"/>
          <w:sz w:val="32"/>
          <w:szCs w:val="32"/>
        </w:rPr>
        <w:fldChar w:fldCharType="separate"/>
      </w:r>
      <w:r>
        <w:rPr>
          <w:rFonts w:ascii="Times New Roman" w:hAnsi="Times New Roman" w:eastAsia="黑体" w:cs="Times New Roman"/>
          <w:sz w:val="32"/>
          <w:szCs w:val="32"/>
        </w:rPr>
        <w:t>二、发展目标</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_Toc19430 \h </w:instrText>
      </w:r>
      <w:r>
        <w:rPr>
          <w:rFonts w:ascii="Times New Roman" w:hAnsi="Times New Roman" w:cs="Times New Roman"/>
          <w:sz w:val="32"/>
          <w:szCs w:val="32"/>
        </w:rPr>
        <w:fldChar w:fldCharType="separate"/>
      </w:r>
      <w:r>
        <w:rPr>
          <w:rFonts w:ascii="Times New Roman" w:hAnsi="Times New Roman" w:cs="Times New Roman"/>
          <w:sz w:val="32"/>
          <w:szCs w:val="32"/>
        </w:rPr>
        <w:t>- 5 -</w:t>
      </w:r>
      <w:r>
        <w:rPr>
          <w:rFonts w:ascii="Times New Roman" w:hAnsi="Times New Roman" w:cs="Times New Roman"/>
          <w:sz w:val="32"/>
          <w:szCs w:val="32"/>
        </w:rPr>
        <w:fldChar w:fldCharType="end"/>
      </w:r>
      <w:r>
        <w:rPr>
          <w:rFonts w:ascii="Times New Roman" w:hAnsi="Times New Roman" w:eastAsia="黑体" w:cs="Times New Roman"/>
          <w:sz w:val="32"/>
          <w:szCs w:val="32"/>
        </w:rPr>
        <w:fldChar w:fldCharType="end"/>
      </w:r>
    </w:p>
    <w:p w14:paraId="1175D6ED">
      <w:pPr>
        <w:pStyle w:val="23"/>
        <w:tabs>
          <w:tab w:val="right" w:leader="dot" w:pos="8306"/>
        </w:tabs>
        <w:rPr>
          <w:rFonts w:ascii="Times New Roman" w:hAnsi="Times New Roman" w:cs="Times New Roman"/>
          <w:sz w:val="32"/>
          <w:szCs w:val="32"/>
        </w:rPr>
      </w:pPr>
      <w:r>
        <w:rPr>
          <w:rFonts w:ascii="Times New Roman" w:hAnsi="Times New Roman" w:eastAsia="黑体" w:cs="Times New Roman"/>
          <w:sz w:val="32"/>
          <w:szCs w:val="32"/>
        </w:rPr>
        <w:fldChar w:fldCharType="begin"/>
      </w:r>
      <w:r>
        <w:rPr>
          <w:rFonts w:ascii="Times New Roman" w:hAnsi="Times New Roman" w:eastAsia="黑体" w:cs="Times New Roman"/>
          <w:sz w:val="32"/>
          <w:szCs w:val="32"/>
        </w:rPr>
        <w:instrText xml:space="preserve"> HYPERLINK \l _Toc15316 </w:instrText>
      </w:r>
      <w:r>
        <w:rPr>
          <w:rFonts w:ascii="Times New Roman" w:hAnsi="Times New Roman" w:eastAsia="黑体" w:cs="Times New Roman"/>
          <w:sz w:val="32"/>
          <w:szCs w:val="32"/>
        </w:rPr>
        <w:fldChar w:fldCharType="separate"/>
      </w:r>
      <w:r>
        <w:rPr>
          <w:rFonts w:ascii="Times New Roman" w:hAnsi="Times New Roman" w:eastAsia="楷体_GB2312" w:cs="Times New Roman"/>
          <w:sz w:val="32"/>
          <w:szCs w:val="32"/>
        </w:rPr>
        <w:t>（一）指导思想</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_Toc15316 \h </w:instrText>
      </w:r>
      <w:r>
        <w:rPr>
          <w:rFonts w:ascii="Times New Roman" w:hAnsi="Times New Roman" w:cs="Times New Roman"/>
          <w:sz w:val="32"/>
          <w:szCs w:val="32"/>
        </w:rPr>
        <w:fldChar w:fldCharType="separate"/>
      </w:r>
      <w:r>
        <w:rPr>
          <w:rFonts w:ascii="Times New Roman" w:hAnsi="Times New Roman" w:cs="Times New Roman"/>
          <w:sz w:val="32"/>
          <w:szCs w:val="32"/>
        </w:rPr>
        <w:t>- 5 -</w:t>
      </w:r>
      <w:r>
        <w:rPr>
          <w:rFonts w:ascii="Times New Roman" w:hAnsi="Times New Roman" w:cs="Times New Roman"/>
          <w:sz w:val="32"/>
          <w:szCs w:val="32"/>
        </w:rPr>
        <w:fldChar w:fldCharType="end"/>
      </w:r>
      <w:r>
        <w:rPr>
          <w:rFonts w:ascii="Times New Roman" w:hAnsi="Times New Roman" w:eastAsia="黑体" w:cs="Times New Roman"/>
          <w:sz w:val="32"/>
          <w:szCs w:val="32"/>
        </w:rPr>
        <w:fldChar w:fldCharType="end"/>
      </w:r>
    </w:p>
    <w:p w14:paraId="4D2654A8">
      <w:pPr>
        <w:pStyle w:val="23"/>
        <w:tabs>
          <w:tab w:val="right" w:leader="dot" w:pos="8306"/>
        </w:tabs>
        <w:rPr>
          <w:rFonts w:ascii="Times New Roman" w:hAnsi="Times New Roman" w:cs="Times New Roman"/>
          <w:sz w:val="32"/>
          <w:szCs w:val="32"/>
        </w:rPr>
      </w:pPr>
      <w:r>
        <w:rPr>
          <w:rFonts w:ascii="Times New Roman" w:hAnsi="Times New Roman" w:eastAsia="黑体" w:cs="Times New Roman"/>
          <w:sz w:val="32"/>
          <w:szCs w:val="32"/>
        </w:rPr>
        <w:fldChar w:fldCharType="begin"/>
      </w:r>
      <w:r>
        <w:rPr>
          <w:rFonts w:ascii="Times New Roman" w:hAnsi="Times New Roman" w:eastAsia="黑体" w:cs="Times New Roman"/>
          <w:sz w:val="32"/>
          <w:szCs w:val="32"/>
        </w:rPr>
        <w:instrText xml:space="preserve"> HYPERLINK \l _Toc7381 </w:instrText>
      </w:r>
      <w:r>
        <w:rPr>
          <w:rFonts w:ascii="Times New Roman" w:hAnsi="Times New Roman" w:eastAsia="黑体" w:cs="Times New Roman"/>
          <w:sz w:val="32"/>
          <w:szCs w:val="32"/>
        </w:rPr>
        <w:fldChar w:fldCharType="separate"/>
      </w:r>
      <w:r>
        <w:rPr>
          <w:rFonts w:ascii="Times New Roman" w:hAnsi="Times New Roman" w:eastAsia="楷体_GB2312" w:cs="Times New Roman"/>
          <w:sz w:val="32"/>
          <w:szCs w:val="32"/>
        </w:rPr>
        <w:t>（二）基本原则</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_Toc7381 \h </w:instrText>
      </w:r>
      <w:r>
        <w:rPr>
          <w:rFonts w:ascii="Times New Roman" w:hAnsi="Times New Roman" w:cs="Times New Roman"/>
          <w:sz w:val="32"/>
          <w:szCs w:val="32"/>
        </w:rPr>
        <w:fldChar w:fldCharType="separate"/>
      </w:r>
      <w:r>
        <w:rPr>
          <w:rFonts w:ascii="Times New Roman" w:hAnsi="Times New Roman" w:cs="Times New Roman"/>
          <w:sz w:val="32"/>
          <w:szCs w:val="32"/>
        </w:rPr>
        <w:t>- 6 -</w:t>
      </w:r>
      <w:r>
        <w:rPr>
          <w:rFonts w:ascii="Times New Roman" w:hAnsi="Times New Roman" w:cs="Times New Roman"/>
          <w:sz w:val="32"/>
          <w:szCs w:val="32"/>
        </w:rPr>
        <w:fldChar w:fldCharType="end"/>
      </w:r>
      <w:r>
        <w:rPr>
          <w:rFonts w:ascii="Times New Roman" w:hAnsi="Times New Roman" w:eastAsia="黑体" w:cs="Times New Roman"/>
          <w:sz w:val="32"/>
          <w:szCs w:val="32"/>
        </w:rPr>
        <w:fldChar w:fldCharType="end"/>
      </w:r>
    </w:p>
    <w:p w14:paraId="4B19A1E5">
      <w:pPr>
        <w:pStyle w:val="23"/>
        <w:tabs>
          <w:tab w:val="right" w:leader="dot" w:pos="8306"/>
        </w:tabs>
        <w:rPr>
          <w:rFonts w:ascii="Times New Roman" w:hAnsi="Times New Roman" w:cs="Times New Roman"/>
          <w:sz w:val="32"/>
          <w:szCs w:val="32"/>
        </w:rPr>
      </w:pPr>
      <w:r>
        <w:rPr>
          <w:rFonts w:ascii="Times New Roman" w:hAnsi="Times New Roman" w:eastAsia="黑体" w:cs="Times New Roman"/>
          <w:sz w:val="32"/>
          <w:szCs w:val="32"/>
        </w:rPr>
        <w:fldChar w:fldCharType="begin"/>
      </w:r>
      <w:r>
        <w:rPr>
          <w:rFonts w:ascii="Times New Roman" w:hAnsi="Times New Roman" w:eastAsia="黑体" w:cs="Times New Roman"/>
          <w:sz w:val="32"/>
          <w:szCs w:val="32"/>
        </w:rPr>
        <w:instrText xml:space="preserve"> HYPERLINK \l _Toc4642 </w:instrText>
      </w:r>
      <w:r>
        <w:rPr>
          <w:rFonts w:ascii="Times New Roman" w:hAnsi="Times New Roman" w:eastAsia="黑体" w:cs="Times New Roman"/>
          <w:sz w:val="32"/>
          <w:szCs w:val="32"/>
        </w:rPr>
        <w:fldChar w:fldCharType="separate"/>
      </w:r>
      <w:r>
        <w:rPr>
          <w:rFonts w:ascii="Times New Roman" w:hAnsi="Times New Roman" w:eastAsia="楷体_GB2312" w:cs="Times New Roman"/>
          <w:sz w:val="32"/>
          <w:szCs w:val="32"/>
        </w:rPr>
        <w:t>（三）发展</w:t>
      </w:r>
      <w:r>
        <w:rPr>
          <w:rFonts w:hint="default" w:ascii="Times New Roman" w:hAnsi="Times New Roman" w:eastAsia="楷体_GB2312" w:cs="Times New Roman"/>
          <w:sz w:val="32"/>
          <w:szCs w:val="32"/>
        </w:rPr>
        <w:t>目标</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_Toc4642 \h </w:instrText>
      </w:r>
      <w:r>
        <w:rPr>
          <w:rFonts w:ascii="Times New Roman" w:hAnsi="Times New Roman" w:cs="Times New Roman"/>
          <w:sz w:val="32"/>
          <w:szCs w:val="32"/>
        </w:rPr>
        <w:fldChar w:fldCharType="separate"/>
      </w:r>
      <w:r>
        <w:rPr>
          <w:rFonts w:ascii="Times New Roman" w:hAnsi="Times New Roman" w:cs="Times New Roman"/>
          <w:sz w:val="32"/>
          <w:szCs w:val="32"/>
        </w:rPr>
        <w:t>- 7 -</w:t>
      </w:r>
      <w:r>
        <w:rPr>
          <w:rFonts w:ascii="Times New Roman" w:hAnsi="Times New Roman" w:cs="Times New Roman"/>
          <w:sz w:val="32"/>
          <w:szCs w:val="32"/>
        </w:rPr>
        <w:fldChar w:fldCharType="end"/>
      </w:r>
      <w:r>
        <w:rPr>
          <w:rFonts w:ascii="Times New Roman" w:hAnsi="Times New Roman" w:eastAsia="黑体" w:cs="Times New Roman"/>
          <w:sz w:val="32"/>
          <w:szCs w:val="32"/>
        </w:rPr>
        <w:fldChar w:fldCharType="end"/>
      </w:r>
    </w:p>
    <w:p w14:paraId="6FA8DAA7">
      <w:pPr>
        <w:pStyle w:val="20"/>
        <w:tabs>
          <w:tab w:val="right" w:leader="dot" w:pos="8306"/>
        </w:tabs>
        <w:rPr>
          <w:rFonts w:ascii="Times New Roman" w:hAnsi="Times New Roman" w:cs="Times New Roman"/>
          <w:sz w:val="32"/>
          <w:szCs w:val="32"/>
        </w:rPr>
      </w:pPr>
      <w:r>
        <w:rPr>
          <w:rFonts w:ascii="Times New Roman" w:hAnsi="Times New Roman" w:eastAsia="黑体" w:cs="Times New Roman"/>
          <w:sz w:val="32"/>
          <w:szCs w:val="32"/>
        </w:rPr>
        <w:fldChar w:fldCharType="begin"/>
      </w:r>
      <w:r>
        <w:rPr>
          <w:rFonts w:ascii="Times New Roman" w:hAnsi="Times New Roman" w:eastAsia="黑体" w:cs="Times New Roman"/>
          <w:sz w:val="32"/>
          <w:szCs w:val="32"/>
        </w:rPr>
        <w:instrText xml:space="preserve"> HYPERLINK \l _Toc10559 </w:instrText>
      </w:r>
      <w:r>
        <w:rPr>
          <w:rFonts w:ascii="Times New Roman" w:hAnsi="Times New Roman" w:eastAsia="黑体" w:cs="Times New Roman"/>
          <w:sz w:val="32"/>
          <w:szCs w:val="32"/>
        </w:rPr>
        <w:fldChar w:fldCharType="separate"/>
      </w:r>
      <w:r>
        <w:rPr>
          <w:rFonts w:ascii="Times New Roman" w:hAnsi="Times New Roman" w:eastAsia="黑体" w:cs="Times New Roman"/>
          <w:sz w:val="32"/>
          <w:szCs w:val="32"/>
        </w:rPr>
        <w:t>三、重点任务</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_Toc10559 \h </w:instrText>
      </w:r>
      <w:r>
        <w:rPr>
          <w:rFonts w:ascii="Times New Roman" w:hAnsi="Times New Roman" w:cs="Times New Roman"/>
          <w:sz w:val="32"/>
          <w:szCs w:val="32"/>
        </w:rPr>
        <w:fldChar w:fldCharType="separate"/>
      </w:r>
      <w:r>
        <w:rPr>
          <w:rFonts w:ascii="Times New Roman" w:hAnsi="Times New Roman" w:cs="Times New Roman"/>
          <w:sz w:val="32"/>
          <w:szCs w:val="32"/>
        </w:rPr>
        <w:t>- 8 -</w:t>
      </w:r>
      <w:r>
        <w:rPr>
          <w:rFonts w:ascii="Times New Roman" w:hAnsi="Times New Roman" w:cs="Times New Roman"/>
          <w:sz w:val="32"/>
          <w:szCs w:val="32"/>
        </w:rPr>
        <w:fldChar w:fldCharType="end"/>
      </w:r>
      <w:r>
        <w:rPr>
          <w:rFonts w:ascii="Times New Roman" w:hAnsi="Times New Roman" w:eastAsia="黑体" w:cs="Times New Roman"/>
          <w:sz w:val="32"/>
          <w:szCs w:val="32"/>
        </w:rPr>
        <w:fldChar w:fldCharType="end"/>
      </w:r>
    </w:p>
    <w:p w14:paraId="46DB405E">
      <w:pPr>
        <w:pStyle w:val="23"/>
        <w:tabs>
          <w:tab w:val="right" w:leader="dot" w:pos="8306"/>
        </w:tabs>
        <w:rPr>
          <w:rFonts w:ascii="Times New Roman" w:hAnsi="Times New Roman" w:cs="Times New Roman"/>
          <w:sz w:val="32"/>
          <w:szCs w:val="32"/>
        </w:rPr>
      </w:pPr>
      <w:r>
        <w:rPr>
          <w:rFonts w:ascii="Times New Roman" w:hAnsi="Times New Roman" w:eastAsia="黑体" w:cs="Times New Roman"/>
          <w:sz w:val="32"/>
          <w:szCs w:val="32"/>
        </w:rPr>
        <w:fldChar w:fldCharType="begin"/>
      </w:r>
      <w:r>
        <w:rPr>
          <w:rFonts w:ascii="Times New Roman" w:hAnsi="Times New Roman" w:eastAsia="黑体" w:cs="Times New Roman"/>
          <w:sz w:val="32"/>
          <w:szCs w:val="32"/>
        </w:rPr>
        <w:instrText xml:space="preserve"> HYPERLINK \l _Toc32528 </w:instrText>
      </w:r>
      <w:r>
        <w:rPr>
          <w:rFonts w:ascii="Times New Roman" w:hAnsi="Times New Roman" w:eastAsia="黑体" w:cs="Times New Roman"/>
          <w:sz w:val="32"/>
          <w:szCs w:val="32"/>
        </w:rPr>
        <w:fldChar w:fldCharType="separate"/>
      </w:r>
      <w:r>
        <w:rPr>
          <w:rFonts w:ascii="Times New Roman" w:hAnsi="Times New Roman" w:eastAsia="楷体_GB2312" w:cs="Times New Roman"/>
          <w:sz w:val="32"/>
          <w:szCs w:val="32"/>
        </w:rPr>
        <w:t>（一）</w:t>
      </w:r>
      <w:r>
        <w:rPr>
          <w:rFonts w:hint="default" w:ascii="Times New Roman" w:hAnsi="Times New Roman" w:eastAsia="楷体_GB2312" w:cs="Times New Roman"/>
          <w:sz w:val="32"/>
          <w:szCs w:val="32"/>
        </w:rPr>
        <w:t>增存并举，提振房地产投资积极性</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_Toc32528 \h </w:instrText>
      </w:r>
      <w:r>
        <w:rPr>
          <w:rFonts w:ascii="Times New Roman" w:hAnsi="Times New Roman" w:cs="Times New Roman"/>
          <w:sz w:val="32"/>
          <w:szCs w:val="32"/>
        </w:rPr>
        <w:fldChar w:fldCharType="separate"/>
      </w:r>
      <w:r>
        <w:rPr>
          <w:rFonts w:ascii="Times New Roman" w:hAnsi="Times New Roman" w:cs="Times New Roman"/>
          <w:sz w:val="32"/>
          <w:szCs w:val="32"/>
        </w:rPr>
        <w:t>- 8 -</w:t>
      </w:r>
      <w:r>
        <w:rPr>
          <w:rFonts w:ascii="Times New Roman" w:hAnsi="Times New Roman" w:cs="Times New Roman"/>
          <w:sz w:val="32"/>
          <w:szCs w:val="32"/>
        </w:rPr>
        <w:fldChar w:fldCharType="end"/>
      </w:r>
      <w:r>
        <w:rPr>
          <w:rFonts w:ascii="Times New Roman" w:hAnsi="Times New Roman" w:eastAsia="黑体" w:cs="Times New Roman"/>
          <w:sz w:val="32"/>
          <w:szCs w:val="32"/>
        </w:rPr>
        <w:fldChar w:fldCharType="end"/>
      </w:r>
    </w:p>
    <w:p w14:paraId="66492C67">
      <w:pPr>
        <w:pStyle w:val="23"/>
        <w:tabs>
          <w:tab w:val="right" w:leader="dot" w:pos="8306"/>
        </w:tabs>
        <w:rPr>
          <w:rFonts w:ascii="Times New Roman" w:hAnsi="Times New Roman" w:cs="Times New Roman"/>
          <w:sz w:val="32"/>
          <w:szCs w:val="32"/>
        </w:rPr>
      </w:pPr>
      <w:r>
        <w:rPr>
          <w:rFonts w:ascii="Times New Roman" w:hAnsi="Times New Roman" w:eastAsia="黑体" w:cs="Times New Roman"/>
          <w:sz w:val="32"/>
          <w:szCs w:val="32"/>
        </w:rPr>
        <w:fldChar w:fldCharType="begin"/>
      </w:r>
      <w:r>
        <w:rPr>
          <w:rFonts w:ascii="Times New Roman" w:hAnsi="Times New Roman" w:eastAsia="黑体" w:cs="Times New Roman"/>
          <w:sz w:val="32"/>
          <w:szCs w:val="32"/>
        </w:rPr>
        <w:instrText xml:space="preserve"> HYPERLINK \l _Toc27536 </w:instrText>
      </w:r>
      <w:r>
        <w:rPr>
          <w:rFonts w:ascii="Times New Roman" w:hAnsi="Times New Roman" w:eastAsia="黑体" w:cs="Times New Roman"/>
          <w:sz w:val="32"/>
          <w:szCs w:val="32"/>
        </w:rPr>
        <w:fldChar w:fldCharType="separate"/>
      </w:r>
      <w:r>
        <w:rPr>
          <w:rFonts w:hint="default" w:ascii="Times New Roman" w:hAnsi="Times New Roman" w:eastAsia="楷体_GB2312" w:cs="Times New Roman"/>
          <w:sz w:val="32"/>
          <w:szCs w:val="32"/>
        </w:rPr>
        <w:t>（二）激发需求，多措并举促进住房消费</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_Toc27536 \h </w:instrText>
      </w:r>
      <w:r>
        <w:rPr>
          <w:rFonts w:ascii="Times New Roman" w:hAnsi="Times New Roman" w:cs="Times New Roman"/>
          <w:sz w:val="32"/>
          <w:szCs w:val="32"/>
        </w:rPr>
        <w:fldChar w:fldCharType="separate"/>
      </w:r>
      <w:r>
        <w:rPr>
          <w:rFonts w:ascii="Times New Roman" w:hAnsi="Times New Roman" w:cs="Times New Roman"/>
          <w:sz w:val="32"/>
          <w:szCs w:val="32"/>
        </w:rPr>
        <w:t>- 10 -</w:t>
      </w:r>
      <w:r>
        <w:rPr>
          <w:rFonts w:ascii="Times New Roman" w:hAnsi="Times New Roman" w:cs="Times New Roman"/>
          <w:sz w:val="32"/>
          <w:szCs w:val="32"/>
        </w:rPr>
        <w:fldChar w:fldCharType="end"/>
      </w:r>
      <w:r>
        <w:rPr>
          <w:rFonts w:ascii="Times New Roman" w:hAnsi="Times New Roman" w:eastAsia="黑体" w:cs="Times New Roman"/>
          <w:sz w:val="32"/>
          <w:szCs w:val="32"/>
        </w:rPr>
        <w:fldChar w:fldCharType="end"/>
      </w:r>
    </w:p>
    <w:p w14:paraId="2F97933B">
      <w:pPr>
        <w:pStyle w:val="23"/>
        <w:tabs>
          <w:tab w:val="right" w:leader="dot" w:pos="8306"/>
        </w:tabs>
        <w:rPr>
          <w:rFonts w:ascii="Times New Roman" w:hAnsi="Times New Roman" w:cs="Times New Roman"/>
          <w:sz w:val="32"/>
          <w:szCs w:val="32"/>
        </w:rPr>
      </w:pPr>
      <w:r>
        <w:rPr>
          <w:rFonts w:ascii="Times New Roman" w:hAnsi="Times New Roman" w:eastAsia="黑体" w:cs="Times New Roman"/>
          <w:sz w:val="32"/>
          <w:szCs w:val="32"/>
        </w:rPr>
        <w:fldChar w:fldCharType="begin"/>
      </w:r>
      <w:r>
        <w:rPr>
          <w:rFonts w:ascii="Times New Roman" w:hAnsi="Times New Roman" w:eastAsia="黑体" w:cs="Times New Roman"/>
          <w:sz w:val="32"/>
          <w:szCs w:val="32"/>
        </w:rPr>
        <w:instrText xml:space="preserve"> HYPERLINK \l _Toc24036 </w:instrText>
      </w:r>
      <w:r>
        <w:rPr>
          <w:rFonts w:ascii="Times New Roman" w:hAnsi="Times New Roman" w:eastAsia="黑体" w:cs="Times New Roman"/>
          <w:sz w:val="32"/>
          <w:szCs w:val="32"/>
        </w:rPr>
        <w:fldChar w:fldCharType="separate"/>
      </w:r>
      <w:r>
        <w:rPr>
          <w:rFonts w:ascii="Times New Roman" w:hAnsi="Times New Roman" w:eastAsia="楷体_GB2312" w:cs="Times New Roman"/>
          <w:sz w:val="32"/>
          <w:szCs w:val="32"/>
        </w:rPr>
        <w:t>（三）</w:t>
      </w:r>
      <w:r>
        <w:rPr>
          <w:rFonts w:hint="default" w:ascii="Times New Roman" w:hAnsi="Times New Roman" w:eastAsia="楷体_GB2312" w:cs="Times New Roman"/>
          <w:sz w:val="32"/>
          <w:szCs w:val="32"/>
        </w:rPr>
        <w:t>提升品质，增存并举改善人居环境</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_Toc24036 \h </w:instrText>
      </w:r>
      <w:r>
        <w:rPr>
          <w:rFonts w:ascii="Times New Roman" w:hAnsi="Times New Roman" w:cs="Times New Roman"/>
          <w:sz w:val="32"/>
          <w:szCs w:val="32"/>
        </w:rPr>
        <w:fldChar w:fldCharType="separate"/>
      </w:r>
      <w:r>
        <w:rPr>
          <w:rFonts w:ascii="Times New Roman" w:hAnsi="Times New Roman" w:cs="Times New Roman"/>
          <w:sz w:val="32"/>
          <w:szCs w:val="32"/>
        </w:rPr>
        <w:t>- 11 -</w:t>
      </w:r>
      <w:r>
        <w:rPr>
          <w:rFonts w:ascii="Times New Roman" w:hAnsi="Times New Roman" w:cs="Times New Roman"/>
          <w:sz w:val="32"/>
          <w:szCs w:val="32"/>
        </w:rPr>
        <w:fldChar w:fldCharType="end"/>
      </w:r>
      <w:r>
        <w:rPr>
          <w:rFonts w:ascii="Times New Roman" w:hAnsi="Times New Roman" w:eastAsia="黑体" w:cs="Times New Roman"/>
          <w:sz w:val="32"/>
          <w:szCs w:val="32"/>
        </w:rPr>
        <w:fldChar w:fldCharType="end"/>
      </w:r>
    </w:p>
    <w:p w14:paraId="15D4F46D">
      <w:pPr>
        <w:pStyle w:val="23"/>
        <w:tabs>
          <w:tab w:val="right" w:leader="dot" w:pos="8306"/>
        </w:tabs>
        <w:rPr>
          <w:rFonts w:ascii="Times New Roman" w:hAnsi="Times New Roman" w:cs="Times New Roman"/>
          <w:sz w:val="32"/>
          <w:szCs w:val="32"/>
        </w:rPr>
      </w:pPr>
      <w:r>
        <w:rPr>
          <w:rFonts w:ascii="Times New Roman" w:hAnsi="Times New Roman" w:eastAsia="黑体" w:cs="Times New Roman"/>
          <w:sz w:val="32"/>
          <w:szCs w:val="32"/>
        </w:rPr>
        <w:fldChar w:fldCharType="begin"/>
      </w:r>
      <w:r>
        <w:rPr>
          <w:rFonts w:ascii="Times New Roman" w:hAnsi="Times New Roman" w:eastAsia="黑体" w:cs="Times New Roman"/>
          <w:sz w:val="32"/>
          <w:szCs w:val="32"/>
        </w:rPr>
        <w:instrText xml:space="preserve"> HYPERLINK \l _Toc6755 </w:instrText>
      </w:r>
      <w:r>
        <w:rPr>
          <w:rFonts w:ascii="Times New Roman" w:hAnsi="Times New Roman" w:eastAsia="黑体" w:cs="Times New Roman"/>
          <w:sz w:val="32"/>
          <w:szCs w:val="32"/>
        </w:rPr>
        <w:fldChar w:fldCharType="separate"/>
      </w:r>
      <w:r>
        <w:rPr>
          <w:rFonts w:ascii="Times New Roman" w:hAnsi="Times New Roman" w:eastAsia="楷体_GB2312" w:cs="Times New Roman"/>
          <w:sz w:val="32"/>
          <w:szCs w:val="32"/>
        </w:rPr>
        <w:t>（四）</w:t>
      </w:r>
      <w:r>
        <w:rPr>
          <w:rFonts w:hint="default" w:ascii="Times New Roman" w:hAnsi="Times New Roman" w:eastAsia="楷体_GB2312" w:cs="Times New Roman"/>
          <w:sz w:val="32"/>
          <w:szCs w:val="32"/>
        </w:rPr>
        <w:t>强化保障，全力支撑产业强市建设</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_Toc6755 \h </w:instrText>
      </w:r>
      <w:r>
        <w:rPr>
          <w:rFonts w:ascii="Times New Roman" w:hAnsi="Times New Roman" w:cs="Times New Roman"/>
          <w:sz w:val="32"/>
          <w:szCs w:val="32"/>
        </w:rPr>
        <w:fldChar w:fldCharType="separate"/>
      </w:r>
      <w:r>
        <w:rPr>
          <w:rFonts w:ascii="Times New Roman" w:hAnsi="Times New Roman" w:cs="Times New Roman"/>
          <w:sz w:val="32"/>
          <w:szCs w:val="32"/>
        </w:rPr>
        <w:t>- 13 -</w:t>
      </w:r>
      <w:r>
        <w:rPr>
          <w:rFonts w:ascii="Times New Roman" w:hAnsi="Times New Roman" w:cs="Times New Roman"/>
          <w:sz w:val="32"/>
          <w:szCs w:val="32"/>
        </w:rPr>
        <w:fldChar w:fldCharType="end"/>
      </w:r>
      <w:r>
        <w:rPr>
          <w:rFonts w:ascii="Times New Roman" w:hAnsi="Times New Roman" w:eastAsia="黑体" w:cs="Times New Roman"/>
          <w:sz w:val="32"/>
          <w:szCs w:val="32"/>
        </w:rPr>
        <w:fldChar w:fldCharType="end"/>
      </w:r>
    </w:p>
    <w:p w14:paraId="2643B96D">
      <w:pPr>
        <w:pStyle w:val="23"/>
        <w:tabs>
          <w:tab w:val="right" w:leader="dot" w:pos="8306"/>
        </w:tabs>
        <w:rPr>
          <w:rFonts w:ascii="Times New Roman" w:hAnsi="Times New Roman" w:cs="Times New Roman"/>
          <w:sz w:val="32"/>
          <w:szCs w:val="32"/>
        </w:rPr>
      </w:pPr>
      <w:r>
        <w:rPr>
          <w:rFonts w:ascii="Times New Roman" w:hAnsi="Times New Roman" w:eastAsia="黑体" w:cs="Times New Roman"/>
          <w:sz w:val="32"/>
          <w:szCs w:val="32"/>
        </w:rPr>
        <w:fldChar w:fldCharType="begin"/>
      </w:r>
      <w:r>
        <w:rPr>
          <w:rFonts w:ascii="Times New Roman" w:hAnsi="Times New Roman" w:eastAsia="黑体" w:cs="Times New Roman"/>
          <w:sz w:val="32"/>
          <w:szCs w:val="32"/>
        </w:rPr>
        <w:instrText xml:space="preserve"> HYPERLINK \l _Toc14759 </w:instrText>
      </w:r>
      <w:r>
        <w:rPr>
          <w:rFonts w:ascii="Times New Roman" w:hAnsi="Times New Roman" w:eastAsia="黑体" w:cs="Times New Roman"/>
          <w:sz w:val="32"/>
          <w:szCs w:val="32"/>
        </w:rPr>
        <w:fldChar w:fldCharType="separate"/>
      </w:r>
      <w:r>
        <w:rPr>
          <w:rFonts w:ascii="Times New Roman" w:hAnsi="Times New Roman" w:eastAsia="楷体_GB2312" w:cs="Times New Roman"/>
          <w:sz w:val="32"/>
          <w:szCs w:val="32"/>
        </w:rPr>
        <w:t>（</w:t>
      </w:r>
      <w:r>
        <w:rPr>
          <w:rFonts w:hint="default" w:ascii="Times New Roman" w:hAnsi="Times New Roman" w:eastAsia="楷体_GB2312" w:cs="Times New Roman"/>
          <w:sz w:val="32"/>
          <w:szCs w:val="32"/>
        </w:rPr>
        <w:t>五</w:t>
      </w:r>
      <w:r>
        <w:rPr>
          <w:rFonts w:ascii="Times New Roman" w:hAnsi="Times New Roman" w:eastAsia="楷体_GB2312" w:cs="Times New Roman"/>
          <w:sz w:val="32"/>
          <w:szCs w:val="32"/>
        </w:rPr>
        <w:t>）</w:t>
      </w:r>
      <w:r>
        <w:rPr>
          <w:rFonts w:hint="default" w:ascii="Times New Roman" w:hAnsi="Times New Roman" w:eastAsia="楷体_GB2312" w:cs="Times New Roman"/>
          <w:sz w:val="32"/>
          <w:szCs w:val="32"/>
        </w:rPr>
        <w:t>加强防控，推动市场风险平稳出清</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_Toc14759 \h </w:instrText>
      </w:r>
      <w:r>
        <w:rPr>
          <w:rFonts w:ascii="Times New Roman" w:hAnsi="Times New Roman" w:cs="Times New Roman"/>
          <w:sz w:val="32"/>
          <w:szCs w:val="32"/>
        </w:rPr>
        <w:fldChar w:fldCharType="separate"/>
      </w:r>
      <w:r>
        <w:rPr>
          <w:rFonts w:ascii="Times New Roman" w:hAnsi="Times New Roman" w:cs="Times New Roman"/>
          <w:sz w:val="32"/>
          <w:szCs w:val="32"/>
        </w:rPr>
        <w:t>- 14 -</w:t>
      </w:r>
      <w:r>
        <w:rPr>
          <w:rFonts w:ascii="Times New Roman" w:hAnsi="Times New Roman" w:cs="Times New Roman"/>
          <w:sz w:val="32"/>
          <w:szCs w:val="32"/>
        </w:rPr>
        <w:fldChar w:fldCharType="end"/>
      </w:r>
      <w:r>
        <w:rPr>
          <w:rFonts w:ascii="Times New Roman" w:hAnsi="Times New Roman" w:eastAsia="黑体" w:cs="Times New Roman"/>
          <w:sz w:val="32"/>
          <w:szCs w:val="32"/>
        </w:rPr>
        <w:fldChar w:fldCharType="end"/>
      </w:r>
    </w:p>
    <w:p w14:paraId="03EDFB61">
      <w:pPr>
        <w:pStyle w:val="23"/>
        <w:tabs>
          <w:tab w:val="right" w:leader="dot" w:pos="8306"/>
        </w:tabs>
        <w:rPr>
          <w:rFonts w:ascii="Times New Roman" w:hAnsi="Times New Roman" w:cs="Times New Roman"/>
          <w:sz w:val="32"/>
          <w:szCs w:val="32"/>
        </w:rPr>
      </w:pPr>
      <w:r>
        <w:rPr>
          <w:rFonts w:ascii="Times New Roman" w:hAnsi="Times New Roman" w:eastAsia="黑体" w:cs="Times New Roman"/>
          <w:sz w:val="32"/>
          <w:szCs w:val="32"/>
        </w:rPr>
        <w:fldChar w:fldCharType="begin"/>
      </w:r>
      <w:r>
        <w:rPr>
          <w:rFonts w:ascii="Times New Roman" w:hAnsi="Times New Roman" w:eastAsia="黑体" w:cs="Times New Roman"/>
          <w:sz w:val="32"/>
          <w:szCs w:val="32"/>
        </w:rPr>
        <w:instrText xml:space="preserve"> HYPERLINK \l _Toc28677 </w:instrText>
      </w:r>
      <w:r>
        <w:rPr>
          <w:rFonts w:ascii="Times New Roman" w:hAnsi="Times New Roman" w:eastAsia="黑体" w:cs="Times New Roman"/>
          <w:sz w:val="32"/>
          <w:szCs w:val="32"/>
        </w:rPr>
        <w:fldChar w:fldCharType="separate"/>
      </w:r>
      <w:r>
        <w:rPr>
          <w:rFonts w:hint="default" w:ascii="Times New Roman" w:hAnsi="Times New Roman" w:eastAsia="楷体_GB2312" w:cs="Times New Roman"/>
          <w:sz w:val="32"/>
          <w:szCs w:val="32"/>
        </w:rPr>
        <w:t>（六）推动转型，构建房地产发展新模式</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_Toc28677 \h </w:instrText>
      </w:r>
      <w:r>
        <w:rPr>
          <w:rFonts w:ascii="Times New Roman" w:hAnsi="Times New Roman" w:cs="Times New Roman"/>
          <w:sz w:val="32"/>
          <w:szCs w:val="32"/>
        </w:rPr>
        <w:fldChar w:fldCharType="separate"/>
      </w:r>
      <w:r>
        <w:rPr>
          <w:rFonts w:ascii="Times New Roman" w:hAnsi="Times New Roman" w:cs="Times New Roman"/>
          <w:sz w:val="32"/>
          <w:szCs w:val="32"/>
        </w:rPr>
        <w:t>- 14 -</w:t>
      </w:r>
      <w:r>
        <w:rPr>
          <w:rFonts w:ascii="Times New Roman" w:hAnsi="Times New Roman" w:cs="Times New Roman"/>
          <w:sz w:val="32"/>
          <w:szCs w:val="32"/>
        </w:rPr>
        <w:fldChar w:fldCharType="end"/>
      </w:r>
      <w:r>
        <w:rPr>
          <w:rFonts w:ascii="Times New Roman" w:hAnsi="Times New Roman" w:eastAsia="黑体" w:cs="Times New Roman"/>
          <w:sz w:val="32"/>
          <w:szCs w:val="32"/>
        </w:rPr>
        <w:fldChar w:fldCharType="end"/>
      </w:r>
    </w:p>
    <w:p w14:paraId="74396EB1">
      <w:pPr>
        <w:pStyle w:val="20"/>
        <w:tabs>
          <w:tab w:val="right" w:leader="dot" w:pos="8306"/>
        </w:tabs>
        <w:rPr>
          <w:rFonts w:ascii="Times New Roman" w:hAnsi="Times New Roman" w:cs="Times New Roman"/>
          <w:sz w:val="32"/>
          <w:szCs w:val="32"/>
        </w:rPr>
      </w:pPr>
      <w:r>
        <w:rPr>
          <w:rFonts w:ascii="Times New Roman" w:hAnsi="Times New Roman" w:eastAsia="黑体" w:cs="Times New Roman"/>
          <w:sz w:val="32"/>
          <w:szCs w:val="32"/>
        </w:rPr>
        <w:fldChar w:fldCharType="begin"/>
      </w:r>
      <w:r>
        <w:rPr>
          <w:rFonts w:ascii="Times New Roman" w:hAnsi="Times New Roman" w:eastAsia="黑体" w:cs="Times New Roman"/>
          <w:sz w:val="32"/>
          <w:szCs w:val="32"/>
        </w:rPr>
        <w:instrText xml:space="preserve"> HYPERLINK \l _Toc6429 </w:instrText>
      </w:r>
      <w:r>
        <w:rPr>
          <w:rFonts w:ascii="Times New Roman" w:hAnsi="Times New Roman" w:eastAsia="黑体" w:cs="Times New Roman"/>
          <w:sz w:val="32"/>
          <w:szCs w:val="32"/>
        </w:rPr>
        <w:fldChar w:fldCharType="separate"/>
      </w:r>
      <w:r>
        <w:rPr>
          <w:rFonts w:ascii="Times New Roman" w:hAnsi="Times New Roman" w:eastAsia="黑体" w:cs="Times New Roman"/>
          <w:sz w:val="32"/>
          <w:szCs w:val="32"/>
        </w:rPr>
        <w:t>四、</w:t>
      </w:r>
      <w:r>
        <w:rPr>
          <w:rFonts w:hint="default" w:ascii="Times New Roman" w:hAnsi="Times New Roman" w:eastAsia="黑体" w:cs="Times New Roman"/>
          <w:sz w:val="32"/>
          <w:szCs w:val="32"/>
          <w:lang w:val="en-US" w:eastAsia="zh-CN"/>
        </w:rPr>
        <w:t>分县（市、区）</w:t>
      </w:r>
      <w:r>
        <w:rPr>
          <w:rFonts w:ascii="Times New Roman" w:hAnsi="Times New Roman" w:eastAsia="黑体" w:cs="Times New Roman"/>
          <w:sz w:val="32"/>
          <w:szCs w:val="32"/>
        </w:rPr>
        <w:t>指引</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_Toc6429 \h </w:instrText>
      </w:r>
      <w:r>
        <w:rPr>
          <w:rFonts w:ascii="Times New Roman" w:hAnsi="Times New Roman" w:cs="Times New Roman"/>
          <w:sz w:val="32"/>
          <w:szCs w:val="32"/>
        </w:rPr>
        <w:fldChar w:fldCharType="separate"/>
      </w:r>
      <w:r>
        <w:rPr>
          <w:rFonts w:ascii="Times New Roman" w:hAnsi="Times New Roman" w:cs="Times New Roman"/>
          <w:sz w:val="32"/>
          <w:szCs w:val="32"/>
        </w:rPr>
        <w:t>- 15 -</w:t>
      </w:r>
      <w:r>
        <w:rPr>
          <w:rFonts w:ascii="Times New Roman" w:hAnsi="Times New Roman" w:cs="Times New Roman"/>
          <w:sz w:val="32"/>
          <w:szCs w:val="32"/>
        </w:rPr>
        <w:fldChar w:fldCharType="end"/>
      </w:r>
      <w:r>
        <w:rPr>
          <w:rFonts w:ascii="Times New Roman" w:hAnsi="Times New Roman" w:eastAsia="黑体" w:cs="Times New Roman"/>
          <w:sz w:val="32"/>
          <w:szCs w:val="32"/>
        </w:rPr>
        <w:fldChar w:fldCharType="end"/>
      </w:r>
    </w:p>
    <w:p w14:paraId="50A11221">
      <w:pPr>
        <w:pStyle w:val="23"/>
        <w:tabs>
          <w:tab w:val="right" w:leader="dot" w:pos="8306"/>
        </w:tabs>
        <w:rPr>
          <w:rFonts w:ascii="Times New Roman" w:hAnsi="Times New Roman" w:cs="Times New Roman"/>
          <w:sz w:val="32"/>
          <w:szCs w:val="32"/>
        </w:rPr>
      </w:pPr>
      <w:r>
        <w:rPr>
          <w:rFonts w:ascii="Times New Roman" w:hAnsi="Times New Roman" w:eastAsia="黑体" w:cs="Times New Roman"/>
          <w:sz w:val="32"/>
          <w:szCs w:val="32"/>
        </w:rPr>
        <w:fldChar w:fldCharType="begin"/>
      </w:r>
      <w:r>
        <w:rPr>
          <w:rFonts w:ascii="Times New Roman" w:hAnsi="Times New Roman" w:eastAsia="黑体" w:cs="Times New Roman"/>
          <w:sz w:val="32"/>
          <w:szCs w:val="32"/>
        </w:rPr>
        <w:instrText xml:space="preserve"> HYPERLINK \l _Toc24370 </w:instrText>
      </w:r>
      <w:r>
        <w:rPr>
          <w:rFonts w:ascii="Times New Roman" w:hAnsi="Times New Roman" w:eastAsia="黑体" w:cs="Times New Roman"/>
          <w:sz w:val="32"/>
          <w:szCs w:val="32"/>
        </w:rPr>
        <w:fldChar w:fldCharType="separate"/>
      </w:r>
      <w:r>
        <w:rPr>
          <w:rFonts w:ascii="Times New Roman" w:hAnsi="Times New Roman" w:eastAsia="楷体_GB2312" w:cs="Times New Roman"/>
          <w:sz w:val="32"/>
          <w:szCs w:val="32"/>
        </w:rPr>
        <w:t>（一）</w:t>
      </w:r>
      <w:r>
        <w:rPr>
          <w:rFonts w:hint="default" w:ascii="Times New Roman" w:hAnsi="Times New Roman" w:eastAsia="楷体_GB2312" w:cs="Times New Roman"/>
          <w:sz w:val="32"/>
          <w:szCs w:val="32"/>
        </w:rPr>
        <w:t>榕城区：强协同、树标杆、推改造</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_Toc24370 \h </w:instrText>
      </w:r>
      <w:r>
        <w:rPr>
          <w:rFonts w:ascii="Times New Roman" w:hAnsi="Times New Roman" w:cs="Times New Roman"/>
          <w:sz w:val="32"/>
          <w:szCs w:val="32"/>
        </w:rPr>
        <w:fldChar w:fldCharType="separate"/>
      </w:r>
      <w:r>
        <w:rPr>
          <w:rFonts w:ascii="Times New Roman" w:hAnsi="Times New Roman" w:cs="Times New Roman"/>
          <w:sz w:val="32"/>
          <w:szCs w:val="32"/>
        </w:rPr>
        <w:t>- 15 -</w:t>
      </w:r>
      <w:r>
        <w:rPr>
          <w:rFonts w:ascii="Times New Roman" w:hAnsi="Times New Roman" w:cs="Times New Roman"/>
          <w:sz w:val="32"/>
          <w:szCs w:val="32"/>
        </w:rPr>
        <w:fldChar w:fldCharType="end"/>
      </w:r>
      <w:r>
        <w:rPr>
          <w:rFonts w:ascii="Times New Roman" w:hAnsi="Times New Roman" w:eastAsia="黑体" w:cs="Times New Roman"/>
          <w:sz w:val="32"/>
          <w:szCs w:val="32"/>
        </w:rPr>
        <w:fldChar w:fldCharType="end"/>
      </w:r>
    </w:p>
    <w:p w14:paraId="2D04DD7A">
      <w:pPr>
        <w:pStyle w:val="23"/>
        <w:tabs>
          <w:tab w:val="right" w:leader="dot" w:pos="8306"/>
        </w:tabs>
        <w:rPr>
          <w:rFonts w:ascii="Times New Roman" w:hAnsi="Times New Roman" w:cs="Times New Roman"/>
          <w:sz w:val="32"/>
          <w:szCs w:val="32"/>
        </w:rPr>
      </w:pPr>
      <w:r>
        <w:rPr>
          <w:rFonts w:ascii="Times New Roman" w:hAnsi="Times New Roman" w:eastAsia="黑体" w:cs="Times New Roman"/>
          <w:sz w:val="32"/>
          <w:szCs w:val="32"/>
        </w:rPr>
        <w:fldChar w:fldCharType="begin"/>
      </w:r>
      <w:r>
        <w:rPr>
          <w:rFonts w:ascii="Times New Roman" w:hAnsi="Times New Roman" w:eastAsia="黑体" w:cs="Times New Roman"/>
          <w:sz w:val="32"/>
          <w:szCs w:val="32"/>
        </w:rPr>
        <w:instrText xml:space="preserve"> HYPERLINK \l _Toc5897 </w:instrText>
      </w:r>
      <w:r>
        <w:rPr>
          <w:rFonts w:ascii="Times New Roman" w:hAnsi="Times New Roman" w:eastAsia="黑体" w:cs="Times New Roman"/>
          <w:sz w:val="32"/>
          <w:szCs w:val="32"/>
        </w:rPr>
        <w:fldChar w:fldCharType="separate"/>
      </w:r>
      <w:r>
        <w:rPr>
          <w:rFonts w:ascii="Times New Roman" w:hAnsi="Times New Roman" w:eastAsia="楷体_GB2312" w:cs="Times New Roman"/>
          <w:sz w:val="32"/>
          <w:szCs w:val="32"/>
        </w:rPr>
        <w:t>（二）</w:t>
      </w:r>
      <w:r>
        <w:rPr>
          <w:rFonts w:hint="default" w:ascii="Times New Roman" w:hAnsi="Times New Roman" w:eastAsia="楷体_GB2312" w:cs="Times New Roman"/>
          <w:sz w:val="32"/>
          <w:szCs w:val="32"/>
        </w:rPr>
        <w:t>揭东区：优供给、强租赁、促平衡</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_Toc5897 \h </w:instrText>
      </w:r>
      <w:r>
        <w:rPr>
          <w:rFonts w:ascii="Times New Roman" w:hAnsi="Times New Roman" w:cs="Times New Roman"/>
          <w:sz w:val="32"/>
          <w:szCs w:val="32"/>
        </w:rPr>
        <w:fldChar w:fldCharType="separate"/>
      </w:r>
      <w:r>
        <w:rPr>
          <w:rFonts w:ascii="Times New Roman" w:hAnsi="Times New Roman" w:cs="Times New Roman"/>
          <w:sz w:val="32"/>
          <w:szCs w:val="32"/>
        </w:rPr>
        <w:t>- 16 -</w:t>
      </w:r>
      <w:r>
        <w:rPr>
          <w:rFonts w:ascii="Times New Roman" w:hAnsi="Times New Roman" w:cs="Times New Roman"/>
          <w:sz w:val="32"/>
          <w:szCs w:val="32"/>
        </w:rPr>
        <w:fldChar w:fldCharType="end"/>
      </w:r>
      <w:r>
        <w:rPr>
          <w:rFonts w:ascii="Times New Roman" w:hAnsi="Times New Roman" w:eastAsia="黑体" w:cs="Times New Roman"/>
          <w:sz w:val="32"/>
          <w:szCs w:val="32"/>
        </w:rPr>
        <w:fldChar w:fldCharType="end"/>
      </w:r>
    </w:p>
    <w:p w14:paraId="6835A0A0">
      <w:pPr>
        <w:pStyle w:val="23"/>
        <w:tabs>
          <w:tab w:val="right" w:leader="dot" w:pos="8306"/>
        </w:tabs>
        <w:rPr>
          <w:rFonts w:ascii="Times New Roman" w:hAnsi="Times New Roman" w:cs="Times New Roman"/>
          <w:sz w:val="32"/>
          <w:szCs w:val="32"/>
        </w:rPr>
      </w:pPr>
      <w:r>
        <w:rPr>
          <w:rFonts w:ascii="Times New Roman" w:hAnsi="Times New Roman" w:eastAsia="黑体" w:cs="Times New Roman"/>
          <w:sz w:val="32"/>
          <w:szCs w:val="32"/>
        </w:rPr>
        <w:fldChar w:fldCharType="begin"/>
      </w:r>
      <w:r>
        <w:rPr>
          <w:rFonts w:ascii="Times New Roman" w:hAnsi="Times New Roman" w:eastAsia="黑体" w:cs="Times New Roman"/>
          <w:sz w:val="32"/>
          <w:szCs w:val="32"/>
        </w:rPr>
        <w:instrText xml:space="preserve"> HYPERLINK \l _Toc9903 </w:instrText>
      </w:r>
      <w:r>
        <w:rPr>
          <w:rFonts w:ascii="Times New Roman" w:hAnsi="Times New Roman" w:eastAsia="黑体" w:cs="Times New Roman"/>
          <w:sz w:val="32"/>
          <w:szCs w:val="32"/>
        </w:rPr>
        <w:fldChar w:fldCharType="separate"/>
      </w:r>
      <w:r>
        <w:rPr>
          <w:rFonts w:ascii="Times New Roman" w:hAnsi="Times New Roman" w:eastAsia="楷体_GB2312" w:cs="Times New Roman"/>
          <w:sz w:val="32"/>
          <w:szCs w:val="32"/>
        </w:rPr>
        <w:t>（三）</w:t>
      </w:r>
      <w:r>
        <w:rPr>
          <w:rFonts w:hint="default" w:ascii="Times New Roman" w:hAnsi="Times New Roman" w:eastAsia="楷体_GB2312" w:cs="Times New Roman"/>
          <w:sz w:val="32"/>
          <w:szCs w:val="32"/>
        </w:rPr>
        <w:t>普宁市：筑底盘、扩保障、重配套</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_Toc9903 \h </w:instrText>
      </w:r>
      <w:r>
        <w:rPr>
          <w:rFonts w:ascii="Times New Roman" w:hAnsi="Times New Roman" w:cs="Times New Roman"/>
          <w:sz w:val="32"/>
          <w:szCs w:val="32"/>
        </w:rPr>
        <w:fldChar w:fldCharType="separate"/>
      </w:r>
      <w:r>
        <w:rPr>
          <w:rFonts w:ascii="Times New Roman" w:hAnsi="Times New Roman" w:cs="Times New Roman"/>
          <w:sz w:val="32"/>
          <w:szCs w:val="32"/>
        </w:rPr>
        <w:t>- 16 -</w:t>
      </w:r>
      <w:r>
        <w:rPr>
          <w:rFonts w:ascii="Times New Roman" w:hAnsi="Times New Roman" w:cs="Times New Roman"/>
          <w:sz w:val="32"/>
          <w:szCs w:val="32"/>
        </w:rPr>
        <w:fldChar w:fldCharType="end"/>
      </w:r>
      <w:r>
        <w:rPr>
          <w:rFonts w:ascii="Times New Roman" w:hAnsi="Times New Roman" w:eastAsia="黑体" w:cs="Times New Roman"/>
          <w:sz w:val="32"/>
          <w:szCs w:val="32"/>
        </w:rPr>
        <w:fldChar w:fldCharType="end"/>
      </w:r>
    </w:p>
    <w:p w14:paraId="03F245FE">
      <w:pPr>
        <w:pStyle w:val="23"/>
        <w:tabs>
          <w:tab w:val="right" w:leader="dot" w:pos="8306"/>
        </w:tabs>
        <w:rPr>
          <w:rFonts w:ascii="Times New Roman" w:hAnsi="Times New Roman" w:cs="Times New Roman"/>
          <w:sz w:val="32"/>
          <w:szCs w:val="32"/>
        </w:rPr>
      </w:pPr>
      <w:r>
        <w:rPr>
          <w:rFonts w:ascii="Times New Roman" w:hAnsi="Times New Roman" w:eastAsia="黑体" w:cs="Times New Roman"/>
          <w:sz w:val="32"/>
          <w:szCs w:val="32"/>
        </w:rPr>
        <w:fldChar w:fldCharType="begin"/>
      </w:r>
      <w:r>
        <w:rPr>
          <w:rFonts w:ascii="Times New Roman" w:hAnsi="Times New Roman" w:eastAsia="黑体" w:cs="Times New Roman"/>
          <w:sz w:val="32"/>
          <w:szCs w:val="32"/>
        </w:rPr>
        <w:instrText xml:space="preserve"> HYPERLINK \l _Toc4586 </w:instrText>
      </w:r>
      <w:r>
        <w:rPr>
          <w:rFonts w:ascii="Times New Roman" w:hAnsi="Times New Roman" w:eastAsia="黑体" w:cs="Times New Roman"/>
          <w:sz w:val="32"/>
          <w:szCs w:val="32"/>
        </w:rPr>
        <w:fldChar w:fldCharType="separate"/>
      </w:r>
      <w:r>
        <w:rPr>
          <w:rFonts w:hint="default" w:ascii="Times New Roman" w:hAnsi="Times New Roman" w:eastAsia="楷体_GB2312" w:cs="Times New Roman"/>
          <w:sz w:val="32"/>
          <w:szCs w:val="32"/>
        </w:rPr>
        <w:t>（四）揭西县：去库存、促融合、拓康养</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_Toc4586 \h </w:instrText>
      </w:r>
      <w:r>
        <w:rPr>
          <w:rFonts w:ascii="Times New Roman" w:hAnsi="Times New Roman" w:cs="Times New Roman"/>
          <w:sz w:val="32"/>
          <w:szCs w:val="32"/>
        </w:rPr>
        <w:fldChar w:fldCharType="separate"/>
      </w:r>
      <w:r>
        <w:rPr>
          <w:rFonts w:ascii="Times New Roman" w:hAnsi="Times New Roman" w:cs="Times New Roman"/>
          <w:sz w:val="32"/>
          <w:szCs w:val="32"/>
        </w:rPr>
        <w:t>- 17 -</w:t>
      </w:r>
      <w:r>
        <w:rPr>
          <w:rFonts w:ascii="Times New Roman" w:hAnsi="Times New Roman" w:cs="Times New Roman"/>
          <w:sz w:val="32"/>
          <w:szCs w:val="32"/>
        </w:rPr>
        <w:fldChar w:fldCharType="end"/>
      </w:r>
      <w:r>
        <w:rPr>
          <w:rFonts w:ascii="Times New Roman" w:hAnsi="Times New Roman" w:eastAsia="黑体" w:cs="Times New Roman"/>
          <w:sz w:val="32"/>
          <w:szCs w:val="32"/>
        </w:rPr>
        <w:fldChar w:fldCharType="end"/>
      </w:r>
    </w:p>
    <w:p w14:paraId="483D042D">
      <w:pPr>
        <w:pStyle w:val="23"/>
        <w:tabs>
          <w:tab w:val="right" w:leader="dot" w:pos="8306"/>
        </w:tabs>
        <w:rPr>
          <w:rFonts w:ascii="Times New Roman" w:hAnsi="Times New Roman" w:cs="Times New Roman"/>
          <w:sz w:val="32"/>
          <w:szCs w:val="32"/>
        </w:rPr>
      </w:pPr>
      <w:r>
        <w:rPr>
          <w:rFonts w:ascii="Times New Roman" w:hAnsi="Times New Roman" w:eastAsia="黑体" w:cs="Times New Roman"/>
          <w:sz w:val="32"/>
          <w:szCs w:val="32"/>
        </w:rPr>
        <w:fldChar w:fldCharType="begin"/>
      </w:r>
      <w:r>
        <w:rPr>
          <w:rFonts w:ascii="Times New Roman" w:hAnsi="Times New Roman" w:eastAsia="黑体" w:cs="Times New Roman"/>
          <w:sz w:val="32"/>
          <w:szCs w:val="32"/>
        </w:rPr>
        <w:instrText xml:space="preserve"> HYPERLINK \l _Toc677 </w:instrText>
      </w:r>
      <w:r>
        <w:rPr>
          <w:rFonts w:ascii="Times New Roman" w:hAnsi="Times New Roman" w:eastAsia="黑体" w:cs="Times New Roman"/>
          <w:sz w:val="32"/>
          <w:szCs w:val="32"/>
        </w:rPr>
        <w:fldChar w:fldCharType="separate"/>
      </w:r>
      <w:r>
        <w:rPr>
          <w:rFonts w:hint="default" w:ascii="Times New Roman" w:hAnsi="Times New Roman" w:eastAsia="楷体_GB2312" w:cs="Times New Roman"/>
          <w:sz w:val="32"/>
          <w:szCs w:val="32"/>
        </w:rPr>
        <w:t>（五）惠来县：优结构</w:t>
      </w:r>
      <w:r>
        <w:rPr>
          <w:rFonts w:hint="default" w:ascii="Times New Roman" w:hAnsi="Times New Roman" w:eastAsia="楷体_GB2312" w:cs="Times New Roman"/>
          <w:sz w:val="32"/>
          <w:szCs w:val="32"/>
          <w:lang w:eastAsia="zh-CN"/>
        </w:rPr>
        <w:t>、</w:t>
      </w:r>
      <w:r>
        <w:rPr>
          <w:rFonts w:hint="default" w:ascii="Times New Roman" w:hAnsi="Times New Roman" w:eastAsia="楷体_GB2312" w:cs="Times New Roman"/>
          <w:sz w:val="32"/>
          <w:szCs w:val="32"/>
        </w:rPr>
        <w:t>扩供给、促融合</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_Toc677 \h </w:instrText>
      </w:r>
      <w:r>
        <w:rPr>
          <w:rFonts w:ascii="Times New Roman" w:hAnsi="Times New Roman" w:cs="Times New Roman"/>
          <w:sz w:val="32"/>
          <w:szCs w:val="32"/>
        </w:rPr>
        <w:fldChar w:fldCharType="separate"/>
      </w:r>
      <w:r>
        <w:rPr>
          <w:rFonts w:ascii="Times New Roman" w:hAnsi="Times New Roman" w:cs="Times New Roman"/>
          <w:sz w:val="32"/>
          <w:szCs w:val="32"/>
        </w:rPr>
        <w:t>- 17 -</w:t>
      </w:r>
      <w:r>
        <w:rPr>
          <w:rFonts w:ascii="Times New Roman" w:hAnsi="Times New Roman" w:cs="Times New Roman"/>
          <w:sz w:val="32"/>
          <w:szCs w:val="32"/>
        </w:rPr>
        <w:fldChar w:fldCharType="end"/>
      </w:r>
      <w:r>
        <w:rPr>
          <w:rFonts w:ascii="Times New Roman" w:hAnsi="Times New Roman" w:eastAsia="黑体" w:cs="Times New Roman"/>
          <w:sz w:val="32"/>
          <w:szCs w:val="32"/>
        </w:rPr>
        <w:fldChar w:fldCharType="end"/>
      </w:r>
    </w:p>
    <w:p w14:paraId="42888E36">
      <w:pPr>
        <w:pStyle w:val="20"/>
        <w:tabs>
          <w:tab w:val="right" w:leader="dot" w:pos="8306"/>
        </w:tabs>
        <w:rPr>
          <w:rFonts w:ascii="Times New Roman" w:hAnsi="Times New Roman" w:cs="Times New Roman"/>
          <w:sz w:val="32"/>
          <w:szCs w:val="32"/>
        </w:rPr>
      </w:pPr>
      <w:r>
        <w:rPr>
          <w:rFonts w:ascii="Times New Roman" w:hAnsi="Times New Roman" w:eastAsia="黑体" w:cs="Times New Roman"/>
          <w:sz w:val="32"/>
          <w:szCs w:val="32"/>
        </w:rPr>
        <w:fldChar w:fldCharType="begin"/>
      </w:r>
      <w:r>
        <w:rPr>
          <w:rFonts w:ascii="Times New Roman" w:hAnsi="Times New Roman" w:eastAsia="黑体" w:cs="Times New Roman"/>
          <w:sz w:val="32"/>
          <w:szCs w:val="32"/>
        </w:rPr>
        <w:instrText xml:space="preserve"> HYPERLINK \l _Toc22109 </w:instrText>
      </w:r>
      <w:r>
        <w:rPr>
          <w:rFonts w:ascii="Times New Roman" w:hAnsi="Times New Roman" w:eastAsia="黑体" w:cs="Times New Roman"/>
          <w:sz w:val="32"/>
          <w:szCs w:val="32"/>
        </w:rPr>
        <w:fldChar w:fldCharType="separate"/>
      </w:r>
      <w:r>
        <w:rPr>
          <w:rFonts w:hint="default" w:ascii="Times New Roman" w:hAnsi="Times New Roman" w:eastAsia="黑体" w:cs="Times New Roman"/>
          <w:sz w:val="32"/>
          <w:szCs w:val="32"/>
          <w:lang w:val="en-US" w:eastAsia="zh-CN"/>
        </w:rPr>
        <w:t>五</w:t>
      </w:r>
      <w:r>
        <w:rPr>
          <w:rFonts w:ascii="Times New Roman" w:hAnsi="Times New Roman" w:eastAsia="黑体" w:cs="Times New Roman"/>
          <w:sz w:val="32"/>
          <w:szCs w:val="32"/>
        </w:rPr>
        <w:t>、实施保障</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_Toc22109 \h </w:instrText>
      </w:r>
      <w:r>
        <w:rPr>
          <w:rFonts w:ascii="Times New Roman" w:hAnsi="Times New Roman" w:cs="Times New Roman"/>
          <w:sz w:val="32"/>
          <w:szCs w:val="32"/>
        </w:rPr>
        <w:fldChar w:fldCharType="separate"/>
      </w:r>
      <w:r>
        <w:rPr>
          <w:rFonts w:ascii="Times New Roman" w:hAnsi="Times New Roman" w:cs="Times New Roman"/>
          <w:sz w:val="32"/>
          <w:szCs w:val="32"/>
        </w:rPr>
        <w:t>- 18 -</w:t>
      </w:r>
      <w:r>
        <w:rPr>
          <w:rFonts w:ascii="Times New Roman" w:hAnsi="Times New Roman" w:cs="Times New Roman"/>
          <w:sz w:val="32"/>
          <w:szCs w:val="32"/>
        </w:rPr>
        <w:fldChar w:fldCharType="end"/>
      </w:r>
      <w:r>
        <w:rPr>
          <w:rFonts w:ascii="Times New Roman" w:hAnsi="Times New Roman" w:eastAsia="黑体" w:cs="Times New Roman"/>
          <w:sz w:val="32"/>
          <w:szCs w:val="32"/>
        </w:rPr>
        <w:fldChar w:fldCharType="end"/>
      </w:r>
    </w:p>
    <w:p w14:paraId="169B6F77">
      <w:pPr>
        <w:pStyle w:val="23"/>
        <w:tabs>
          <w:tab w:val="right" w:leader="dot" w:pos="8306"/>
        </w:tabs>
        <w:rPr>
          <w:rFonts w:ascii="Times New Roman" w:hAnsi="Times New Roman" w:cs="Times New Roman"/>
          <w:sz w:val="32"/>
          <w:szCs w:val="32"/>
        </w:rPr>
      </w:pPr>
      <w:r>
        <w:rPr>
          <w:rFonts w:ascii="Times New Roman" w:hAnsi="Times New Roman" w:eastAsia="黑体" w:cs="Times New Roman"/>
          <w:sz w:val="32"/>
          <w:szCs w:val="32"/>
        </w:rPr>
        <w:fldChar w:fldCharType="begin"/>
      </w:r>
      <w:r>
        <w:rPr>
          <w:rFonts w:ascii="Times New Roman" w:hAnsi="Times New Roman" w:eastAsia="黑体" w:cs="Times New Roman"/>
          <w:sz w:val="32"/>
          <w:szCs w:val="32"/>
        </w:rPr>
        <w:instrText xml:space="preserve"> HYPERLINK \l _Toc29165 </w:instrText>
      </w:r>
      <w:r>
        <w:rPr>
          <w:rFonts w:ascii="Times New Roman" w:hAnsi="Times New Roman" w:eastAsia="黑体" w:cs="Times New Roman"/>
          <w:sz w:val="32"/>
          <w:szCs w:val="32"/>
        </w:rPr>
        <w:fldChar w:fldCharType="separate"/>
      </w:r>
      <w:r>
        <w:rPr>
          <w:rFonts w:ascii="Times New Roman" w:hAnsi="Times New Roman" w:eastAsia="楷体_GB2312" w:cs="Times New Roman"/>
          <w:sz w:val="32"/>
          <w:szCs w:val="32"/>
        </w:rPr>
        <w:t>（一）</w:t>
      </w:r>
      <w:r>
        <w:rPr>
          <w:rFonts w:hint="default" w:ascii="Times New Roman" w:hAnsi="Times New Roman" w:eastAsia="楷体_GB2312" w:cs="Times New Roman"/>
          <w:sz w:val="32"/>
          <w:szCs w:val="32"/>
        </w:rPr>
        <w:t>加强规划组织领导</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_Toc29165 \h </w:instrText>
      </w:r>
      <w:r>
        <w:rPr>
          <w:rFonts w:ascii="Times New Roman" w:hAnsi="Times New Roman" w:cs="Times New Roman"/>
          <w:sz w:val="32"/>
          <w:szCs w:val="32"/>
        </w:rPr>
        <w:fldChar w:fldCharType="separate"/>
      </w:r>
      <w:r>
        <w:rPr>
          <w:rFonts w:ascii="Times New Roman" w:hAnsi="Times New Roman" w:cs="Times New Roman"/>
          <w:sz w:val="32"/>
          <w:szCs w:val="32"/>
        </w:rPr>
        <w:t>- 18 -</w:t>
      </w:r>
      <w:r>
        <w:rPr>
          <w:rFonts w:ascii="Times New Roman" w:hAnsi="Times New Roman" w:cs="Times New Roman"/>
          <w:sz w:val="32"/>
          <w:szCs w:val="32"/>
        </w:rPr>
        <w:fldChar w:fldCharType="end"/>
      </w:r>
      <w:r>
        <w:rPr>
          <w:rFonts w:ascii="Times New Roman" w:hAnsi="Times New Roman" w:eastAsia="黑体" w:cs="Times New Roman"/>
          <w:sz w:val="32"/>
          <w:szCs w:val="32"/>
        </w:rPr>
        <w:fldChar w:fldCharType="end"/>
      </w:r>
    </w:p>
    <w:p w14:paraId="3B951E51">
      <w:pPr>
        <w:pStyle w:val="23"/>
        <w:tabs>
          <w:tab w:val="right" w:leader="dot" w:pos="8306"/>
        </w:tabs>
        <w:rPr>
          <w:rFonts w:ascii="Times New Roman" w:hAnsi="Times New Roman" w:cs="Times New Roman"/>
          <w:sz w:val="32"/>
          <w:szCs w:val="32"/>
        </w:rPr>
      </w:pPr>
      <w:r>
        <w:rPr>
          <w:rFonts w:ascii="Times New Roman" w:hAnsi="Times New Roman" w:eastAsia="黑体" w:cs="Times New Roman"/>
          <w:sz w:val="32"/>
          <w:szCs w:val="32"/>
        </w:rPr>
        <w:fldChar w:fldCharType="begin"/>
      </w:r>
      <w:r>
        <w:rPr>
          <w:rFonts w:ascii="Times New Roman" w:hAnsi="Times New Roman" w:eastAsia="黑体" w:cs="Times New Roman"/>
          <w:sz w:val="32"/>
          <w:szCs w:val="32"/>
        </w:rPr>
        <w:instrText xml:space="preserve"> HYPERLINK \l _Toc448 </w:instrText>
      </w:r>
      <w:r>
        <w:rPr>
          <w:rFonts w:ascii="Times New Roman" w:hAnsi="Times New Roman" w:eastAsia="黑体" w:cs="Times New Roman"/>
          <w:sz w:val="32"/>
          <w:szCs w:val="32"/>
        </w:rPr>
        <w:fldChar w:fldCharType="separate"/>
      </w:r>
      <w:r>
        <w:rPr>
          <w:rFonts w:ascii="Times New Roman" w:hAnsi="Times New Roman" w:eastAsia="楷体_GB2312" w:cs="Times New Roman"/>
          <w:sz w:val="32"/>
          <w:szCs w:val="32"/>
        </w:rPr>
        <w:t>（二）</w:t>
      </w:r>
      <w:r>
        <w:rPr>
          <w:rFonts w:hint="default" w:ascii="Times New Roman" w:hAnsi="Times New Roman" w:eastAsia="楷体_GB2312" w:cs="Times New Roman"/>
          <w:sz w:val="32"/>
          <w:szCs w:val="32"/>
        </w:rPr>
        <w:t>做好评估与动态调整</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_Toc448 \h </w:instrText>
      </w:r>
      <w:r>
        <w:rPr>
          <w:rFonts w:ascii="Times New Roman" w:hAnsi="Times New Roman" w:cs="Times New Roman"/>
          <w:sz w:val="32"/>
          <w:szCs w:val="32"/>
        </w:rPr>
        <w:fldChar w:fldCharType="separate"/>
      </w:r>
      <w:r>
        <w:rPr>
          <w:rFonts w:ascii="Times New Roman" w:hAnsi="Times New Roman" w:cs="Times New Roman"/>
          <w:sz w:val="32"/>
          <w:szCs w:val="32"/>
        </w:rPr>
        <w:t>- 18 -</w:t>
      </w:r>
      <w:r>
        <w:rPr>
          <w:rFonts w:ascii="Times New Roman" w:hAnsi="Times New Roman" w:cs="Times New Roman"/>
          <w:sz w:val="32"/>
          <w:szCs w:val="32"/>
        </w:rPr>
        <w:fldChar w:fldCharType="end"/>
      </w:r>
      <w:r>
        <w:rPr>
          <w:rFonts w:ascii="Times New Roman" w:hAnsi="Times New Roman" w:eastAsia="黑体" w:cs="Times New Roman"/>
          <w:sz w:val="32"/>
          <w:szCs w:val="32"/>
        </w:rPr>
        <w:fldChar w:fldCharType="end"/>
      </w:r>
    </w:p>
    <w:p w14:paraId="460F99CA">
      <w:pPr>
        <w:pStyle w:val="23"/>
        <w:tabs>
          <w:tab w:val="right" w:leader="dot" w:pos="8306"/>
        </w:tabs>
        <w:rPr>
          <w:rFonts w:ascii="Times New Roman" w:hAnsi="Times New Roman" w:cs="Times New Roman"/>
          <w:sz w:val="32"/>
          <w:szCs w:val="32"/>
        </w:rPr>
      </w:pPr>
      <w:r>
        <w:rPr>
          <w:rFonts w:ascii="Times New Roman" w:hAnsi="Times New Roman" w:eastAsia="黑体" w:cs="Times New Roman"/>
          <w:sz w:val="32"/>
          <w:szCs w:val="32"/>
        </w:rPr>
        <w:fldChar w:fldCharType="begin"/>
      </w:r>
      <w:r>
        <w:rPr>
          <w:rFonts w:ascii="Times New Roman" w:hAnsi="Times New Roman" w:eastAsia="黑体" w:cs="Times New Roman"/>
          <w:sz w:val="32"/>
          <w:szCs w:val="32"/>
        </w:rPr>
        <w:instrText xml:space="preserve"> HYPERLINK \l _Toc30385 </w:instrText>
      </w:r>
      <w:r>
        <w:rPr>
          <w:rFonts w:ascii="Times New Roman" w:hAnsi="Times New Roman" w:eastAsia="黑体" w:cs="Times New Roman"/>
          <w:sz w:val="32"/>
          <w:szCs w:val="32"/>
        </w:rPr>
        <w:fldChar w:fldCharType="separate"/>
      </w:r>
      <w:r>
        <w:rPr>
          <w:rFonts w:ascii="Times New Roman" w:hAnsi="Times New Roman" w:eastAsia="楷体_GB2312" w:cs="Times New Roman"/>
          <w:sz w:val="32"/>
          <w:szCs w:val="32"/>
        </w:rPr>
        <w:t>（三）</w:t>
      </w:r>
      <w:r>
        <w:rPr>
          <w:rFonts w:hint="default" w:ascii="Times New Roman" w:hAnsi="Times New Roman" w:eastAsia="楷体_GB2312" w:cs="Times New Roman"/>
          <w:sz w:val="32"/>
          <w:szCs w:val="32"/>
        </w:rPr>
        <w:t>做好规划宣传与解读</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_Toc30385 \h </w:instrText>
      </w:r>
      <w:r>
        <w:rPr>
          <w:rFonts w:ascii="Times New Roman" w:hAnsi="Times New Roman" w:cs="Times New Roman"/>
          <w:sz w:val="32"/>
          <w:szCs w:val="32"/>
        </w:rPr>
        <w:fldChar w:fldCharType="separate"/>
      </w:r>
      <w:r>
        <w:rPr>
          <w:rFonts w:ascii="Times New Roman" w:hAnsi="Times New Roman" w:cs="Times New Roman"/>
          <w:sz w:val="32"/>
          <w:szCs w:val="32"/>
        </w:rPr>
        <w:t>- 18 -</w:t>
      </w:r>
      <w:r>
        <w:rPr>
          <w:rFonts w:ascii="Times New Roman" w:hAnsi="Times New Roman" w:cs="Times New Roman"/>
          <w:sz w:val="32"/>
          <w:szCs w:val="32"/>
        </w:rPr>
        <w:fldChar w:fldCharType="end"/>
      </w:r>
      <w:r>
        <w:rPr>
          <w:rFonts w:ascii="Times New Roman" w:hAnsi="Times New Roman" w:eastAsia="黑体" w:cs="Times New Roman"/>
          <w:sz w:val="32"/>
          <w:szCs w:val="32"/>
        </w:rPr>
        <w:fldChar w:fldCharType="end"/>
      </w:r>
    </w:p>
    <w:p w14:paraId="57EE6E5D">
      <w:pPr>
        <w:pStyle w:val="20"/>
        <w:tabs>
          <w:tab w:val="right" w:leader="dot" w:pos="8306"/>
        </w:tabs>
        <w:rPr>
          <w:rFonts w:ascii="Times New Roman" w:hAnsi="Times New Roman" w:cs="Times New Roman"/>
          <w:sz w:val="32"/>
          <w:szCs w:val="32"/>
        </w:rPr>
      </w:pPr>
      <w:r>
        <w:rPr>
          <w:rFonts w:ascii="Times New Roman" w:hAnsi="Times New Roman" w:eastAsia="黑体" w:cs="Times New Roman"/>
          <w:sz w:val="32"/>
          <w:szCs w:val="32"/>
        </w:rPr>
        <w:fldChar w:fldCharType="begin"/>
      </w:r>
      <w:r>
        <w:rPr>
          <w:rFonts w:ascii="Times New Roman" w:hAnsi="Times New Roman" w:eastAsia="黑体" w:cs="Times New Roman"/>
          <w:sz w:val="32"/>
          <w:szCs w:val="32"/>
        </w:rPr>
        <w:instrText xml:space="preserve"> HYPERLINK \l _Toc1745 </w:instrText>
      </w:r>
      <w:r>
        <w:rPr>
          <w:rFonts w:ascii="Times New Roman" w:hAnsi="Times New Roman" w:eastAsia="黑体" w:cs="Times New Roman"/>
          <w:sz w:val="32"/>
          <w:szCs w:val="32"/>
        </w:rPr>
        <w:fldChar w:fldCharType="separate"/>
      </w:r>
      <w:r>
        <w:rPr>
          <w:rFonts w:hint="default" w:ascii="Times New Roman" w:hAnsi="Times New Roman" w:eastAsia="黑体" w:cs="Times New Roman"/>
          <w:sz w:val="32"/>
          <w:szCs w:val="32"/>
          <w:lang w:val="en-US" w:eastAsia="zh-CN"/>
        </w:rPr>
        <w:t>附件1：揭阳市住房发展“十五五”目标指标一览表</w:t>
      </w:r>
      <w:r>
        <w:rPr>
          <w:rFonts w:ascii="Times New Roman" w:hAnsi="Times New Roman" w:cs="Times New Roman"/>
          <w:sz w:val="32"/>
          <w:szCs w:val="32"/>
        </w:rPr>
        <w:tab/>
      </w:r>
      <w:r>
        <w:rPr>
          <w:rFonts w:ascii="Times New Roman" w:hAnsi="Times New Roman" w:cs="Times New Roman"/>
          <w:sz w:val="32"/>
          <w:szCs w:val="32"/>
        </w:rPr>
        <w:fldChar w:fldCharType="begin"/>
      </w:r>
      <w:r>
        <w:rPr>
          <w:rFonts w:ascii="Times New Roman" w:hAnsi="Times New Roman" w:cs="Times New Roman"/>
          <w:sz w:val="32"/>
          <w:szCs w:val="32"/>
        </w:rPr>
        <w:instrText xml:space="preserve"> PAGEREF _Toc1745 \h </w:instrText>
      </w:r>
      <w:r>
        <w:rPr>
          <w:rFonts w:ascii="Times New Roman" w:hAnsi="Times New Roman" w:cs="Times New Roman"/>
          <w:sz w:val="32"/>
          <w:szCs w:val="32"/>
        </w:rPr>
        <w:fldChar w:fldCharType="separate"/>
      </w:r>
      <w:r>
        <w:rPr>
          <w:rFonts w:ascii="Times New Roman" w:hAnsi="Times New Roman" w:cs="Times New Roman"/>
          <w:sz w:val="32"/>
          <w:szCs w:val="32"/>
        </w:rPr>
        <w:t>- 20 -</w:t>
      </w:r>
      <w:r>
        <w:rPr>
          <w:rFonts w:ascii="Times New Roman" w:hAnsi="Times New Roman" w:cs="Times New Roman"/>
          <w:sz w:val="32"/>
          <w:szCs w:val="32"/>
        </w:rPr>
        <w:fldChar w:fldCharType="end"/>
      </w:r>
      <w:r>
        <w:rPr>
          <w:rFonts w:ascii="Times New Roman" w:hAnsi="Times New Roman" w:eastAsia="黑体" w:cs="Times New Roman"/>
          <w:sz w:val="32"/>
          <w:szCs w:val="32"/>
        </w:rPr>
        <w:fldChar w:fldCharType="end"/>
      </w:r>
    </w:p>
    <w:p w14:paraId="170AB9DE">
      <w:pPr>
        <w:pStyle w:val="20"/>
        <w:tabs>
          <w:tab w:val="right" w:leader="dot" w:pos="8306"/>
        </w:tabs>
        <w:rPr>
          <w:rFonts w:hint="default" w:ascii="Times New Roman" w:hAnsi="Times New Roman" w:eastAsia="黑体" w:cs="Times New Roman"/>
          <w:sz w:val="32"/>
          <w:szCs w:val="32"/>
        </w:rPr>
      </w:pPr>
      <w:r>
        <w:rPr>
          <w:rFonts w:hint="default" w:ascii="Times New Roman" w:hAnsi="Times New Roman" w:eastAsia="黑体" w:cs="Times New Roman"/>
          <w:sz w:val="32"/>
          <w:szCs w:val="32"/>
        </w:rPr>
        <w:fldChar w:fldCharType="begin"/>
      </w:r>
      <w:r>
        <w:rPr>
          <w:rFonts w:hint="default" w:ascii="Times New Roman" w:hAnsi="Times New Roman" w:eastAsia="黑体" w:cs="Times New Roman"/>
          <w:sz w:val="32"/>
          <w:szCs w:val="32"/>
        </w:rPr>
        <w:instrText xml:space="preserve"> HYPERLINK \l _Toc13574 </w:instrText>
      </w:r>
      <w:r>
        <w:rPr>
          <w:rFonts w:hint="default" w:ascii="Times New Roman" w:hAnsi="Times New Roman" w:eastAsia="黑体" w:cs="Times New Roman"/>
          <w:sz w:val="32"/>
          <w:szCs w:val="32"/>
        </w:rPr>
        <w:fldChar w:fldCharType="separate"/>
      </w:r>
      <w:r>
        <w:rPr>
          <w:rFonts w:hint="default" w:ascii="Times New Roman" w:hAnsi="Times New Roman" w:eastAsia="黑体" w:cs="Times New Roman"/>
          <w:sz w:val="32"/>
          <w:szCs w:val="32"/>
          <w:lang w:val="en-US" w:eastAsia="zh-CN"/>
        </w:rPr>
        <w:t>附件</w:t>
      </w:r>
      <w:r>
        <w:rPr>
          <w:rFonts w:hint="default" w:ascii="Times New Roman" w:hAnsi="Times New Roman" w:eastAsia="黑体" w:cs="Times New Roman"/>
          <w:sz w:val="32"/>
          <w:szCs w:val="32"/>
        </w:rPr>
        <w:t>2</w:t>
      </w:r>
      <w:r>
        <w:rPr>
          <w:rFonts w:hint="default" w:ascii="Times New Roman" w:hAnsi="Times New Roman" w:eastAsia="黑体" w:cs="Times New Roman"/>
          <w:sz w:val="32"/>
          <w:szCs w:val="32"/>
          <w:lang w:eastAsia="zh-CN"/>
        </w:rPr>
        <w:t>：</w:t>
      </w:r>
      <w:r>
        <w:rPr>
          <w:rFonts w:hint="default" w:ascii="Times New Roman" w:hAnsi="Times New Roman" w:eastAsia="黑体" w:cs="Times New Roman"/>
          <w:sz w:val="32"/>
          <w:szCs w:val="32"/>
        </w:rPr>
        <w:t>揭阳市“十五五”各类住房分区目标</w:t>
      </w:r>
      <w:r>
        <w:rPr>
          <w:rFonts w:hint="default" w:ascii="Times New Roman" w:hAnsi="Times New Roman" w:eastAsia="黑体" w:cs="Times New Roman"/>
          <w:sz w:val="32"/>
          <w:szCs w:val="32"/>
        </w:rPr>
        <w:tab/>
      </w:r>
      <w:r>
        <w:rPr>
          <w:rFonts w:hint="default" w:ascii="Times New Roman" w:hAnsi="Times New Roman" w:eastAsia="黑体" w:cs="Times New Roman"/>
          <w:sz w:val="32"/>
          <w:szCs w:val="32"/>
        </w:rPr>
        <w:fldChar w:fldCharType="begin"/>
      </w:r>
      <w:r>
        <w:rPr>
          <w:rFonts w:hint="default" w:ascii="Times New Roman" w:hAnsi="Times New Roman" w:eastAsia="黑体" w:cs="Times New Roman"/>
          <w:sz w:val="32"/>
          <w:szCs w:val="32"/>
        </w:rPr>
        <w:instrText xml:space="preserve"> PAGEREF _Toc13574 \h </w:instrText>
      </w:r>
      <w:r>
        <w:rPr>
          <w:rFonts w:hint="default" w:ascii="Times New Roman" w:hAnsi="Times New Roman" w:eastAsia="黑体" w:cs="Times New Roman"/>
          <w:sz w:val="32"/>
          <w:szCs w:val="32"/>
        </w:rPr>
        <w:fldChar w:fldCharType="separate"/>
      </w:r>
      <w:r>
        <w:rPr>
          <w:rFonts w:hint="default" w:ascii="Times New Roman" w:hAnsi="Times New Roman" w:eastAsia="黑体" w:cs="Times New Roman"/>
          <w:sz w:val="32"/>
          <w:szCs w:val="32"/>
        </w:rPr>
        <w:t>- 21 -</w:t>
      </w:r>
      <w:r>
        <w:rPr>
          <w:rFonts w:hint="default" w:ascii="Times New Roman" w:hAnsi="Times New Roman" w:eastAsia="黑体" w:cs="Times New Roman"/>
          <w:sz w:val="32"/>
          <w:szCs w:val="32"/>
        </w:rPr>
        <w:fldChar w:fldCharType="end"/>
      </w:r>
      <w:r>
        <w:rPr>
          <w:rFonts w:hint="default" w:ascii="Times New Roman" w:hAnsi="Times New Roman" w:eastAsia="黑体" w:cs="Times New Roman"/>
          <w:sz w:val="32"/>
          <w:szCs w:val="32"/>
        </w:rPr>
        <w:fldChar w:fldCharType="end"/>
      </w:r>
    </w:p>
    <w:p w14:paraId="190BBE9B">
      <w:pPr>
        <w:pStyle w:val="20"/>
        <w:tabs>
          <w:tab w:val="right" w:leader="dot" w:pos="8306"/>
        </w:tabs>
        <w:rPr>
          <w:rFonts w:hint="default" w:ascii="Times New Roman" w:hAnsi="Times New Roman" w:eastAsia="黑体" w:cs="Times New Roman"/>
          <w:sz w:val="32"/>
          <w:szCs w:val="32"/>
        </w:rPr>
      </w:pPr>
      <w:r>
        <w:rPr>
          <w:rFonts w:hint="default" w:ascii="Times New Roman" w:hAnsi="Times New Roman" w:eastAsia="黑体" w:cs="Times New Roman"/>
          <w:sz w:val="32"/>
          <w:szCs w:val="32"/>
        </w:rPr>
        <w:fldChar w:fldCharType="begin"/>
      </w:r>
      <w:r>
        <w:rPr>
          <w:rFonts w:hint="default" w:ascii="Times New Roman" w:hAnsi="Times New Roman" w:eastAsia="黑体" w:cs="Times New Roman"/>
          <w:sz w:val="32"/>
          <w:szCs w:val="32"/>
        </w:rPr>
        <w:instrText xml:space="preserve"> HYPERLINK \l _Toc19546 </w:instrText>
      </w:r>
      <w:r>
        <w:rPr>
          <w:rFonts w:hint="default" w:ascii="Times New Roman" w:hAnsi="Times New Roman" w:eastAsia="黑体" w:cs="Times New Roman"/>
          <w:sz w:val="32"/>
          <w:szCs w:val="32"/>
        </w:rPr>
        <w:fldChar w:fldCharType="separate"/>
      </w:r>
      <w:r>
        <w:rPr>
          <w:rFonts w:hint="default" w:ascii="Times New Roman" w:hAnsi="Times New Roman" w:eastAsia="黑体" w:cs="Times New Roman"/>
          <w:sz w:val="32"/>
          <w:szCs w:val="32"/>
          <w:lang w:val="en-US" w:eastAsia="zh-CN"/>
        </w:rPr>
        <w:t>附件</w:t>
      </w:r>
      <w:r>
        <w:rPr>
          <w:rFonts w:hint="default" w:ascii="Times New Roman" w:hAnsi="Times New Roman" w:eastAsia="黑体" w:cs="Times New Roman"/>
          <w:sz w:val="32"/>
          <w:szCs w:val="32"/>
        </w:rPr>
        <w:t>3</w:t>
      </w:r>
      <w:r>
        <w:rPr>
          <w:rFonts w:hint="default" w:ascii="Times New Roman" w:hAnsi="Times New Roman" w:eastAsia="黑体" w:cs="Times New Roman"/>
          <w:sz w:val="32"/>
          <w:szCs w:val="32"/>
          <w:lang w:eastAsia="zh-CN"/>
        </w:rPr>
        <w:t>：</w:t>
      </w:r>
      <w:r>
        <w:rPr>
          <w:rFonts w:hint="default" w:ascii="Times New Roman" w:hAnsi="Times New Roman" w:eastAsia="黑体" w:cs="Times New Roman"/>
          <w:sz w:val="32"/>
          <w:szCs w:val="32"/>
        </w:rPr>
        <w:t>揭阳市</w:t>
      </w:r>
      <w:r>
        <w:rPr>
          <w:rFonts w:hint="default" w:ascii="Times New Roman" w:hAnsi="Times New Roman" w:eastAsia="黑体" w:cs="Times New Roman"/>
          <w:sz w:val="32"/>
          <w:szCs w:val="32"/>
          <w:lang w:eastAsia="zh-CN"/>
        </w:rPr>
        <w:t>“</w:t>
      </w:r>
      <w:r>
        <w:rPr>
          <w:rFonts w:hint="default" w:ascii="Times New Roman" w:hAnsi="Times New Roman" w:eastAsia="黑体" w:cs="Times New Roman"/>
          <w:sz w:val="32"/>
          <w:szCs w:val="32"/>
        </w:rPr>
        <w:t>十五五</w:t>
      </w:r>
      <w:r>
        <w:rPr>
          <w:rFonts w:hint="default" w:ascii="Times New Roman" w:hAnsi="Times New Roman" w:eastAsia="黑体" w:cs="Times New Roman"/>
          <w:sz w:val="32"/>
          <w:szCs w:val="32"/>
          <w:lang w:eastAsia="zh-CN"/>
        </w:rPr>
        <w:t>”</w:t>
      </w:r>
      <w:r>
        <w:rPr>
          <w:rFonts w:hint="default" w:ascii="Times New Roman" w:hAnsi="Times New Roman" w:eastAsia="黑体" w:cs="Times New Roman"/>
          <w:sz w:val="32"/>
          <w:szCs w:val="32"/>
        </w:rPr>
        <w:t>住房供应时序目标</w:t>
      </w:r>
      <w:r>
        <w:rPr>
          <w:rFonts w:hint="default" w:ascii="Times New Roman" w:hAnsi="Times New Roman" w:eastAsia="黑体" w:cs="Times New Roman"/>
          <w:sz w:val="32"/>
          <w:szCs w:val="32"/>
        </w:rPr>
        <w:tab/>
      </w:r>
      <w:r>
        <w:rPr>
          <w:rFonts w:hint="default" w:ascii="Times New Roman" w:hAnsi="Times New Roman" w:eastAsia="黑体" w:cs="Times New Roman"/>
          <w:sz w:val="32"/>
          <w:szCs w:val="32"/>
        </w:rPr>
        <w:fldChar w:fldCharType="begin"/>
      </w:r>
      <w:r>
        <w:rPr>
          <w:rFonts w:hint="default" w:ascii="Times New Roman" w:hAnsi="Times New Roman" w:eastAsia="黑体" w:cs="Times New Roman"/>
          <w:sz w:val="32"/>
          <w:szCs w:val="32"/>
        </w:rPr>
        <w:instrText xml:space="preserve"> PAGEREF _Toc19546 \h </w:instrText>
      </w:r>
      <w:r>
        <w:rPr>
          <w:rFonts w:hint="default" w:ascii="Times New Roman" w:hAnsi="Times New Roman" w:eastAsia="黑体" w:cs="Times New Roman"/>
          <w:sz w:val="32"/>
          <w:szCs w:val="32"/>
        </w:rPr>
        <w:fldChar w:fldCharType="separate"/>
      </w:r>
      <w:r>
        <w:rPr>
          <w:rFonts w:hint="default" w:ascii="Times New Roman" w:hAnsi="Times New Roman" w:eastAsia="黑体" w:cs="Times New Roman"/>
          <w:sz w:val="32"/>
          <w:szCs w:val="32"/>
        </w:rPr>
        <w:t>- 22 -</w:t>
      </w:r>
      <w:r>
        <w:rPr>
          <w:rFonts w:hint="default" w:ascii="Times New Roman" w:hAnsi="Times New Roman" w:eastAsia="黑体" w:cs="Times New Roman"/>
          <w:sz w:val="32"/>
          <w:szCs w:val="32"/>
        </w:rPr>
        <w:fldChar w:fldCharType="end"/>
      </w:r>
      <w:r>
        <w:rPr>
          <w:rFonts w:hint="default" w:ascii="Times New Roman" w:hAnsi="Times New Roman" w:eastAsia="黑体" w:cs="Times New Roman"/>
          <w:sz w:val="32"/>
          <w:szCs w:val="32"/>
        </w:rPr>
        <w:fldChar w:fldCharType="end"/>
      </w:r>
    </w:p>
    <w:p w14:paraId="28AEDFA2">
      <w:pPr>
        <w:pStyle w:val="23"/>
        <w:tabs>
          <w:tab w:val="right" w:leader="dot" w:pos="8296"/>
        </w:tabs>
        <w:rPr>
          <w:rFonts w:ascii="Times New Roman" w:hAnsi="Times New Roman" w:eastAsia="黑体" w:cs="Times New Roman"/>
          <w:sz w:val="28"/>
          <w:szCs w:val="28"/>
        </w:rPr>
        <w:sectPr>
          <w:footerReference r:id="rId3" w:type="default"/>
          <w:pgSz w:w="11906" w:h="16838"/>
          <w:pgMar w:top="1440" w:right="1800" w:bottom="1440" w:left="1800" w:header="851" w:footer="992" w:gutter="0"/>
          <w:pgNumType w:fmt="numberInDash" w:start="1"/>
          <w:cols w:space="425" w:num="1"/>
          <w:docGrid w:type="lines" w:linePitch="312" w:charSpace="0"/>
        </w:sectPr>
      </w:pPr>
      <w:r>
        <w:rPr>
          <w:rFonts w:ascii="Times New Roman" w:hAnsi="Times New Roman" w:eastAsia="黑体" w:cs="Times New Roman"/>
          <w:sz w:val="32"/>
          <w:szCs w:val="32"/>
        </w:rPr>
        <w:fldChar w:fldCharType="end"/>
      </w:r>
    </w:p>
    <w:p w14:paraId="57C61634">
      <w:pPr>
        <w:spacing w:line="600" w:lineRule="exact"/>
        <w:ind w:firstLine="640" w:firstLineChars="200"/>
        <w:outlineLvl w:val="0"/>
        <w:rPr>
          <w:rFonts w:ascii="Times New Roman" w:hAnsi="Times New Roman" w:eastAsia="黑体" w:cs="Times New Roman"/>
          <w:sz w:val="32"/>
          <w:szCs w:val="32"/>
        </w:rPr>
      </w:pPr>
      <w:bookmarkStart w:id="0" w:name="_Toc28047"/>
      <w:bookmarkStart w:id="1" w:name="_Toc11964"/>
      <w:bookmarkStart w:id="2" w:name="_Toc214553823"/>
      <w:bookmarkStart w:id="3" w:name="_Toc230790040"/>
      <w:bookmarkStart w:id="4" w:name="_Toc16929"/>
      <w:bookmarkStart w:id="5" w:name="_Toc207705404"/>
      <w:r>
        <w:rPr>
          <w:rFonts w:ascii="Times New Roman" w:hAnsi="Times New Roman" w:eastAsia="黑体" w:cs="Times New Roman"/>
          <w:sz w:val="32"/>
          <w:szCs w:val="32"/>
        </w:rPr>
        <w:t>一、发展基础</w:t>
      </w:r>
      <w:bookmarkEnd w:id="0"/>
      <w:bookmarkEnd w:id="1"/>
      <w:bookmarkEnd w:id="2"/>
      <w:bookmarkEnd w:id="3"/>
      <w:bookmarkEnd w:id="4"/>
    </w:p>
    <w:p w14:paraId="654EA640">
      <w:pPr>
        <w:spacing w:line="600" w:lineRule="exact"/>
        <w:ind w:firstLine="640" w:firstLineChars="200"/>
        <w:outlineLvl w:val="1"/>
        <w:rPr>
          <w:rFonts w:ascii="Times New Roman" w:hAnsi="Times New Roman" w:eastAsia="楷体_GB2312" w:cs="Times New Roman"/>
          <w:sz w:val="32"/>
          <w:szCs w:val="32"/>
        </w:rPr>
      </w:pPr>
      <w:bookmarkStart w:id="6" w:name="_Toc3030"/>
      <w:bookmarkStart w:id="7" w:name="_Toc24440"/>
      <w:bookmarkStart w:id="8" w:name="_Toc29545"/>
      <w:bookmarkStart w:id="9" w:name="_Toc230790041"/>
      <w:bookmarkStart w:id="10" w:name="_Toc214553824"/>
      <w:r>
        <w:rPr>
          <w:rFonts w:ascii="Times New Roman" w:hAnsi="Times New Roman" w:eastAsia="楷体_GB2312" w:cs="Times New Roman"/>
          <w:sz w:val="32"/>
          <w:szCs w:val="32"/>
        </w:rPr>
        <w:t>（一）</w:t>
      </w:r>
      <w:r>
        <w:rPr>
          <w:rFonts w:hint="eastAsia" w:ascii="Times New Roman" w:hAnsi="Times New Roman" w:eastAsia="楷体_GB2312" w:cs="Times New Roman"/>
          <w:sz w:val="32"/>
          <w:szCs w:val="32"/>
          <w:lang w:eastAsia="zh-CN"/>
        </w:rPr>
        <w:t>“</w:t>
      </w:r>
      <w:r>
        <w:rPr>
          <w:rFonts w:ascii="Times New Roman" w:hAnsi="Times New Roman" w:eastAsia="楷体_GB2312" w:cs="Times New Roman"/>
          <w:sz w:val="32"/>
          <w:szCs w:val="32"/>
        </w:rPr>
        <w:t>十四五</w:t>
      </w:r>
      <w:r>
        <w:rPr>
          <w:rFonts w:hint="eastAsia" w:ascii="Times New Roman" w:hAnsi="Times New Roman" w:eastAsia="楷体_GB2312" w:cs="Times New Roman"/>
          <w:sz w:val="32"/>
          <w:szCs w:val="32"/>
          <w:lang w:eastAsia="zh-CN"/>
        </w:rPr>
        <w:t>”</w:t>
      </w:r>
      <w:r>
        <w:rPr>
          <w:rFonts w:ascii="Times New Roman" w:hAnsi="Times New Roman" w:eastAsia="楷体_GB2312" w:cs="Times New Roman"/>
          <w:sz w:val="32"/>
          <w:szCs w:val="32"/>
        </w:rPr>
        <w:t>时期发展成效</w:t>
      </w:r>
      <w:bookmarkEnd w:id="6"/>
      <w:bookmarkEnd w:id="7"/>
      <w:bookmarkEnd w:id="8"/>
      <w:bookmarkEnd w:id="9"/>
      <w:bookmarkEnd w:id="10"/>
    </w:p>
    <w:p w14:paraId="154CCB88">
      <w:pPr>
        <w:spacing w:line="600" w:lineRule="exact"/>
        <w:ind w:firstLine="643" w:firstLineChars="200"/>
        <w:outlineLvl w:val="2"/>
        <w:rPr>
          <w:rFonts w:ascii="Times New Roman" w:hAnsi="Times New Roman" w:eastAsia="仿宋_GB2312" w:cs="Times New Roman"/>
          <w:b/>
          <w:sz w:val="32"/>
          <w:szCs w:val="32"/>
        </w:rPr>
      </w:pPr>
      <w:r>
        <w:rPr>
          <w:rFonts w:hint="eastAsia" w:ascii="Times New Roman" w:hAnsi="Times New Roman" w:eastAsia="仿宋_GB2312" w:cs="Times New Roman"/>
          <w:b/>
          <w:sz w:val="32"/>
          <w:szCs w:val="32"/>
        </w:rPr>
        <w:t>1.城镇</w:t>
      </w:r>
      <w:r>
        <w:rPr>
          <w:rFonts w:ascii="Times New Roman" w:hAnsi="Times New Roman" w:eastAsia="仿宋_GB2312" w:cs="Times New Roman"/>
          <w:b/>
          <w:sz w:val="32"/>
          <w:szCs w:val="32"/>
        </w:rPr>
        <w:t>住房规模</w:t>
      </w:r>
      <w:r>
        <w:rPr>
          <w:rFonts w:hint="eastAsia" w:ascii="Times New Roman" w:hAnsi="Times New Roman" w:eastAsia="仿宋_GB2312" w:cs="Times New Roman"/>
          <w:b/>
          <w:sz w:val="32"/>
          <w:szCs w:val="32"/>
        </w:rPr>
        <w:t>持续增长</w:t>
      </w:r>
      <w:r>
        <w:rPr>
          <w:rFonts w:ascii="Times New Roman" w:hAnsi="Times New Roman" w:eastAsia="仿宋_GB2312" w:cs="Times New Roman"/>
          <w:b/>
          <w:sz w:val="32"/>
          <w:szCs w:val="32"/>
        </w:rPr>
        <w:t>，</w:t>
      </w:r>
      <w:r>
        <w:rPr>
          <w:rFonts w:hint="eastAsia" w:ascii="Times New Roman" w:hAnsi="Times New Roman" w:eastAsia="仿宋_GB2312" w:cs="Times New Roman"/>
          <w:b/>
          <w:sz w:val="32"/>
          <w:szCs w:val="32"/>
        </w:rPr>
        <w:t>居住水平大幅</w:t>
      </w:r>
      <w:r>
        <w:rPr>
          <w:rFonts w:ascii="Times New Roman" w:hAnsi="Times New Roman" w:eastAsia="仿宋_GB2312" w:cs="Times New Roman"/>
          <w:b/>
          <w:sz w:val="32"/>
          <w:szCs w:val="32"/>
        </w:rPr>
        <w:t>提升</w:t>
      </w:r>
      <w:r>
        <w:rPr>
          <w:rFonts w:hint="eastAsia" w:ascii="Times New Roman" w:hAnsi="Times New Roman" w:eastAsia="仿宋_GB2312" w:cs="Times New Roman"/>
          <w:b/>
          <w:sz w:val="32"/>
          <w:szCs w:val="32"/>
        </w:rPr>
        <w:t>。</w:t>
      </w:r>
    </w:p>
    <w:p w14:paraId="3E28D18F">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2021-2025年，全市住宅新开工面积累计总规模达628万平方米、商品住房批准预售面积为714万平方米、新建商品住房累计销售总面积达869万平方米，城镇住房规模总体保持增长。2024年，城镇居民人均住房面积突破41平方米，较“十四五”初期提升3.2平方米，城镇人均住房面积明显提升，居民幸福感不断增强。</w:t>
      </w:r>
    </w:p>
    <w:p w14:paraId="3EFC3AC8">
      <w:pPr>
        <w:spacing w:line="600" w:lineRule="exact"/>
        <w:ind w:firstLine="643" w:firstLineChars="200"/>
        <w:outlineLvl w:val="2"/>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2.住房调控政策逐步优化</w:t>
      </w:r>
      <w:r>
        <w:rPr>
          <w:rFonts w:ascii="Times New Roman" w:hAnsi="Times New Roman" w:eastAsia="仿宋_GB2312" w:cs="Times New Roman"/>
          <w:b/>
          <w:bCs/>
          <w:sz w:val="32"/>
          <w:szCs w:val="32"/>
        </w:rPr>
        <w:t>，</w:t>
      </w:r>
      <w:r>
        <w:rPr>
          <w:rFonts w:hint="eastAsia" w:ascii="Times New Roman" w:hAnsi="Times New Roman" w:eastAsia="仿宋_GB2312" w:cs="Times New Roman"/>
          <w:b/>
          <w:bCs/>
          <w:sz w:val="32"/>
          <w:szCs w:val="32"/>
        </w:rPr>
        <w:t>风险化解成效显著</w:t>
      </w:r>
      <w:r>
        <w:rPr>
          <w:rFonts w:ascii="Times New Roman" w:hAnsi="Times New Roman" w:eastAsia="仿宋_GB2312" w:cs="Times New Roman"/>
          <w:b/>
          <w:bCs/>
          <w:sz w:val="32"/>
          <w:szCs w:val="32"/>
        </w:rPr>
        <w:t>。</w:t>
      </w:r>
    </w:p>
    <w:p w14:paraId="6D67F0B5">
      <w:pPr>
        <w:spacing w:line="60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一</w:t>
      </w:r>
      <w:r>
        <w:rPr>
          <w:rFonts w:ascii="Times New Roman" w:hAnsi="Times New Roman" w:eastAsia="仿宋_GB2312" w:cs="Times New Roman"/>
          <w:b/>
          <w:bCs/>
          <w:sz w:val="32"/>
          <w:szCs w:val="32"/>
        </w:rPr>
        <w:t>是房地产市场调控政策</w:t>
      </w:r>
      <w:r>
        <w:rPr>
          <w:rFonts w:hint="eastAsia" w:ascii="Times New Roman" w:hAnsi="Times New Roman" w:eastAsia="仿宋_GB2312" w:cs="Times New Roman"/>
          <w:b/>
          <w:bCs/>
          <w:sz w:val="32"/>
          <w:szCs w:val="32"/>
        </w:rPr>
        <w:t>初见成效</w:t>
      </w:r>
      <w:r>
        <w:rPr>
          <w:rFonts w:ascii="Times New Roman" w:hAnsi="Times New Roman" w:eastAsia="仿宋_GB2312" w:cs="Times New Roman"/>
          <w:b/>
          <w:bCs/>
          <w:sz w:val="32"/>
          <w:szCs w:val="32"/>
        </w:rPr>
        <w:t>。</w:t>
      </w:r>
      <w:r>
        <w:rPr>
          <w:rFonts w:hint="eastAsia" w:ascii="Times New Roman" w:hAnsi="Times New Roman" w:eastAsia="仿宋_GB2312" w:cs="Times New Roman"/>
          <w:sz w:val="32"/>
          <w:szCs w:val="32"/>
        </w:rPr>
        <w:t>“十四五”期间，揭阳市印发</w:t>
      </w:r>
      <w:r>
        <w:rPr>
          <w:rFonts w:ascii="Times New Roman" w:hAnsi="Times New Roman" w:eastAsia="仿宋_GB2312" w:cs="Times New Roman"/>
          <w:sz w:val="32"/>
          <w:szCs w:val="32"/>
        </w:rPr>
        <w:t>《关于继续做好促进我市房地产市场平稳健康发展工作的通知》《促进我市房地产市场平稳健康发展的若干措施》</w:t>
      </w:r>
      <w:r>
        <w:rPr>
          <w:rFonts w:hint="eastAsia" w:ascii="Times New Roman" w:hAnsi="Times New Roman" w:eastAsia="仿宋_GB2312" w:cs="Times New Roman"/>
          <w:sz w:val="32"/>
          <w:szCs w:val="32"/>
        </w:rPr>
        <w:t>等</w:t>
      </w:r>
      <w:r>
        <w:rPr>
          <w:rFonts w:hint="eastAsia" w:ascii="Times New Roman" w:hAnsi="Times New Roman" w:eastAsia="仿宋_GB2312" w:cs="Times New Roman"/>
          <w:sz w:val="32"/>
          <w:szCs w:val="32"/>
          <w:lang w:val="en-US" w:eastAsia="zh-CN"/>
        </w:rPr>
        <w:t>多项</w:t>
      </w:r>
      <w:r>
        <w:rPr>
          <w:rFonts w:hint="eastAsia" w:ascii="Times New Roman" w:hAnsi="Times New Roman" w:eastAsia="仿宋_GB2312" w:cs="Times New Roman"/>
          <w:sz w:val="32"/>
          <w:szCs w:val="32"/>
        </w:rPr>
        <w:t>举措</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稳定市场运行</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2025年，全市新建商品</w:t>
      </w:r>
      <w:r>
        <w:rPr>
          <w:rFonts w:hint="eastAsia" w:ascii="Times New Roman" w:hAnsi="Times New Roman" w:eastAsia="仿宋_GB2312" w:cs="Times New Roman"/>
          <w:sz w:val="32"/>
          <w:szCs w:val="32"/>
          <w:lang w:val="en-US" w:eastAsia="zh-CN"/>
        </w:rPr>
        <w:t>住房</w:t>
      </w:r>
      <w:r>
        <w:rPr>
          <w:rFonts w:hint="eastAsia" w:ascii="Times New Roman" w:hAnsi="Times New Roman" w:eastAsia="仿宋_GB2312" w:cs="Times New Roman"/>
          <w:sz w:val="32"/>
          <w:szCs w:val="32"/>
        </w:rPr>
        <w:t>销售面积同比增长6.4%，新建商品</w:t>
      </w:r>
      <w:r>
        <w:rPr>
          <w:rFonts w:hint="eastAsia" w:ascii="Times New Roman" w:hAnsi="Times New Roman" w:eastAsia="仿宋_GB2312" w:cs="Times New Roman"/>
          <w:sz w:val="32"/>
          <w:szCs w:val="32"/>
          <w:lang w:val="en-US" w:eastAsia="zh-CN"/>
        </w:rPr>
        <w:t>住房</w:t>
      </w:r>
      <w:r>
        <w:rPr>
          <w:rFonts w:hint="eastAsia" w:ascii="Times New Roman" w:hAnsi="Times New Roman" w:eastAsia="仿宋_GB2312" w:cs="Times New Roman"/>
          <w:sz w:val="32"/>
          <w:szCs w:val="32"/>
        </w:rPr>
        <w:t>销售额同比增长7%，市场止跌回稳初见成效。</w:t>
      </w:r>
    </w:p>
    <w:p w14:paraId="478A38BA">
      <w:pPr>
        <w:spacing w:line="60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二是全面完成保交楼</w:t>
      </w:r>
      <w:r>
        <w:rPr>
          <w:rFonts w:hint="eastAsia" w:ascii="Times New Roman" w:hAnsi="Times New Roman" w:eastAsia="仿宋_GB2312" w:cs="Times New Roman"/>
          <w:b/>
          <w:bCs/>
          <w:color w:val="000000" w:themeColor="text1"/>
          <w:sz w:val="32"/>
          <w:szCs w:val="32"/>
          <w14:textFill>
            <w14:solidFill>
              <w14:schemeClr w14:val="tx1"/>
            </w14:solidFill>
          </w14:textFill>
        </w:rPr>
        <w:t>、保交房</w:t>
      </w:r>
      <w:r>
        <w:rPr>
          <w:rFonts w:hint="eastAsia" w:ascii="Times New Roman" w:hAnsi="Times New Roman" w:eastAsia="仿宋_GB2312" w:cs="Times New Roman"/>
          <w:b/>
          <w:bCs/>
          <w:sz w:val="32"/>
          <w:szCs w:val="32"/>
        </w:rPr>
        <w:t>工作任务。</w:t>
      </w:r>
      <w:r>
        <w:rPr>
          <w:rFonts w:hint="eastAsia" w:ascii="Times New Roman" w:hAnsi="Times New Roman" w:eastAsia="仿宋_GB2312" w:cs="Times New Roman"/>
          <w:sz w:val="32"/>
          <w:szCs w:val="32"/>
          <w:lang w:val="en-US" w:eastAsia="zh-CN"/>
        </w:rPr>
        <w:t>揭阳市及时出台保交楼领域的防范化解风险方案</w:t>
      </w:r>
      <w:r>
        <w:rPr>
          <w:rFonts w:hint="eastAsia" w:ascii="Times New Roman" w:hAnsi="Times New Roman" w:eastAsia="仿宋_GB2312" w:cs="Times New Roman"/>
          <w:sz w:val="32"/>
          <w:szCs w:val="32"/>
        </w:rPr>
        <w:t>，妥善化解房地产市场风险，圆满完成</w:t>
      </w:r>
      <w:r>
        <w:rPr>
          <w:rFonts w:hint="eastAsia" w:ascii="Times New Roman" w:hAnsi="Times New Roman" w:eastAsia="仿宋_GB2312" w:cs="Times New Roman"/>
          <w:sz w:val="32"/>
          <w:szCs w:val="32"/>
          <w:lang w:val="en-US" w:eastAsia="zh-CN"/>
        </w:rPr>
        <w:t>保交楼任务</w:t>
      </w:r>
      <w:r>
        <w:rPr>
          <w:rFonts w:hint="eastAsia" w:ascii="Times New Roman" w:hAnsi="Times New Roman" w:eastAsia="仿宋_GB2312" w:cs="Times New Roman"/>
          <w:sz w:val="32"/>
          <w:szCs w:val="32"/>
        </w:rPr>
        <w:t>。截至2025年9月，全市保交房项目已全部</w:t>
      </w:r>
      <w:r>
        <w:rPr>
          <w:rFonts w:hint="eastAsia" w:ascii="Times New Roman" w:hAnsi="Times New Roman" w:eastAsia="仿宋_GB2312" w:cs="Times New Roman"/>
          <w:sz w:val="32"/>
          <w:szCs w:val="32"/>
          <w:lang w:val="en-US" w:eastAsia="zh-CN"/>
        </w:rPr>
        <w:t>实现</w:t>
      </w:r>
      <w:r>
        <w:rPr>
          <w:rFonts w:hint="eastAsia" w:ascii="Times New Roman" w:hAnsi="Times New Roman" w:eastAsia="仿宋_GB2312" w:cs="Times New Roman"/>
          <w:sz w:val="32"/>
          <w:szCs w:val="32"/>
        </w:rPr>
        <w:t>交付。</w:t>
      </w:r>
    </w:p>
    <w:p w14:paraId="1CAF23D8">
      <w:pPr>
        <w:spacing w:line="600" w:lineRule="exact"/>
        <w:ind w:firstLine="643" w:firstLineChars="200"/>
        <w:rPr>
          <w:rFonts w:ascii="Times New Roman" w:hAnsi="Times New Roman" w:eastAsia="仿宋_GB2312" w:cs="Times New Roman"/>
          <w:color w:val="212121"/>
          <w:sz w:val="32"/>
          <w:szCs w:val="32"/>
        </w:rPr>
      </w:pPr>
      <w:r>
        <w:rPr>
          <w:rFonts w:hint="eastAsia" w:ascii="Times New Roman" w:hAnsi="Times New Roman" w:eastAsia="仿宋_GB2312" w:cs="Times New Roman"/>
          <w:b/>
          <w:bCs/>
          <w:sz w:val="32"/>
          <w:szCs w:val="32"/>
        </w:rPr>
        <w:t>三是房地产融资协调机制建立健全。</w:t>
      </w:r>
      <w:r>
        <w:rPr>
          <w:rFonts w:hint="eastAsia" w:ascii="Times New Roman" w:hAnsi="Times New Roman" w:eastAsia="仿宋_GB2312" w:cs="Times New Roman"/>
          <w:color w:val="212121"/>
          <w:sz w:val="32"/>
          <w:szCs w:val="32"/>
        </w:rPr>
        <w:t>揭阳市持续推动辖区</w:t>
      </w:r>
      <w:r>
        <w:rPr>
          <w:rFonts w:hint="eastAsia" w:ascii="Times New Roman" w:hAnsi="Times New Roman" w:eastAsia="仿宋_GB2312" w:cs="Times New Roman"/>
          <w:color w:val="212121"/>
          <w:sz w:val="32"/>
          <w:szCs w:val="32"/>
          <w:lang w:eastAsia="zh-CN"/>
        </w:rPr>
        <w:t>房企</w:t>
      </w:r>
      <w:r>
        <w:rPr>
          <w:rFonts w:hint="eastAsia" w:ascii="Times New Roman" w:hAnsi="Times New Roman" w:eastAsia="仿宋_GB2312" w:cs="Times New Roman"/>
          <w:color w:val="212121"/>
          <w:sz w:val="32"/>
          <w:szCs w:val="32"/>
        </w:rPr>
        <w:t>和金融机构精准对接，推动融资需求“应进尽进”，确保已审批贷款“应贷尽贷”，力争资金拨付“应早尽早”。截至</w:t>
      </w:r>
      <w:r>
        <w:rPr>
          <w:rFonts w:ascii="Times New Roman" w:hAnsi="Times New Roman" w:eastAsia="仿宋_GB2312" w:cs="Times New Roman"/>
          <w:color w:val="212121"/>
          <w:sz w:val="32"/>
          <w:szCs w:val="32"/>
        </w:rPr>
        <w:t>2025</w:t>
      </w:r>
      <w:r>
        <w:rPr>
          <w:rFonts w:hint="eastAsia" w:ascii="Times New Roman" w:hAnsi="Times New Roman" w:eastAsia="仿宋_GB2312" w:cs="Times New Roman"/>
          <w:color w:val="212121"/>
          <w:sz w:val="32"/>
          <w:szCs w:val="32"/>
        </w:rPr>
        <w:t>年末，</w:t>
      </w:r>
      <w:r>
        <w:rPr>
          <w:rFonts w:hint="eastAsia" w:ascii="Times New Roman" w:hAnsi="Times New Roman" w:eastAsia="仿宋_GB2312" w:cs="Times New Roman"/>
          <w:color w:val="212121"/>
          <w:sz w:val="32"/>
          <w:szCs w:val="32"/>
          <w:lang w:val="en-US" w:eastAsia="zh-CN"/>
        </w:rPr>
        <w:t>全市</w:t>
      </w:r>
      <w:r>
        <w:rPr>
          <w:rFonts w:hint="eastAsia" w:ascii="Times New Roman" w:hAnsi="Times New Roman" w:eastAsia="仿宋_GB2312" w:cs="Times New Roman"/>
          <w:color w:val="212121"/>
          <w:sz w:val="32"/>
          <w:szCs w:val="32"/>
        </w:rPr>
        <w:t>纳入房地产融资“白名单”项目</w:t>
      </w:r>
      <w:r>
        <w:rPr>
          <w:rFonts w:ascii="Times New Roman" w:hAnsi="Times New Roman" w:eastAsia="仿宋_GB2312" w:cs="Times New Roman"/>
          <w:color w:val="212121"/>
          <w:sz w:val="32"/>
          <w:szCs w:val="32"/>
        </w:rPr>
        <w:t>30</w:t>
      </w:r>
      <w:r>
        <w:rPr>
          <w:rFonts w:hint="eastAsia" w:ascii="Times New Roman" w:hAnsi="Times New Roman" w:eastAsia="仿宋_GB2312" w:cs="Times New Roman"/>
          <w:color w:val="212121"/>
          <w:sz w:val="32"/>
          <w:szCs w:val="32"/>
        </w:rPr>
        <w:t>个，</w:t>
      </w:r>
      <w:r>
        <w:rPr>
          <w:rFonts w:hint="eastAsia" w:ascii="Times New Roman" w:hAnsi="Times New Roman" w:eastAsia="仿宋_GB2312" w:cs="Times New Roman"/>
          <w:color w:val="212121"/>
          <w:sz w:val="32"/>
          <w:szCs w:val="32"/>
          <w:lang w:val="en-US" w:eastAsia="zh-CN"/>
        </w:rPr>
        <w:t>已全部获得授信并放款</w:t>
      </w:r>
      <w:r>
        <w:rPr>
          <w:rFonts w:hint="eastAsia" w:ascii="Times New Roman" w:hAnsi="Times New Roman" w:eastAsia="仿宋_GB2312" w:cs="Times New Roman"/>
          <w:color w:val="212121"/>
          <w:sz w:val="32"/>
          <w:szCs w:val="32"/>
        </w:rPr>
        <w:t>，有效支持了房地产企业融资需求。</w:t>
      </w:r>
    </w:p>
    <w:p w14:paraId="05FEDB02">
      <w:pPr>
        <w:spacing w:line="600" w:lineRule="exact"/>
        <w:ind w:firstLine="643" w:firstLineChars="200"/>
        <w:outlineLvl w:val="2"/>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3</w:t>
      </w:r>
      <w:r>
        <w:rPr>
          <w:rFonts w:ascii="Times New Roman" w:hAnsi="Times New Roman" w:eastAsia="仿宋_GB2312" w:cs="Times New Roman"/>
          <w:b/>
          <w:bCs/>
          <w:sz w:val="32"/>
          <w:szCs w:val="32"/>
        </w:rPr>
        <w:t>.住房保障体系</w:t>
      </w:r>
      <w:r>
        <w:rPr>
          <w:rFonts w:hint="eastAsia" w:ascii="Times New Roman" w:hAnsi="Times New Roman" w:eastAsia="仿宋_GB2312" w:cs="Times New Roman"/>
          <w:b/>
          <w:bCs/>
          <w:sz w:val="32"/>
          <w:szCs w:val="32"/>
        </w:rPr>
        <w:t>更加健全</w:t>
      </w:r>
      <w:r>
        <w:rPr>
          <w:rFonts w:ascii="Times New Roman" w:hAnsi="Times New Roman" w:eastAsia="仿宋_GB2312" w:cs="Times New Roman"/>
          <w:b/>
          <w:bCs/>
          <w:sz w:val="32"/>
          <w:szCs w:val="32"/>
        </w:rPr>
        <w:t>，</w:t>
      </w:r>
      <w:r>
        <w:rPr>
          <w:rFonts w:hint="eastAsia" w:ascii="Times New Roman" w:hAnsi="Times New Roman" w:eastAsia="仿宋_GB2312" w:cs="Times New Roman"/>
          <w:b/>
          <w:bCs/>
          <w:sz w:val="32"/>
          <w:szCs w:val="32"/>
        </w:rPr>
        <w:t>人才安居力度加大</w:t>
      </w:r>
      <w:r>
        <w:rPr>
          <w:rFonts w:ascii="Times New Roman" w:hAnsi="Times New Roman" w:eastAsia="仿宋_GB2312" w:cs="Times New Roman"/>
          <w:b/>
          <w:bCs/>
          <w:sz w:val="32"/>
          <w:szCs w:val="32"/>
        </w:rPr>
        <w:t>。</w:t>
      </w:r>
    </w:p>
    <w:p w14:paraId="1D247E6C">
      <w:pPr>
        <w:spacing w:line="60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一是</w:t>
      </w:r>
      <w:r>
        <w:rPr>
          <w:rFonts w:hint="eastAsia" w:ascii="Times New Roman" w:hAnsi="Times New Roman" w:eastAsia="仿宋_GB2312" w:cs="Times New Roman"/>
          <w:b/>
          <w:bCs/>
          <w:sz w:val="32"/>
          <w:szCs w:val="32"/>
        </w:rPr>
        <w:t>住房保障体系逐步健全完善</w:t>
      </w:r>
      <w:r>
        <w:rPr>
          <w:rFonts w:ascii="Times New Roman" w:hAnsi="Times New Roman" w:eastAsia="仿宋_GB2312" w:cs="Times New Roman"/>
          <w:b/>
          <w:bCs/>
          <w:sz w:val="32"/>
          <w:szCs w:val="32"/>
        </w:rPr>
        <w:t>。</w:t>
      </w:r>
      <w:r>
        <w:rPr>
          <w:rFonts w:hint="eastAsia" w:ascii="Times New Roman" w:hAnsi="Times New Roman" w:eastAsia="仿宋_GB2312" w:cs="Times New Roman"/>
          <w:sz w:val="32"/>
          <w:szCs w:val="32"/>
        </w:rPr>
        <w:t>“十四五”期间，揭阳市出台《揭阳市公共租赁住房管理办法》《揭阳市保障性租赁住房项目认定审批流程及操作指引》《揭阳市配售型保障性住房管理办法（试行）》</w:t>
      </w:r>
      <w:r>
        <w:rPr>
          <w:rFonts w:hint="eastAsia" w:ascii="Times New Roman" w:hAnsi="Times New Roman" w:eastAsia="仿宋_GB2312" w:cs="Times New Roman"/>
          <w:sz w:val="32"/>
          <w:szCs w:val="32"/>
          <w:lang w:val="en-US" w:eastAsia="zh-CN"/>
        </w:rPr>
        <w:t>等</w:t>
      </w:r>
      <w:r>
        <w:rPr>
          <w:rFonts w:hint="eastAsia" w:ascii="Times New Roman" w:hAnsi="Times New Roman" w:eastAsia="仿宋_GB2312" w:cs="Times New Roman"/>
          <w:sz w:val="32"/>
          <w:szCs w:val="32"/>
        </w:rPr>
        <w:t>多份政策文件，基本形成覆盖至中等偏下收入群体和新市民、青年人的多层次、可持续的住房保障体系</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rPr>
        <w:t>全市公共租赁住房新增套数1080套，新增发放公共租赁住房补贴417户（次），积极推动配售型保障性住房轮候库建设，基本实现“应保尽保”的目标。</w:t>
      </w:r>
    </w:p>
    <w:p w14:paraId="1C12AC89">
      <w:pPr>
        <w:spacing w:line="60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二是人才安居力度持续加大。</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十四五</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期间</w:t>
      </w:r>
      <w:r>
        <w:rPr>
          <w:rFonts w:hint="eastAsia" w:ascii="Times New Roman" w:hAnsi="Times New Roman" w:eastAsia="仿宋_GB2312" w:cs="Times New Roman"/>
          <w:sz w:val="32"/>
          <w:szCs w:val="32"/>
        </w:rPr>
        <w:t>，揭阳市大力推进面向高端人才的住房保障工作，截至2025年6月末，揭阳市高端人才公寓项目</w:t>
      </w:r>
      <w:r>
        <w:rPr>
          <w:rFonts w:ascii="Times New Roman" w:hAnsi="Times New Roman" w:eastAsia="仿宋_GB2312" w:cs="Times New Roman"/>
          <w:sz w:val="32"/>
          <w:szCs w:val="32"/>
        </w:rPr>
        <w:t>70</w:t>
      </w:r>
      <w:r>
        <w:rPr>
          <w:rFonts w:hint="eastAsia" w:ascii="Times New Roman" w:hAnsi="Times New Roman" w:eastAsia="仿宋_GB2312" w:cs="Times New Roman"/>
          <w:sz w:val="32"/>
          <w:szCs w:val="32"/>
        </w:rPr>
        <w:t>套房源已全部分配。</w:t>
      </w:r>
    </w:p>
    <w:p w14:paraId="1371B932">
      <w:pPr>
        <w:spacing w:line="600" w:lineRule="exact"/>
        <w:ind w:firstLine="643" w:firstLineChars="200"/>
        <w:outlineLvl w:val="2"/>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4.老旧小区改造有序推进，人居环境有效改善。</w:t>
      </w:r>
    </w:p>
    <w:p w14:paraId="0CDA7A33">
      <w:pPr>
        <w:spacing w:line="600" w:lineRule="exact"/>
        <w:ind w:firstLine="643"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一是老旧小区改造</w:t>
      </w:r>
      <w:r>
        <w:rPr>
          <w:rFonts w:hint="eastAsia" w:ascii="Times New Roman" w:hAnsi="Times New Roman" w:eastAsia="仿宋_GB2312" w:cs="Times New Roman"/>
          <w:b/>
          <w:bCs/>
          <w:sz w:val="32"/>
          <w:szCs w:val="32"/>
        </w:rPr>
        <w:t>有序推进</w:t>
      </w:r>
      <w:r>
        <w:rPr>
          <w:rFonts w:ascii="Times New Roman" w:hAnsi="Times New Roman" w:eastAsia="仿宋_GB2312" w:cs="Times New Roman"/>
          <w:b/>
          <w:bCs/>
          <w:sz w:val="32"/>
          <w:szCs w:val="32"/>
        </w:rPr>
        <w:t>。</w:t>
      </w:r>
      <w:r>
        <w:rPr>
          <w:rFonts w:hint="eastAsia" w:ascii="Times New Roman" w:hAnsi="Times New Roman" w:eastAsia="仿宋_GB2312" w:cs="Times New Roman"/>
          <w:sz w:val="32"/>
          <w:szCs w:val="32"/>
        </w:rPr>
        <w:t>“十四五”期间，全市实施城镇老旧小区改造209个，涉及总户数约3.26万户，楼栋数1869栋，总建筑面积约341.22万平方米</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群众居住条件得到有效改善。</w:t>
      </w:r>
    </w:p>
    <w:p w14:paraId="348EB17F">
      <w:pPr>
        <w:spacing w:line="60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二是农村危房改造工作持续推进。</w:t>
      </w:r>
      <w:r>
        <w:rPr>
          <w:rFonts w:hint="eastAsia" w:ascii="Times New Roman" w:hAnsi="Times New Roman" w:eastAsia="仿宋_GB2312" w:cs="Times New Roman"/>
          <w:sz w:val="32"/>
          <w:szCs w:val="32"/>
        </w:rPr>
        <w:t>2023年6月，揭阳市印发《揭阳市农村住房建设管控和风貌提升指引（试行）》，强化农房建设规范引导。2025年全市农村危房</w:t>
      </w:r>
      <w:r>
        <w:rPr>
          <w:rFonts w:hint="eastAsia" w:ascii="Times New Roman" w:hAnsi="Times New Roman" w:eastAsia="仿宋_GB2312" w:cs="Times New Roman"/>
          <w:sz w:val="32"/>
          <w:szCs w:val="32"/>
          <w:lang w:val="en-US" w:eastAsia="zh-CN"/>
        </w:rPr>
        <w:t>改造</w:t>
      </w:r>
      <w:r>
        <w:rPr>
          <w:rFonts w:hint="eastAsia" w:ascii="Times New Roman" w:hAnsi="Times New Roman" w:eastAsia="仿宋_GB2312" w:cs="Times New Roman"/>
          <w:sz w:val="32"/>
          <w:szCs w:val="32"/>
        </w:rPr>
        <w:t>已开工35户，开工率62.5%，农村危房改造工作</w:t>
      </w:r>
      <w:r>
        <w:rPr>
          <w:rFonts w:hint="eastAsia" w:ascii="Times New Roman" w:hAnsi="Times New Roman" w:eastAsia="仿宋_GB2312" w:cs="Times New Roman"/>
          <w:sz w:val="32"/>
          <w:szCs w:val="32"/>
          <w:lang w:val="en-US" w:eastAsia="zh-CN"/>
        </w:rPr>
        <w:t>有序</w:t>
      </w:r>
      <w:r>
        <w:rPr>
          <w:rFonts w:hint="eastAsia" w:ascii="Times New Roman" w:hAnsi="Times New Roman" w:eastAsia="仿宋_GB2312" w:cs="Times New Roman"/>
          <w:sz w:val="32"/>
          <w:szCs w:val="32"/>
        </w:rPr>
        <w:t>推进</w:t>
      </w:r>
      <w:r>
        <w:rPr>
          <w:rFonts w:ascii="Times New Roman" w:hAnsi="Times New Roman" w:eastAsia="仿宋_GB2312" w:cs="Times New Roman"/>
          <w:sz w:val="32"/>
          <w:szCs w:val="32"/>
        </w:rPr>
        <w:t>。</w:t>
      </w:r>
    </w:p>
    <w:p w14:paraId="613C2D1A">
      <w:pPr>
        <w:spacing w:line="600" w:lineRule="exact"/>
        <w:ind w:firstLine="643" w:firstLineChars="200"/>
        <w:jc w:val="left"/>
        <w:rPr>
          <w:rFonts w:hint="eastAsia" w:ascii="仿宋_GB2312" w:hAnsi="仿宋_GB2312" w:eastAsia="仿宋_GB2312" w:cs="仿宋_GB2312"/>
          <w:sz w:val="32"/>
          <w:szCs w:val="32"/>
        </w:rPr>
      </w:pPr>
      <w:r>
        <w:rPr>
          <w:rFonts w:hint="eastAsia" w:ascii="Times New Roman" w:hAnsi="Times New Roman" w:eastAsia="仿宋_GB2312" w:cs="Times New Roman"/>
          <w:b/>
          <w:bCs/>
          <w:sz w:val="32"/>
          <w:szCs w:val="32"/>
        </w:rPr>
        <w:t>三是“好房子”标准体系加快完善。</w:t>
      </w:r>
      <w:r>
        <w:rPr>
          <w:rFonts w:hint="eastAsia" w:ascii="Times New Roman" w:hAnsi="Times New Roman" w:eastAsia="仿宋_GB2312" w:cs="Times New Roman"/>
          <w:sz w:val="32"/>
          <w:szCs w:val="32"/>
        </w:rPr>
        <w:t>一方面，2024年6月，《揭阳市绿色建筑发展专项规划（2022-2035年）》印发，推动建筑领域绿色化、标准化发展；另一方面，2025年，《揭阳市建筑工程容积率计算办法》</w:t>
      </w:r>
      <w:r>
        <w:rPr>
          <w:rFonts w:hint="eastAsia" w:ascii="仿宋_GB2312" w:hAnsi="仿宋_GB2312" w:eastAsia="仿宋_GB2312" w:cs="仿宋_GB2312"/>
          <w:color w:val="212121"/>
          <w:sz w:val="32"/>
          <w:szCs w:val="32"/>
        </w:rPr>
        <w:t>《</w:t>
      </w:r>
      <w:r>
        <w:rPr>
          <w:rFonts w:ascii="仿宋_GB2312" w:hAnsi="仿宋_GB2312" w:eastAsia="仿宋_GB2312" w:cs="仿宋_GB2312"/>
          <w:color w:val="212121"/>
          <w:sz w:val="32"/>
          <w:szCs w:val="32"/>
        </w:rPr>
        <w:t>揭阳市推进“好房子”规划建设的工作指引（试行）</w:t>
      </w:r>
      <w:r>
        <w:rPr>
          <w:rFonts w:hint="eastAsia" w:ascii="仿宋_GB2312" w:hAnsi="仿宋_GB2312" w:eastAsia="仿宋_GB2312" w:cs="仿宋_GB2312"/>
          <w:color w:val="212121"/>
          <w:sz w:val="32"/>
          <w:szCs w:val="32"/>
        </w:rPr>
        <w:t>》</w:t>
      </w:r>
      <w:r>
        <w:rPr>
          <w:rFonts w:hint="eastAsia" w:ascii="仿宋_GB2312" w:hAnsi="仿宋_GB2312" w:eastAsia="仿宋_GB2312" w:cs="仿宋_GB2312"/>
          <w:color w:val="212121"/>
          <w:sz w:val="32"/>
          <w:szCs w:val="32"/>
          <w:lang w:val="en-US" w:eastAsia="zh-CN"/>
        </w:rPr>
        <w:t>先后印发</w:t>
      </w:r>
      <w:r>
        <w:rPr>
          <w:rFonts w:hint="eastAsia" w:ascii="Times New Roman" w:hAnsi="Times New Roman" w:eastAsia="仿宋_GB2312" w:cs="Times New Roman"/>
          <w:sz w:val="32"/>
          <w:szCs w:val="32"/>
        </w:rPr>
        <w:t>，</w:t>
      </w:r>
      <w:r>
        <w:rPr>
          <w:rFonts w:hint="eastAsia" w:ascii="仿宋_GB2312" w:hAnsi="仿宋_GB2312" w:eastAsia="仿宋_GB2312" w:cs="仿宋_GB2312"/>
          <w:sz w:val="32"/>
          <w:szCs w:val="32"/>
        </w:rPr>
        <w:t>明确“好房子”规划建设标准，</w:t>
      </w:r>
      <w:r>
        <w:rPr>
          <w:rFonts w:hint="eastAsia" w:ascii="Times New Roman" w:hAnsi="Times New Roman" w:eastAsia="仿宋_GB2312" w:cs="Times New Roman"/>
          <w:sz w:val="32"/>
          <w:szCs w:val="32"/>
        </w:rPr>
        <w:t>促进</w:t>
      </w:r>
      <w:r>
        <w:rPr>
          <w:rFonts w:hint="eastAsia" w:ascii="Times New Roman" w:hAnsi="Times New Roman" w:eastAsia="仿宋_GB2312" w:cs="Times New Roman"/>
          <w:sz w:val="32"/>
          <w:szCs w:val="32"/>
          <w:lang w:val="en-US" w:eastAsia="zh-CN"/>
        </w:rPr>
        <w:t>空间布局、公服配套和</w:t>
      </w:r>
      <w:r>
        <w:rPr>
          <w:rFonts w:hint="eastAsia" w:ascii="Times New Roman" w:hAnsi="Times New Roman" w:eastAsia="仿宋_GB2312" w:cs="Times New Roman"/>
          <w:sz w:val="32"/>
          <w:szCs w:val="32"/>
        </w:rPr>
        <w:t>设计优化。</w:t>
      </w:r>
    </w:p>
    <w:p w14:paraId="5C9B21B9">
      <w:pPr>
        <w:spacing w:line="600" w:lineRule="exact"/>
        <w:ind w:firstLine="643" w:firstLineChars="200"/>
        <w:outlineLvl w:val="2"/>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5.物业管理制度逐步完善，服务</w:t>
      </w:r>
      <w:r>
        <w:rPr>
          <w:rFonts w:hint="eastAsia" w:ascii="Times New Roman" w:hAnsi="Times New Roman" w:eastAsia="仿宋_GB2312" w:cs="Times New Roman"/>
          <w:b/>
          <w:bCs/>
          <w:sz w:val="32"/>
          <w:szCs w:val="32"/>
        </w:rPr>
        <w:t>水平稳步提升</w:t>
      </w:r>
      <w:r>
        <w:rPr>
          <w:rFonts w:ascii="Times New Roman" w:hAnsi="Times New Roman" w:eastAsia="仿宋_GB2312" w:cs="Times New Roman"/>
          <w:b/>
          <w:bCs/>
          <w:sz w:val="32"/>
          <w:szCs w:val="32"/>
        </w:rPr>
        <w:t>。</w:t>
      </w:r>
    </w:p>
    <w:p w14:paraId="4669A9E5">
      <w:pPr>
        <w:spacing w:line="60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一是加强物业服务管理法治引领。</w:t>
      </w:r>
      <w:r>
        <w:rPr>
          <w:rFonts w:hint="eastAsia" w:ascii="Times New Roman" w:hAnsi="Times New Roman" w:eastAsia="仿宋_GB2312" w:cs="Times New Roman"/>
          <w:sz w:val="32"/>
          <w:szCs w:val="32"/>
        </w:rPr>
        <w:t>“十四五”期间，</w:t>
      </w:r>
      <w:r>
        <w:rPr>
          <w:rFonts w:hint="eastAsia" w:ascii="Times New Roman" w:hAnsi="Times New Roman" w:eastAsia="仿宋_GB2312" w:cs="Times New Roman"/>
          <w:sz w:val="32"/>
          <w:szCs w:val="32"/>
          <w:lang w:val="en-US" w:eastAsia="zh-CN"/>
        </w:rPr>
        <w:t>揭阳市</w:t>
      </w:r>
      <w:r>
        <w:rPr>
          <w:rFonts w:ascii="Times New Roman" w:hAnsi="Times New Roman" w:eastAsia="仿宋_GB2312" w:cs="Times New Roman"/>
          <w:sz w:val="32"/>
          <w:szCs w:val="32"/>
        </w:rPr>
        <w:t>印发《揭阳市住宅小区物业管理条例》《揭阳市住宅专项维修资金管理办法</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等文件</w:t>
      </w:r>
      <w:r>
        <w:rPr>
          <w:rFonts w:ascii="Times New Roman" w:hAnsi="Times New Roman" w:eastAsia="仿宋_GB2312" w:cs="Times New Roman"/>
          <w:sz w:val="32"/>
          <w:szCs w:val="32"/>
        </w:rPr>
        <w:t>，以法治为引领、以整治为突破、以党建为核心，推动成立物业</w:t>
      </w:r>
      <w:r>
        <w:rPr>
          <w:rFonts w:hint="eastAsia" w:ascii="Times New Roman" w:hAnsi="Times New Roman" w:eastAsia="仿宋_GB2312" w:cs="Times New Roman"/>
          <w:color w:val="212121"/>
          <w:sz w:val="32"/>
          <w:szCs w:val="32"/>
        </w:rPr>
        <w:t>行业</w:t>
      </w:r>
      <w:r>
        <w:rPr>
          <w:rFonts w:ascii="Times New Roman" w:hAnsi="Times New Roman" w:eastAsia="仿宋_GB2312" w:cs="Times New Roman"/>
          <w:sz w:val="32"/>
          <w:szCs w:val="32"/>
        </w:rPr>
        <w:t>党委，让基层治理从</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有人管</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走向</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管得好</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w:t>
      </w:r>
    </w:p>
    <w:p w14:paraId="5EA7A16A">
      <w:pPr>
        <w:spacing w:line="60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二是推进业主委员会</w:t>
      </w:r>
      <w:r>
        <w:rPr>
          <w:rFonts w:hint="eastAsia" w:ascii="Times New Roman" w:hAnsi="Times New Roman" w:eastAsia="仿宋_GB2312" w:cs="Times New Roman"/>
          <w:b/>
          <w:bCs/>
          <w:sz w:val="32"/>
          <w:szCs w:val="32"/>
          <w:lang w:val="en-US" w:eastAsia="zh-CN"/>
        </w:rPr>
        <w:t>规范</w:t>
      </w:r>
      <w:r>
        <w:rPr>
          <w:rFonts w:hint="eastAsia" w:ascii="Times New Roman" w:hAnsi="Times New Roman" w:eastAsia="仿宋_GB2312" w:cs="Times New Roman"/>
          <w:b/>
          <w:bCs/>
          <w:sz w:val="32"/>
          <w:szCs w:val="32"/>
        </w:rPr>
        <w:t>建设。</w:t>
      </w:r>
      <w:r>
        <w:rPr>
          <w:rFonts w:hint="eastAsia" w:ascii="Times New Roman" w:hAnsi="Times New Roman" w:eastAsia="仿宋_GB2312" w:cs="Times New Roman"/>
          <w:sz w:val="32"/>
          <w:szCs w:val="32"/>
        </w:rPr>
        <w:t>2024年，揭阳市印发了《揭阳市物业小区成立首届业主大会和业主委员会工作指引（试行）》《物业管理委员会工作指引（试行）》</w:t>
      </w:r>
      <w:r>
        <w:rPr>
          <w:rFonts w:hint="eastAsia" w:ascii="Times New Roman" w:hAnsi="Times New Roman" w:eastAsia="仿宋_GB2312" w:cs="Times New Roman"/>
          <w:sz w:val="32"/>
          <w:szCs w:val="32"/>
          <w:lang w:val="en-US" w:eastAsia="zh-CN"/>
        </w:rPr>
        <w:t>等指引</w:t>
      </w:r>
      <w:r>
        <w:rPr>
          <w:rFonts w:hint="eastAsia" w:ascii="Times New Roman" w:hAnsi="Times New Roman" w:eastAsia="仿宋_GB2312" w:cs="Times New Roman"/>
          <w:sz w:val="32"/>
          <w:szCs w:val="32"/>
        </w:rPr>
        <w:t>和《业主大会议事规则》《物业小区管理规约》《物业服务合同》《前期物业服务合同》</w:t>
      </w:r>
      <w:r>
        <w:rPr>
          <w:rFonts w:hint="eastAsia" w:ascii="Times New Roman" w:hAnsi="Times New Roman" w:eastAsia="仿宋_GB2312" w:cs="Times New Roman"/>
          <w:sz w:val="32"/>
          <w:szCs w:val="32"/>
          <w:lang w:val="en-US" w:eastAsia="zh-CN"/>
        </w:rPr>
        <w:t>等</w:t>
      </w:r>
      <w:r>
        <w:rPr>
          <w:rFonts w:hint="eastAsia" w:ascii="Times New Roman" w:hAnsi="Times New Roman" w:eastAsia="仿宋_GB2312" w:cs="Times New Roman"/>
          <w:sz w:val="32"/>
          <w:szCs w:val="32"/>
        </w:rPr>
        <w:t>示范文本，进一步简化业主委员会备案程序，充分发挥社区自治组织在物业管理的作用。</w:t>
      </w:r>
    </w:p>
    <w:p w14:paraId="079553C2">
      <w:pPr>
        <w:spacing w:line="600" w:lineRule="exact"/>
        <w:ind w:firstLine="640" w:firstLineChars="200"/>
        <w:outlineLvl w:val="1"/>
        <w:rPr>
          <w:rFonts w:ascii="Times New Roman" w:hAnsi="Times New Roman" w:eastAsia="楷体_GB2312" w:cs="Times New Roman"/>
          <w:sz w:val="32"/>
          <w:szCs w:val="32"/>
        </w:rPr>
      </w:pPr>
      <w:bookmarkStart w:id="11" w:name="_Toc230790043"/>
      <w:bookmarkStart w:id="12" w:name="_Toc214553826"/>
      <w:bookmarkStart w:id="13" w:name="_Toc29990"/>
      <w:bookmarkStart w:id="14" w:name="_Toc2587"/>
      <w:bookmarkStart w:id="15" w:name="_Toc27740"/>
      <w:r>
        <w:rPr>
          <w:rFonts w:ascii="Times New Roman" w:hAnsi="Times New Roman" w:eastAsia="楷体_GB2312" w:cs="Times New Roman"/>
          <w:sz w:val="32"/>
          <w:szCs w:val="32"/>
        </w:rPr>
        <w:t>（</w:t>
      </w:r>
      <w:r>
        <w:rPr>
          <w:rFonts w:hint="eastAsia" w:ascii="Times New Roman" w:hAnsi="Times New Roman" w:eastAsia="楷体_GB2312" w:cs="Times New Roman"/>
          <w:sz w:val="32"/>
          <w:szCs w:val="32"/>
          <w:lang w:val="en-US" w:eastAsia="zh-CN"/>
        </w:rPr>
        <w:t>二</w:t>
      </w:r>
      <w:r>
        <w:rPr>
          <w:rFonts w:ascii="Times New Roman" w:hAnsi="Times New Roman" w:eastAsia="楷体_GB2312" w:cs="Times New Roman"/>
          <w:sz w:val="32"/>
          <w:szCs w:val="32"/>
        </w:rPr>
        <w:t>）</w:t>
      </w:r>
      <w:r>
        <w:rPr>
          <w:rFonts w:hint="eastAsia" w:ascii="Times New Roman" w:hAnsi="Times New Roman" w:eastAsia="楷体_GB2312" w:cs="Times New Roman"/>
          <w:sz w:val="32"/>
          <w:szCs w:val="32"/>
          <w:lang w:eastAsia="zh-CN"/>
        </w:rPr>
        <w:t>“</w:t>
      </w:r>
      <w:r>
        <w:rPr>
          <w:rFonts w:ascii="Times New Roman" w:hAnsi="Times New Roman" w:eastAsia="楷体_GB2312" w:cs="Times New Roman"/>
          <w:sz w:val="32"/>
          <w:szCs w:val="32"/>
        </w:rPr>
        <w:t>十五五</w:t>
      </w:r>
      <w:r>
        <w:rPr>
          <w:rFonts w:hint="eastAsia" w:ascii="Times New Roman" w:hAnsi="Times New Roman" w:eastAsia="楷体_GB2312" w:cs="Times New Roman"/>
          <w:sz w:val="32"/>
          <w:szCs w:val="32"/>
          <w:lang w:eastAsia="zh-CN"/>
        </w:rPr>
        <w:t>”</w:t>
      </w:r>
      <w:r>
        <w:rPr>
          <w:rFonts w:ascii="Times New Roman" w:hAnsi="Times New Roman" w:eastAsia="楷体_GB2312" w:cs="Times New Roman"/>
          <w:sz w:val="32"/>
          <w:szCs w:val="32"/>
        </w:rPr>
        <w:t>时期发展形势</w:t>
      </w:r>
      <w:bookmarkEnd w:id="11"/>
      <w:bookmarkEnd w:id="12"/>
      <w:bookmarkEnd w:id="13"/>
      <w:bookmarkEnd w:id="14"/>
      <w:bookmarkEnd w:id="15"/>
    </w:p>
    <w:p w14:paraId="06BAFD97">
      <w:pPr>
        <w:spacing w:line="600" w:lineRule="exact"/>
        <w:ind w:firstLine="643" w:firstLineChars="200"/>
        <w:outlineLvl w:val="2"/>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w:t>
      </w:r>
      <w:r>
        <w:rPr>
          <w:rFonts w:hint="eastAsia" w:ascii="Times New Roman" w:hAnsi="Times New Roman" w:eastAsia="仿宋_GB2312" w:cs="Times New Roman"/>
          <w:b/>
          <w:bCs/>
          <w:sz w:val="32"/>
          <w:szCs w:val="32"/>
        </w:rPr>
        <w:t>国内外经济</w:t>
      </w:r>
      <w:r>
        <w:rPr>
          <w:rFonts w:ascii="Times New Roman" w:hAnsi="Times New Roman" w:eastAsia="仿宋_GB2312" w:cs="Times New Roman"/>
          <w:b/>
          <w:bCs/>
          <w:sz w:val="32"/>
          <w:szCs w:val="32"/>
        </w:rPr>
        <w:t>博弈加剧，就业形势制约置业意愿。</w:t>
      </w:r>
    </w:p>
    <w:p w14:paraId="4E9F419A">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揭阳市经济</w:t>
      </w:r>
      <w:r>
        <w:rPr>
          <w:rFonts w:hint="eastAsia" w:ascii="Times New Roman" w:hAnsi="Times New Roman" w:eastAsia="仿宋_GB2312" w:cs="Times New Roman"/>
          <w:sz w:val="32"/>
          <w:szCs w:val="32"/>
          <w:lang w:val="en-US" w:eastAsia="zh-CN"/>
        </w:rPr>
        <w:t>发展</w:t>
      </w:r>
      <w:r>
        <w:rPr>
          <w:rFonts w:hint="eastAsia" w:ascii="Times New Roman" w:hAnsi="Times New Roman" w:eastAsia="仿宋_GB2312" w:cs="Times New Roman"/>
          <w:sz w:val="32"/>
          <w:szCs w:val="32"/>
        </w:rPr>
        <w:t>以出口贸易为主，受中美贸易摩擦、国际形势变化等因素影响，“十四五”期间全市对外贸易规模呈波动下降态势，2024年全市出口总量120.5亿元，对比2021年收缩43亿元。对外贸易规模收缩</w:t>
      </w:r>
      <w:r>
        <w:rPr>
          <w:rFonts w:hint="eastAsia" w:ascii="Times New Roman" w:hAnsi="Times New Roman" w:eastAsia="仿宋_GB2312" w:cs="Times New Roman"/>
          <w:sz w:val="32"/>
          <w:szCs w:val="32"/>
          <w:lang w:val="en-US" w:eastAsia="zh-CN"/>
        </w:rPr>
        <w:t>导致</w:t>
      </w:r>
      <w:r>
        <w:rPr>
          <w:rFonts w:hint="eastAsia" w:ascii="Times New Roman" w:hAnsi="Times New Roman" w:eastAsia="仿宋_GB2312" w:cs="Times New Roman"/>
          <w:sz w:val="32"/>
          <w:szCs w:val="32"/>
        </w:rPr>
        <w:t>企业经营困难，就业形势越趋严峻，居民收入减少制约置业意愿，</w:t>
      </w:r>
      <w:r>
        <w:rPr>
          <w:rFonts w:hint="eastAsia" w:ascii="Times New Roman" w:hAnsi="Times New Roman" w:eastAsia="仿宋_GB2312" w:cs="Times New Roman"/>
          <w:sz w:val="32"/>
          <w:szCs w:val="32"/>
          <w:lang w:val="en-US" w:eastAsia="zh-CN"/>
        </w:rPr>
        <w:t>降低购房</w:t>
      </w:r>
      <w:r>
        <w:rPr>
          <w:rFonts w:hint="eastAsia" w:ascii="Times New Roman" w:hAnsi="Times New Roman" w:eastAsia="仿宋_GB2312" w:cs="Times New Roman"/>
          <w:sz w:val="32"/>
          <w:szCs w:val="32"/>
        </w:rPr>
        <w:t>市场</w:t>
      </w:r>
      <w:r>
        <w:rPr>
          <w:rFonts w:hint="eastAsia" w:ascii="Times New Roman" w:hAnsi="Times New Roman" w:eastAsia="仿宋_GB2312" w:cs="Times New Roman"/>
          <w:sz w:val="32"/>
          <w:szCs w:val="32"/>
          <w:lang w:val="en-US" w:eastAsia="zh-CN"/>
        </w:rPr>
        <w:t>的</w:t>
      </w:r>
      <w:r>
        <w:rPr>
          <w:rFonts w:hint="eastAsia" w:ascii="Times New Roman" w:hAnsi="Times New Roman" w:eastAsia="仿宋_GB2312" w:cs="Times New Roman"/>
          <w:sz w:val="32"/>
          <w:szCs w:val="32"/>
        </w:rPr>
        <w:t>内生动力。</w:t>
      </w:r>
    </w:p>
    <w:p w14:paraId="4EA4902E">
      <w:pPr>
        <w:spacing w:line="600" w:lineRule="exact"/>
        <w:ind w:firstLine="643" w:firstLineChars="200"/>
        <w:outlineLvl w:val="2"/>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2.城中村改造全面提速，</w:t>
      </w:r>
      <w:r>
        <w:rPr>
          <w:rFonts w:hint="eastAsia" w:ascii="Times New Roman" w:hAnsi="Times New Roman" w:eastAsia="仿宋_GB2312" w:cs="Times New Roman"/>
          <w:b/>
          <w:bCs/>
          <w:sz w:val="32"/>
          <w:szCs w:val="32"/>
        </w:rPr>
        <w:t>拓展住房市场新空间</w:t>
      </w:r>
      <w:r>
        <w:rPr>
          <w:rFonts w:ascii="Times New Roman" w:hAnsi="Times New Roman" w:eastAsia="仿宋_GB2312" w:cs="Times New Roman"/>
          <w:b/>
          <w:bCs/>
          <w:sz w:val="32"/>
          <w:szCs w:val="32"/>
        </w:rPr>
        <w:t>。</w:t>
      </w:r>
    </w:p>
    <w:p w14:paraId="1A3C0962">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十四五</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以来，</w:t>
      </w:r>
      <w:r>
        <w:rPr>
          <w:rFonts w:ascii="Times New Roman" w:hAnsi="Times New Roman" w:eastAsia="仿宋_GB2312" w:cs="Times New Roman"/>
          <w:sz w:val="32"/>
          <w:szCs w:val="32"/>
        </w:rPr>
        <w:t>国家高度重视城市更新工作，</w:t>
      </w:r>
      <w:r>
        <w:rPr>
          <w:rFonts w:hint="eastAsia" w:ascii="Times New Roman" w:hAnsi="Times New Roman" w:eastAsia="仿宋_GB2312" w:cs="Times New Roman"/>
          <w:sz w:val="32"/>
          <w:szCs w:val="32"/>
          <w:lang w:val="en-US" w:eastAsia="zh-CN"/>
        </w:rPr>
        <w:t>要求</w:t>
      </w:r>
      <w:r>
        <w:rPr>
          <w:rFonts w:ascii="Times New Roman" w:hAnsi="Times New Roman" w:eastAsia="仿宋_GB2312" w:cs="Times New Roman"/>
          <w:sz w:val="32"/>
          <w:szCs w:val="32"/>
        </w:rPr>
        <w:t>加快推动城镇低效用地再开发，盘活存量土地资源，提高土地利用效率。通过城中村改造、老旧小区</w:t>
      </w:r>
      <w:r>
        <w:rPr>
          <w:rFonts w:hint="eastAsia" w:ascii="Times New Roman" w:hAnsi="Times New Roman" w:eastAsia="仿宋_GB2312" w:cs="Times New Roman"/>
          <w:sz w:val="32"/>
          <w:szCs w:val="32"/>
          <w:lang w:val="en-US" w:eastAsia="zh-CN"/>
        </w:rPr>
        <w:t>改造</w:t>
      </w:r>
      <w:r>
        <w:rPr>
          <w:rFonts w:ascii="Times New Roman" w:hAnsi="Times New Roman" w:eastAsia="仿宋_GB2312" w:cs="Times New Roman"/>
          <w:sz w:val="32"/>
          <w:szCs w:val="32"/>
        </w:rPr>
        <w:t>等举措，完善城市基础设施和公共服务设施，提升城市的综合承载能力，在改善城市面貌</w:t>
      </w:r>
      <w:r>
        <w:rPr>
          <w:rFonts w:hint="eastAsia" w:ascii="Times New Roman" w:hAnsi="Times New Roman" w:eastAsia="仿宋_GB2312" w:cs="Times New Roman"/>
          <w:sz w:val="32"/>
          <w:szCs w:val="32"/>
        </w:rPr>
        <w:t>，提升人居环境</w:t>
      </w:r>
      <w:r>
        <w:rPr>
          <w:rFonts w:ascii="Times New Roman" w:hAnsi="Times New Roman" w:eastAsia="仿宋_GB2312" w:cs="Times New Roman"/>
          <w:sz w:val="32"/>
          <w:szCs w:val="32"/>
        </w:rPr>
        <w:t>的同时，也将释放大量住房需求，为住房发展注入新动能。</w:t>
      </w:r>
    </w:p>
    <w:p w14:paraId="0C40B1D2">
      <w:pPr>
        <w:spacing w:line="600" w:lineRule="exact"/>
        <w:ind w:firstLine="643" w:firstLineChars="200"/>
        <w:outlineLvl w:val="2"/>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3.</w:t>
      </w:r>
      <w:r>
        <w:rPr>
          <w:rFonts w:hint="eastAsia" w:ascii="Times New Roman" w:hAnsi="Times New Roman" w:eastAsia="仿宋_GB2312" w:cs="Times New Roman"/>
          <w:b/>
          <w:bCs/>
          <w:sz w:val="32"/>
          <w:szCs w:val="32"/>
        </w:rPr>
        <w:t>“百千万工程”推进</w:t>
      </w:r>
      <w:r>
        <w:rPr>
          <w:rFonts w:ascii="Times New Roman" w:hAnsi="Times New Roman" w:eastAsia="仿宋_GB2312" w:cs="Times New Roman"/>
          <w:b/>
          <w:bCs/>
          <w:sz w:val="32"/>
          <w:szCs w:val="32"/>
        </w:rPr>
        <w:t>，县域房地产</w:t>
      </w:r>
      <w:r>
        <w:rPr>
          <w:rFonts w:hint="eastAsia" w:ascii="Times New Roman" w:hAnsi="Times New Roman" w:eastAsia="仿宋_GB2312" w:cs="Times New Roman"/>
          <w:b/>
          <w:bCs/>
          <w:sz w:val="32"/>
          <w:szCs w:val="32"/>
        </w:rPr>
        <w:t>发展潜力大</w:t>
      </w:r>
      <w:r>
        <w:rPr>
          <w:rFonts w:ascii="Times New Roman" w:hAnsi="Times New Roman" w:eastAsia="仿宋_GB2312" w:cs="Times New Roman"/>
          <w:b/>
          <w:bCs/>
          <w:sz w:val="32"/>
          <w:szCs w:val="32"/>
        </w:rPr>
        <w:t>。</w:t>
      </w:r>
    </w:p>
    <w:p w14:paraId="210E3A19">
      <w:pPr>
        <w:spacing w:line="600" w:lineRule="exact"/>
        <w:ind w:firstLine="640" w:firstLineChars="200"/>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rPr>
        <w:t>自“百千万工程”启动以来，全市加力提速补齐全市镇村建设短板，促进城乡融合提升</w:t>
      </w:r>
      <w:r>
        <w:rPr>
          <w:rFonts w:hint="eastAsia" w:ascii="Times New Roman" w:hAnsi="Times New Roman" w:eastAsia="仿宋_GB2312" w:cs="Times New Roman"/>
          <w:sz w:val="32"/>
          <w:szCs w:val="32"/>
          <w:lang w:val="en-US" w:eastAsia="zh-CN"/>
        </w:rPr>
        <w:t>。揭阳市县域房地产发展基础较好，目前县域房地产开发投资已是全市房地产的重要支柱，同时拥有普宁市（2024年全省人口第一大县）和惠来县（2024年</w:t>
      </w:r>
      <w:r>
        <w:rPr>
          <w:rFonts w:hint="eastAsia" w:ascii="Times New Roman" w:hAnsi="Times New Roman" w:eastAsia="仿宋_GB2312" w:cs="Times New Roman"/>
          <w:sz w:val="32"/>
          <w:szCs w:val="32"/>
        </w:rPr>
        <w:t>全省县域</w:t>
      </w:r>
      <w:r>
        <w:rPr>
          <w:rFonts w:hint="eastAsia" w:ascii="Times New Roman" w:hAnsi="Times New Roman" w:eastAsia="仿宋_GB2312" w:cs="Times New Roman"/>
          <w:sz w:val="32"/>
          <w:szCs w:val="32"/>
          <w:lang w:val="en-US" w:eastAsia="zh-CN"/>
        </w:rPr>
        <w:t>GDP</w:t>
      </w:r>
      <w:r>
        <w:rPr>
          <w:rFonts w:hint="eastAsia" w:ascii="Times New Roman" w:hAnsi="Times New Roman" w:eastAsia="仿宋_GB2312" w:cs="Times New Roman"/>
          <w:sz w:val="32"/>
          <w:szCs w:val="32"/>
        </w:rPr>
        <w:t>增速最快</w:t>
      </w:r>
      <w:r>
        <w:rPr>
          <w:rFonts w:hint="eastAsia" w:ascii="Times New Roman" w:hAnsi="Times New Roman" w:eastAsia="仿宋_GB2312" w:cs="Times New Roman"/>
          <w:sz w:val="32"/>
          <w:szCs w:val="32"/>
          <w:lang w:val="en-US" w:eastAsia="zh-CN"/>
        </w:rPr>
        <w:t>），内部需求基本盘稳定，为“十五五”加快发展县域房地产提供坚实支撑。</w:t>
      </w:r>
    </w:p>
    <w:p w14:paraId="7B5D0E5C">
      <w:pPr>
        <w:spacing w:line="600" w:lineRule="exact"/>
        <w:ind w:firstLine="643" w:firstLineChars="200"/>
        <w:outlineLvl w:val="2"/>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4.房地产新模式构建，</w:t>
      </w:r>
      <w:r>
        <w:rPr>
          <w:rFonts w:hint="eastAsia" w:ascii="Times New Roman" w:hAnsi="Times New Roman" w:eastAsia="仿宋_GB2312" w:cs="Times New Roman"/>
          <w:b/>
          <w:bCs/>
          <w:sz w:val="32"/>
          <w:szCs w:val="32"/>
        </w:rPr>
        <w:t>推动</w:t>
      </w:r>
      <w:r>
        <w:rPr>
          <w:rFonts w:ascii="Times New Roman" w:hAnsi="Times New Roman" w:eastAsia="仿宋_GB2312" w:cs="Times New Roman"/>
          <w:b/>
          <w:bCs/>
          <w:sz w:val="32"/>
          <w:szCs w:val="32"/>
        </w:rPr>
        <w:t>住房供应</w:t>
      </w:r>
      <w:r>
        <w:rPr>
          <w:rFonts w:hint="eastAsia" w:ascii="Times New Roman" w:hAnsi="Times New Roman" w:eastAsia="仿宋_GB2312" w:cs="Times New Roman"/>
          <w:b/>
          <w:bCs/>
          <w:sz w:val="32"/>
          <w:szCs w:val="32"/>
        </w:rPr>
        <w:t>提质增效</w:t>
      </w:r>
      <w:r>
        <w:rPr>
          <w:rFonts w:ascii="Times New Roman" w:hAnsi="Times New Roman" w:eastAsia="仿宋_GB2312" w:cs="Times New Roman"/>
          <w:b/>
          <w:bCs/>
          <w:sz w:val="32"/>
          <w:szCs w:val="32"/>
        </w:rPr>
        <w:t>。</w:t>
      </w:r>
    </w:p>
    <w:p w14:paraId="3BFCDE5A">
      <w:pPr>
        <w:spacing w:line="600" w:lineRule="exact"/>
        <w:ind w:firstLine="640" w:firstLineChars="200"/>
        <w:rPr>
          <w:rFonts w:ascii="Times New Roman" w:hAnsi="Times New Roman" w:eastAsia="仿宋_GB2312" w:cs="Times New Roman"/>
          <w:b/>
          <w:sz w:val="32"/>
          <w:szCs w:val="32"/>
        </w:rPr>
      </w:pPr>
      <w:r>
        <w:rPr>
          <w:rFonts w:hint="eastAsia" w:ascii="Times New Roman" w:hAnsi="Times New Roman" w:eastAsia="仿宋_GB2312" w:cs="Times New Roman"/>
          <w:bCs/>
          <w:sz w:val="32"/>
          <w:szCs w:val="32"/>
        </w:rPr>
        <w:t>“十四五”时期，全市住房新开工面积、商品住房销售面积、入市规模均有不同程度的回落，住房发展已从总量短缺转变为结构性供给不足，住房需求也</w:t>
      </w:r>
      <w:r>
        <w:rPr>
          <w:rFonts w:hint="eastAsia" w:ascii="Times New Roman" w:hAnsi="Times New Roman" w:eastAsia="仿宋_GB2312" w:cs="Times New Roman"/>
          <w:bCs/>
          <w:sz w:val="32"/>
          <w:szCs w:val="32"/>
          <w:lang w:val="en-US" w:eastAsia="zh-CN"/>
        </w:rPr>
        <w:t>逐步转向</w:t>
      </w:r>
      <w:r>
        <w:rPr>
          <w:rFonts w:hint="eastAsia" w:ascii="Times New Roman" w:hAnsi="Times New Roman" w:eastAsia="仿宋_GB2312" w:cs="Times New Roman"/>
          <w:bCs/>
          <w:sz w:val="32"/>
          <w:szCs w:val="32"/>
        </w:rPr>
        <w:t>改善型置换。因此，合理控制新增房地产用地供应，盘活存量用地和商办用房，加快构建房地产新发展模式，促进住房高质量发展成为下一阶段的发展重点。</w:t>
      </w:r>
    </w:p>
    <w:p w14:paraId="6EEAF125">
      <w:pPr>
        <w:spacing w:line="600" w:lineRule="exact"/>
        <w:ind w:firstLine="643" w:firstLineChars="200"/>
        <w:outlineLvl w:val="2"/>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5.</w:t>
      </w:r>
      <w:r>
        <w:rPr>
          <w:rFonts w:hint="eastAsia" w:ascii="Times New Roman" w:hAnsi="Times New Roman" w:eastAsia="仿宋_GB2312" w:cs="Times New Roman"/>
          <w:b/>
          <w:bCs/>
          <w:sz w:val="32"/>
          <w:szCs w:val="32"/>
        </w:rPr>
        <w:t>居民生活水平改善，“好房子”需求持续释放。</w:t>
      </w:r>
    </w:p>
    <w:p w14:paraId="4631F919">
      <w:pPr>
        <w:spacing w:line="600" w:lineRule="exact"/>
        <w:ind w:firstLine="640" w:firstLineChars="200"/>
        <w:rPr>
          <w:rFonts w:hint="eastAsia"/>
        </w:rPr>
      </w:pPr>
      <w:r>
        <w:rPr>
          <w:rFonts w:hint="eastAsia" w:ascii="Times New Roman" w:hAnsi="Times New Roman" w:eastAsia="仿宋_GB2312" w:cs="Times New Roman"/>
          <w:bCs/>
          <w:sz w:val="32"/>
          <w:szCs w:val="32"/>
        </w:rPr>
        <w:t>“十五五”时期，随着居民生活水平的提高和住房需求结构的转变，居民对高品质住宅的需求量越来越大。通过积极建设满足群众多样化改善性需求的</w:t>
      </w:r>
      <w:r>
        <w:rPr>
          <w:rFonts w:hint="eastAsia" w:ascii="Times New Roman" w:hAnsi="Times New Roman" w:eastAsia="仿宋_GB2312" w:cs="Times New Roman"/>
          <w:bCs/>
          <w:sz w:val="32"/>
          <w:szCs w:val="32"/>
          <w:lang w:eastAsia="zh-CN"/>
        </w:rPr>
        <w:t>“</w:t>
      </w:r>
      <w:r>
        <w:rPr>
          <w:rFonts w:hint="eastAsia" w:ascii="Times New Roman" w:hAnsi="Times New Roman" w:eastAsia="仿宋_GB2312" w:cs="Times New Roman"/>
          <w:bCs/>
          <w:sz w:val="32"/>
          <w:szCs w:val="32"/>
        </w:rPr>
        <w:t>好房子</w:t>
      </w:r>
      <w:r>
        <w:rPr>
          <w:rFonts w:hint="eastAsia" w:ascii="Times New Roman" w:hAnsi="Times New Roman" w:eastAsia="仿宋_GB2312" w:cs="Times New Roman"/>
          <w:bCs/>
          <w:sz w:val="32"/>
          <w:szCs w:val="32"/>
          <w:lang w:eastAsia="zh-CN"/>
        </w:rPr>
        <w:t>”</w:t>
      </w:r>
      <w:r>
        <w:rPr>
          <w:rFonts w:hint="eastAsia" w:ascii="Times New Roman" w:hAnsi="Times New Roman" w:eastAsia="仿宋_GB2312" w:cs="Times New Roman"/>
          <w:bCs/>
          <w:sz w:val="32"/>
          <w:szCs w:val="32"/>
        </w:rPr>
        <w:t>，引导企业提高住房建设标准</w:t>
      </w:r>
      <w:r>
        <w:rPr>
          <w:rFonts w:hint="eastAsia" w:ascii="Times New Roman" w:hAnsi="Times New Roman" w:eastAsia="仿宋_GB2312" w:cs="Times New Roman"/>
          <w:bCs/>
          <w:sz w:val="32"/>
          <w:szCs w:val="32"/>
          <w:lang w:eastAsia="zh-CN"/>
        </w:rPr>
        <w:t>，</w:t>
      </w:r>
      <w:r>
        <w:rPr>
          <w:rFonts w:hint="eastAsia" w:ascii="Times New Roman" w:hAnsi="Times New Roman" w:eastAsia="仿宋_GB2312" w:cs="Times New Roman"/>
          <w:bCs/>
          <w:sz w:val="32"/>
          <w:szCs w:val="32"/>
        </w:rPr>
        <w:t>提升住房供给质量，优化物业服务，进一步</w:t>
      </w:r>
      <w:r>
        <w:rPr>
          <w:rFonts w:hint="eastAsia" w:ascii="Times New Roman" w:hAnsi="Times New Roman" w:eastAsia="仿宋_GB2312" w:cs="Times New Roman"/>
          <w:bCs/>
          <w:sz w:val="32"/>
          <w:szCs w:val="32"/>
          <w:lang w:val="en-US" w:eastAsia="zh-CN"/>
        </w:rPr>
        <w:t>提升</w:t>
      </w:r>
      <w:r>
        <w:rPr>
          <w:rFonts w:hint="eastAsia" w:ascii="Times New Roman" w:hAnsi="Times New Roman" w:eastAsia="仿宋_GB2312" w:cs="Times New Roman"/>
          <w:bCs/>
          <w:sz w:val="32"/>
          <w:szCs w:val="32"/>
        </w:rPr>
        <w:t>居住</w:t>
      </w:r>
      <w:r>
        <w:rPr>
          <w:rFonts w:hint="eastAsia" w:ascii="Times New Roman" w:hAnsi="Times New Roman" w:eastAsia="仿宋_GB2312" w:cs="Times New Roman"/>
          <w:bCs/>
          <w:sz w:val="32"/>
          <w:szCs w:val="32"/>
          <w:lang w:val="en-US" w:eastAsia="zh-CN"/>
        </w:rPr>
        <w:t>水平</w:t>
      </w:r>
      <w:r>
        <w:rPr>
          <w:rFonts w:hint="eastAsia" w:ascii="Times New Roman" w:hAnsi="Times New Roman" w:eastAsia="仿宋_GB2312" w:cs="Times New Roman"/>
          <w:bCs/>
          <w:sz w:val="32"/>
          <w:szCs w:val="32"/>
          <w:lang w:eastAsia="zh-CN"/>
        </w:rPr>
        <w:t>，</w:t>
      </w:r>
      <w:r>
        <w:rPr>
          <w:rFonts w:hint="eastAsia" w:ascii="Times New Roman" w:hAnsi="Times New Roman" w:eastAsia="仿宋_GB2312" w:cs="Times New Roman"/>
          <w:bCs/>
          <w:sz w:val="32"/>
          <w:szCs w:val="32"/>
        </w:rPr>
        <w:t>以满足居民对美好居住生活的向往。</w:t>
      </w:r>
    </w:p>
    <w:p w14:paraId="062E1A37">
      <w:pPr>
        <w:spacing w:line="600" w:lineRule="exact"/>
        <w:ind w:firstLine="643" w:firstLineChars="200"/>
        <w:outlineLvl w:val="2"/>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6.产业强市全力建设，要求提升住房保障水平。</w:t>
      </w:r>
    </w:p>
    <w:p w14:paraId="31B05333">
      <w:pPr>
        <w:spacing w:line="600" w:lineRule="exact"/>
        <w:ind w:firstLine="640" w:firstLineChars="200"/>
        <w:rPr>
          <w:rFonts w:ascii="Times New Roman" w:hAnsi="Times New Roman" w:eastAsia="仿宋_GB2312" w:cs="Times New Roman"/>
          <w:bCs/>
          <w:sz w:val="32"/>
          <w:szCs w:val="32"/>
        </w:rPr>
      </w:pPr>
      <w:r>
        <w:rPr>
          <w:rFonts w:hint="eastAsia" w:ascii="Times New Roman" w:hAnsi="Times New Roman" w:eastAsia="仿宋_GB2312" w:cs="Times New Roman"/>
          <w:bCs/>
          <w:sz w:val="32"/>
          <w:szCs w:val="32"/>
        </w:rPr>
        <w:t>《揭阳市国土空间总体规划（2021</w:t>
      </w:r>
      <w:r>
        <w:rPr>
          <w:rFonts w:hint="eastAsia" w:ascii="Times New Roman" w:hAnsi="Times New Roman" w:eastAsia="仿宋_GB2312" w:cs="Times New Roman"/>
          <w:bCs/>
          <w:sz w:val="32"/>
          <w:szCs w:val="32"/>
          <w:lang w:val="en-US" w:eastAsia="zh-CN"/>
        </w:rPr>
        <w:t>-</w:t>
      </w:r>
      <w:r>
        <w:rPr>
          <w:rFonts w:hint="eastAsia" w:ascii="Times New Roman" w:hAnsi="Times New Roman" w:eastAsia="仿宋_GB2312" w:cs="Times New Roman"/>
          <w:bCs/>
          <w:sz w:val="32"/>
          <w:szCs w:val="32"/>
        </w:rPr>
        <w:t>2035年）》</w:t>
      </w:r>
      <w:r>
        <w:rPr>
          <w:rFonts w:hint="eastAsia" w:ascii="Times New Roman" w:hAnsi="Times New Roman" w:eastAsia="仿宋_GB2312" w:cs="Times New Roman"/>
          <w:bCs/>
          <w:sz w:val="32"/>
          <w:szCs w:val="32"/>
          <w:lang w:val="en-US" w:eastAsia="zh-CN"/>
        </w:rPr>
        <w:t>提出，揭阳市</w:t>
      </w:r>
      <w:r>
        <w:rPr>
          <w:rFonts w:hint="eastAsia" w:ascii="Times New Roman" w:hAnsi="Times New Roman" w:eastAsia="仿宋_GB2312" w:cs="Times New Roman"/>
          <w:bCs/>
          <w:sz w:val="32"/>
          <w:szCs w:val="32"/>
        </w:rPr>
        <w:t>要建设粤东地区新型产业强市，推动传统金属、纺织服装、医药、鞋业等转型升级，打造产业集群。</w:t>
      </w:r>
      <w:r>
        <w:rPr>
          <w:rFonts w:hint="eastAsia" w:ascii="Times New Roman" w:hAnsi="Times New Roman" w:eastAsia="仿宋_GB2312" w:cs="Times New Roman"/>
          <w:bCs/>
          <w:sz w:val="32"/>
          <w:szCs w:val="32"/>
          <w:lang w:eastAsia="zh-CN"/>
        </w:rPr>
        <w:t>“</w:t>
      </w:r>
      <w:r>
        <w:rPr>
          <w:rFonts w:hint="eastAsia" w:ascii="Times New Roman" w:hAnsi="Times New Roman" w:eastAsia="仿宋_GB2312" w:cs="Times New Roman"/>
          <w:bCs/>
          <w:sz w:val="32"/>
          <w:szCs w:val="32"/>
          <w:lang w:val="en-US" w:eastAsia="zh-CN"/>
        </w:rPr>
        <w:t>十五五</w:t>
      </w:r>
      <w:r>
        <w:rPr>
          <w:rFonts w:hint="eastAsia" w:ascii="Times New Roman" w:hAnsi="Times New Roman" w:eastAsia="仿宋_GB2312" w:cs="Times New Roman"/>
          <w:bCs/>
          <w:sz w:val="32"/>
          <w:szCs w:val="32"/>
          <w:lang w:eastAsia="zh-CN"/>
        </w:rPr>
        <w:t>”</w:t>
      </w:r>
      <w:r>
        <w:rPr>
          <w:rFonts w:hint="eastAsia" w:ascii="Times New Roman" w:hAnsi="Times New Roman" w:eastAsia="仿宋_GB2312" w:cs="Times New Roman"/>
          <w:bCs/>
          <w:sz w:val="32"/>
          <w:szCs w:val="32"/>
          <w:lang w:val="en-US" w:eastAsia="zh-CN"/>
        </w:rPr>
        <w:t>期间，</w:t>
      </w:r>
      <w:r>
        <w:rPr>
          <w:rFonts w:hint="eastAsia" w:ascii="Times New Roman" w:hAnsi="Times New Roman" w:eastAsia="仿宋_GB2312" w:cs="Times New Roman"/>
          <w:bCs/>
          <w:sz w:val="32"/>
          <w:szCs w:val="32"/>
        </w:rPr>
        <w:t>围绕各产业园区及相关企业，加大力度筹集建设保障性住房，</w:t>
      </w:r>
      <w:r>
        <w:rPr>
          <w:rFonts w:hint="eastAsia" w:ascii="Times New Roman" w:hAnsi="Times New Roman" w:eastAsia="仿宋_GB2312" w:cs="Times New Roman"/>
          <w:bCs/>
          <w:sz w:val="32"/>
          <w:szCs w:val="32"/>
          <w:lang w:val="en-US" w:eastAsia="zh-CN"/>
        </w:rPr>
        <w:t>做好</w:t>
      </w:r>
      <w:r>
        <w:rPr>
          <w:rFonts w:hint="eastAsia" w:ascii="Times New Roman" w:hAnsi="Times New Roman" w:eastAsia="仿宋_GB2312" w:cs="Times New Roman"/>
          <w:bCs/>
          <w:sz w:val="32"/>
          <w:szCs w:val="32"/>
        </w:rPr>
        <w:t>基础设施建设及公共服务设施配套，满足园区企业员工住房需要，提升住房保障水平</w:t>
      </w:r>
      <w:r>
        <w:rPr>
          <w:rFonts w:hint="eastAsia" w:ascii="Times New Roman" w:hAnsi="Times New Roman" w:eastAsia="仿宋_GB2312" w:cs="Times New Roman"/>
          <w:bCs/>
          <w:sz w:val="32"/>
          <w:szCs w:val="32"/>
          <w:lang w:eastAsia="zh-CN"/>
        </w:rPr>
        <w:t>，</w:t>
      </w:r>
      <w:r>
        <w:rPr>
          <w:rFonts w:hint="eastAsia" w:ascii="Times New Roman" w:hAnsi="Times New Roman" w:eastAsia="仿宋_GB2312" w:cs="Times New Roman"/>
          <w:bCs/>
          <w:sz w:val="32"/>
          <w:szCs w:val="32"/>
          <w:lang w:val="en-US" w:eastAsia="zh-CN"/>
        </w:rPr>
        <w:t>助力产业升级</w:t>
      </w:r>
      <w:r>
        <w:rPr>
          <w:rFonts w:hint="eastAsia" w:ascii="Times New Roman" w:hAnsi="Times New Roman" w:eastAsia="仿宋_GB2312" w:cs="Times New Roman"/>
          <w:bCs/>
          <w:sz w:val="32"/>
          <w:szCs w:val="32"/>
        </w:rPr>
        <w:t>。</w:t>
      </w:r>
    </w:p>
    <w:p w14:paraId="54748D3D">
      <w:pPr>
        <w:spacing w:line="600" w:lineRule="exact"/>
        <w:ind w:firstLine="640" w:firstLineChars="200"/>
        <w:outlineLvl w:val="0"/>
        <w:rPr>
          <w:rFonts w:ascii="Times New Roman" w:hAnsi="Times New Roman" w:eastAsia="黑体" w:cs="Times New Roman"/>
          <w:sz w:val="32"/>
          <w:szCs w:val="32"/>
        </w:rPr>
      </w:pPr>
      <w:bookmarkStart w:id="16" w:name="_Toc6795"/>
      <w:bookmarkStart w:id="17" w:name="_Toc19430"/>
      <w:bookmarkStart w:id="18" w:name="_Toc214553827"/>
      <w:bookmarkStart w:id="19" w:name="_Toc230790044"/>
      <w:bookmarkStart w:id="20" w:name="_Toc4405"/>
      <w:r>
        <w:rPr>
          <w:rFonts w:ascii="Times New Roman" w:hAnsi="Times New Roman" w:eastAsia="黑体" w:cs="Times New Roman"/>
          <w:sz w:val="32"/>
          <w:szCs w:val="32"/>
        </w:rPr>
        <w:t>二、发展目标</w:t>
      </w:r>
      <w:bookmarkEnd w:id="16"/>
      <w:bookmarkEnd w:id="17"/>
      <w:bookmarkEnd w:id="18"/>
      <w:bookmarkEnd w:id="19"/>
      <w:bookmarkEnd w:id="20"/>
    </w:p>
    <w:p w14:paraId="165B4277">
      <w:pPr>
        <w:spacing w:line="600" w:lineRule="exact"/>
        <w:ind w:firstLine="640" w:firstLineChars="200"/>
        <w:outlineLvl w:val="1"/>
        <w:rPr>
          <w:rFonts w:ascii="Times New Roman" w:hAnsi="Times New Roman" w:eastAsia="楷体_GB2312" w:cs="Times New Roman"/>
          <w:sz w:val="32"/>
          <w:szCs w:val="32"/>
        </w:rPr>
      </w:pPr>
      <w:bookmarkStart w:id="21" w:name="_Toc15316"/>
      <w:bookmarkStart w:id="22" w:name="_Toc230790045"/>
      <w:bookmarkStart w:id="23" w:name="_Toc3719"/>
      <w:bookmarkStart w:id="24" w:name="_Toc214553828"/>
      <w:bookmarkStart w:id="25" w:name="_Toc7378"/>
      <w:r>
        <w:rPr>
          <w:rFonts w:ascii="Times New Roman" w:hAnsi="Times New Roman" w:eastAsia="楷体_GB2312" w:cs="Times New Roman"/>
          <w:sz w:val="32"/>
          <w:szCs w:val="32"/>
        </w:rPr>
        <w:t>（一）指导思想</w:t>
      </w:r>
      <w:bookmarkEnd w:id="21"/>
      <w:bookmarkEnd w:id="22"/>
      <w:bookmarkEnd w:id="23"/>
      <w:bookmarkEnd w:id="24"/>
      <w:bookmarkEnd w:id="25"/>
    </w:p>
    <w:p w14:paraId="461198E3">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以习近平新时代中国特色社会主义思想为指导，全面贯彻党的二十大精神，坚持以人民为中心的发展思想，立足新发展阶段，完整、准确、全面贯彻新发展理念，按照省委“1310”具体部署和市委“1135”工作思路，紧紧围绕揭阳市“建设宜居宜业宜游的活力古城、滨海新城，打造沿海经济带上的产业强市”的战略定位，以满足人民群众对美好居住生活的向往为出发点和落脚点。坚持“房子是用来住的、不是用来炒的”定位，以建立多主体供给、多渠道保障、租购并举的住房制度为主线，统筹发展和安全，加快构建房地产发展新模式，优化住房供需结构，完善住房保障体系。建设安全舒适绿色智慧的“好房子”，实施房屋品质提升工程和物业服务质量提升行动，提升居住品质和社区环境，推动形成总量平稳、结构合理、品质提升、治理精细的住房发展新格局，为揭阳经济社会高质量发展提供坚实支撑。</w:t>
      </w:r>
    </w:p>
    <w:p w14:paraId="2C230526">
      <w:pPr>
        <w:spacing w:line="600" w:lineRule="exact"/>
        <w:ind w:firstLine="640" w:firstLineChars="200"/>
        <w:outlineLvl w:val="1"/>
        <w:rPr>
          <w:rFonts w:ascii="Times New Roman" w:hAnsi="Times New Roman" w:eastAsia="楷体_GB2312" w:cs="Times New Roman"/>
          <w:sz w:val="32"/>
          <w:szCs w:val="32"/>
        </w:rPr>
      </w:pPr>
      <w:bookmarkStart w:id="26" w:name="_Toc16923"/>
      <w:bookmarkStart w:id="27" w:name="_Toc15175"/>
      <w:bookmarkStart w:id="28" w:name="_Toc214553829"/>
      <w:bookmarkStart w:id="29" w:name="_Toc230790046"/>
      <w:bookmarkStart w:id="30" w:name="_Toc7381"/>
      <w:r>
        <w:rPr>
          <w:rFonts w:ascii="Times New Roman" w:hAnsi="Times New Roman" w:eastAsia="楷体_GB2312" w:cs="Times New Roman"/>
          <w:sz w:val="32"/>
          <w:szCs w:val="32"/>
        </w:rPr>
        <w:t>（二）基本原则</w:t>
      </w:r>
      <w:bookmarkEnd w:id="26"/>
      <w:bookmarkEnd w:id="27"/>
      <w:bookmarkEnd w:id="28"/>
      <w:bookmarkEnd w:id="29"/>
      <w:bookmarkEnd w:id="30"/>
    </w:p>
    <w:p w14:paraId="56893D9F">
      <w:pPr>
        <w:spacing w:line="600" w:lineRule="exact"/>
        <w:ind w:firstLine="643" w:firstLineChars="200"/>
        <w:outlineLvl w:val="2"/>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1.以需定供，加快存量去化。</w:t>
      </w:r>
    </w:p>
    <w:p w14:paraId="6A0DED27">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始终与以人为核心的新型城镇化相协调，主动适应当前房地产市场供求关系出现的新形势新变化，</w:t>
      </w:r>
      <w:r>
        <w:rPr>
          <w:rFonts w:hint="eastAsia" w:ascii="Times New Roman" w:hAnsi="Times New Roman" w:eastAsia="仿宋_GB2312" w:cs="Times New Roman"/>
          <w:sz w:val="32"/>
          <w:szCs w:val="32"/>
          <w:lang w:val="en-US" w:eastAsia="zh-CN"/>
        </w:rPr>
        <w:t>构建</w:t>
      </w:r>
      <w:r>
        <w:rPr>
          <w:rFonts w:hint="eastAsia" w:ascii="Times New Roman" w:hAnsi="Times New Roman" w:eastAsia="仿宋_GB2312" w:cs="Times New Roman"/>
          <w:sz w:val="32"/>
          <w:szCs w:val="32"/>
        </w:rPr>
        <w:t>“市场+保障”的差异化住房供应体系</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优先盘活存量用地和闲置房屋，扎实推进商品房去库存。</w:t>
      </w:r>
    </w:p>
    <w:p w14:paraId="334FDCB1">
      <w:pPr>
        <w:spacing w:line="600" w:lineRule="exact"/>
        <w:ind w:firstLine="643" w:firstLineChars="200"/>
        <w:outlineLvl w:val="2"/>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2.防范风险，有序转型发展。</w:t>
      </w:r>
    </w:p>
    <w:p w14:paraId="19D23EE1">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统筹房地产领域的安全与转型，加强房地产市场风险监测预警，稳妥处置房地产领域风险，加快构建房地产发展新模式，有序搭建房地产相关基础性制度。</w:t>
      </w:r>
    </w:p>
    <w:p w14:paraId="31C309A4">
      <w:pPr>
        <w:spacing w:line="600" w:lineRule="exact"/>
        <w:ind w:firstLine="643" w:firstLineChars="200"/>
        <w:outlineLvl w:val="2"/>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3.绿色发展，提升居住品质。</w:t>
      </w:r>
    </w:p>
    <w:p w14:paraId="2255B27F">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引导企业提高住房建设标准，推广应用绿色、低碳、智能技术，开展“好房子”项目试点。推进老旧小区改造和完整社区建设，补齐公共服务设施短板，建设安全健康、设施完善、管理有序的宜居社区。</w:t>
      </w:r>
    </w:p>
    <w:p w14:paraId="4CAD646A">
      <w:pPr>
        <w:spacing w:line="600" w:lineRule="exact"/>
        <w:ind w:firstLine="643" w:firstLineChars="200"/>
        <w:outlineLvl w:val="2"/>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4.职住平衡，促进城乡协调。</w:t>
      </w:r>
    </w:p>
    <w:p w14:paraId="32F20BC7">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引导住房供应区位与产业布局、公共服务设施协同发展，在产业园区、重大企业周边加大保障性租赁住房供应，提升住房保障对产业发展的支持程度，实现职住平衡。</w:t>
      </w:r>
    </w:p>
    <w:p w14:paraId="0ABA9FE5">
      <w:pPr>
        <w:spacing w:line="600" w:lineRule="exact"/>
        <w:ind w:firstLine="643" w:firstLineChars="200"/>
        <w:outlineLvl w:val="2"/>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5.特色发展，迸发县域活力。</w:t>
      </w:r>
    </w:p>
    <w:p w14:paraId="3494DC6C">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持续推进“百千万工程”，抢抓县域发展机遇，充分挖掘县域发展潜力，大力发展县域房地产。鼓励各县（市、区）依托生态、文化优势发展特色房地产项目，激发市内外住房消费潜力，实现特色化协同发展。</w:t>
      </w:r>
    </w:p>
    <w:p w14:paraId="4DD8F8F8">
      <w:pPr>
        <w:spacing w:line="600" w:lineRule="exact"/>
        <w:ind w:firstLine="640" w:firstLineChars="200"/>
        <w:outlineLvl w:val="1"/>
        <w:rPr>
          <w:rFonts w:ascii="Times New Roman" w:hAnsi="Times New Roman" w:eastAsia="楷体_GB2312" w:cs="Times New Roman"/>
          <w:sz w:val="32"/>
          <w:szCs w:val="32"/>
        </w:rPr>
      </w:pPr>
      <w:bookmarkStart w:id="31" w:name="_Toc214553830"/>
      <w:bookmarkStart w:id="32" w:name="_Toc14964"/>
      <w:bookmarkStart w:id="33" w:name="_Toc230790047"/>
      <w:bookmarkStart w:id="34" w:name="_Toc4642"/>
      <w:bookmarkStart w:id="35" w:name="_Toc14843"/>
      <w:r>
        <w:rPr>
          <w:rFonts w:ascii="Times New Roman" w:hAnsi="Times New Roman" w:eastAsia="楷体_GB2312" w:cs="Times New Roman"/>
          <w:sz w:val="32"/>
          <w:szCs w:val="32"/>
        </w:rPr>
        <w:t>（三）发展</w:t>
      </w:r>
      <w:bookmarkEnd w:id="31"/>
      <w:r>
        <w:rPr>
          <w:rFonts w:hint="eastAsia" w:ascii="Times New Roman" w:hAnsi="Times New Roman" w:eastAsia="楷体_GB2312" w:cs="Times New Roman"/>
          <w:sz w:val="32"/>
          <w:szCs w:val="32"/>
        </w:rPr>
        <w:t>目标</w:t>
      </w:r>
      <w:bookmarkEnd w:id="32"/>
      <w:bookmarkEnd w:id="33"/>
      <w:bookmarkEnd w:id="34"/>
      <w:bookmarkEnd w:id="35"/>
    </w:p>
    <w:p w14:paraId="17D424DA">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“十五五”时期，揭阳市将围绕</w:t>
      </w:r>
      <w:r>
        <w:rPr>
          <w:rFonts w:hint="eastAsia" w:ascii="Times New Roman" w:hAnsi="Times New Roman" w:eastAsia="仿宋_GB2312" w:cs="Times New Roman"/>
          <w:b/>
          <w:bCs/>
          <w:sz w:val="32"/>
          <w:szCs w:val="32"/>
        </w:rPr>
        <w:t>“山海宜居名城，魅力宜业都市”的总体愿景</w:t>
      </w:r>
      <w:r>
        <w:rPr>
          <w:rFonts w:hint="eastAsia" w:ascii="Times New Roman" w:hAnsi="Times New Roman" w:eastAsia="仿宋_GB2312" w:cs="Times New Roman"/>
          <w:sz w:val="32"/>
          <w:szCs w:val="32"/>
        </w:rPr>
        <w:t>，立足发展新阶段，以建设“包容、活力、绿美”的现代宜居城市为方向，全面构建体系完善、市场稳健、保障有力、品质卓越的住房发展新格局。锚定以下三大愿景：</w:t>
      </w:r>
    </w:p>
    <w:p w14:paraId="4096821B">
      <w:pPr>
        <w:spacing w:line="600" w:lineRule="exact"/>
        <w:ind w:firstLine="643" w:firstLineChars="200"/>
        <w:outlineLvl w:val="2"/>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1.市场与保障协同共进的包容揭阳。</w:t>
      </w:r>
    </w:p>
    <w:p w14:paraId="690A2783">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坚持商品住房市场与保障性住房体系双轨并行、功能互补。稳定商品住房供应规模与价格预期，促进市场良性循环；结合生态与文化资源禀赋，适度培育康养、旅居等特色地产，丰富住房市场层次；精准扩大保障性租赁住房供给，着力解决新市民、青年人的住房问题，形成供需匹配、层次清晰、风险可控的住房供应新格局。</w:t>
      </w:r>
    </w:p>
    <w:p w14:paraId="459AC766">
      <w:pPr>
        <w:spacing w:line="600" w:lineRule="exact"/>
        <w:ind w:firstLine="643" w:firstLineChars="200"/>
        <w:outlineLvl w:val="2"/>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2.存量与增量高效利用的活力揭阳。</w:t>
      </w:r>
    </w:p>
    <w:p w14:paraId="5DE062BA">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紧抓存量时代特征，将盘活利用存量房源和土地资源作为重要路径，优先通过收购、转化</w:t>
      </w:r>
      <w:r>
        <w:rPr>
          <w:rFonts w:hint="eastAsia" w:ascii="Times New Roman" w:hAnsi="Times New Roman" w:eastAsia="仿宋_GB2312" w:cs="Times New Roman"/>
          <w:sz w:val="32"/>
          <w:szCs w:val="32"/>
          <w:lang w:val="en-US" w:eastAsia="zh-CN"/>
        </w:rPr>
        <w:t>存量物业</w:t>
      </w:r>
      <w:r>
        <w:rPr>
          <w:rFonts w:hint="eastAsia" w:ascii="Times New Roman" w:hAnsi="Times New Roman" w:eastAsia="仿宋_GB2312" w:cs="Times New Roman"/>
          <w:sz w:val="32"/>
          <w:szCs w:val="32"/>
        </w:rPr>
        <w:t>筹集保障性住房，加快消化未动工和未竣工</w:t>
      </w:r>
      <w:r>
        <w:rPr>
          <w:rFonts w:hint="eastAsia" w:ascii="Times New Roman" w:hAnsi="Times New Roman" w:eastAsia="仿宋_GB2312" w:cs="Times New Roman"/>
          <w:sz w:val="32"/>
          <w:szCs w:val="32"/>
          <w:lang w:eastAsia="zh-CN"/>
        </w:rPr>
        <w:t>居住用地</w:t>
      </w:r>
      <w:r>
        <w:rPr>
          <w:rFonts w:hint="eastAsia" w:ascii="Times New Roman" w:hAnsi="Times New Roman" w:eastAsia="仿宋_GB2312" w:cs="Times New Roman"/>
          <w:sz w:val="32"/>
          <w:szCs w:val="32"/>
        </w:rPr>
        <w:t>，鼓励有条件的存量物业转型为旅居、康养等特色房地产项目，推动住房发展模式向“增存并举”与“提质增效”转变。</w:t>
      </w:r>
    </w:p>
    <w:p w14:paraId="04386F23">
      <w:pPr>
        <w:spacing w:line="600" w:lineRule="exact"/>
        <w:ind w:firstLine="643" w:firstLineChars="200"/>
        <w:outlineLvl w:val="2"/>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3.品质与效能全面提升的绿美揭阳。</w:t>
      </w:r>
    </w:p>
    <w:p w14:paraId="040C44F8">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以打造“好房子、好社区”为导向，全面提升住房全生命周期品质。推广绿色建筑与装配式建筑</w:t>
      </w:r>
      <w:r>
        <w:rPr>
          <w:rFonts w:hint="eastAsia" w:ascii="Times New Roman" w:hAnsi="Times New Roman" w:eastAsia="仿宋_GB2312" w:cs="Times New Roman"/>
          <w:sz w:val="32"/>
          <w:szCs w:val="32"/>
          <w:lang w:val="en-US" w:eastAsia="zh-CN"/>
        </w:rPr>
        <w:t>在新建住房中的应用</w:t>
      </w:r>
      <w:r>
        <w:rPr>
          <w:rFonts w:hint="eastAsia" w:ascii="Times New Roman" w:hAnsi="Times New Roman" w:eastAsia="仿宋_GB2312" w:cs="Times New Roman"/>
          <w:sz w:val="32"/>
          <w:szCs w:val="32"/>
        </w:rPr>
        <w:t>，大力推进老旧小区改造，完善公共服务配套，推动人居环境与城市功能双升级。</w:t>
      </w:r>
    </w:p>
    <w:p w14:paraId="4C78D02D">
      <w:pPr>
        <w:spacing w:line="600" w:lineRule="exact"/>
        <w:ind w:firstLine="640" w:firstLineChars="200"/>
        <w:outlineLvl w:val="0"/>
        <w:rPr>
          <w:rFonts w:ascii="Times New Roman" w:hAnsi="Times New Roman" w:eastAsia="黑体" w:cs="Times New Roman"/>
          <w:sz w:val="32"/>
          <w:szCs w:val="32"/>
        </w:rPr>
      </w:pPr>
      <w:bookmarkStart w:id="36" w:name="_Toc10559"/>
      <w:bookmarkStart w:id="37" w:name="_Toc4567"/>
      <w:bookmarkStart w:id="38" w:name="_Toc230790049"/>
      <w:bookmarkStart w:id="39" w:name="_Toc5920"/>
      <w:bookmarkStart w:id="40" w:name="_Toc214553833"/>
      <w:r>
        <w:rPr>
          <w:rFonts w:ascii="Times New Roman" w:hAnsi="Times New Roman" w:eastAsia="黑体" w:cs="Times New Roman"/>
          <w:sz w:val="32"/>
          <w:szCs w:val="32"/>
        </w:rPr>
        <w:t>三、重点任务</w:t>
      </w:r>
      <w:bookmarkEnd w:id="36"/>
      <w:bookmarkEnd w:id="37"/>
      <w:bookmarkEnd w:id="38"/>
      <w:bookmarkEnd w:id="39"/>
      <w:bookmarkEnd w:id="40"/>
    </w:p>
    <w:p w14:paraId="51D723EA">
      <w:pPr>
        <w:spacing w:line="600" w:lineRule="exact"/>
        <w:ind w:firstLine="640" w:firstLineChars="200"/>
        <w:outlineLvl w:val="1"/>
        <w:rPr>
          <w:rFonts w:ascii="Times New Roman" w:hAnsi="Times New Roman" w:eastAsia="楷体_GB2312" w:cs="Times New Roman"/>
          <w:sz w:val="32"/>
          <w:szCs w:val="32"/>
        </w:rPr>
      </w:pPr>
      <w:bookmarkStart w:id="41" w:name="_Toc214553834"/>
      <w:bookmarkStart w:id="42" w:name="_Toc32528"/>
      <w:bookmarkStart w:id="43" w:name="_Toc230790050"/>
      <w:bookmarkStart w:id="44" w:name="_Toc10189"/>
      <w:bookmarkStart w:id="45" w:name="_Toc29479"/>
      <w:r>
        <w:rPr>
          <w:rFonts w:ascii="Times New Roman" w:hAnsi="Times New Roman" w:eastAsia="楷体_GB2312" w:cs="Times New Roman"/>
          <w:sz w:val="32"/>
          <w:szCs w:val="32"/>
        </w:rPr>
        <w:t>（一）</w:t>
      </w:r>
      <w:r>
        <w:rPr>
          <w:rFonts w:hint="eastAsia" w:ascii="Times New Roman" w:hAnsi="Times New Roman" w:eastAsia="楷体_GB2312" w:cs="Times New Roman"/>
          <w:sz w:val="32"/>
          <w:szCs w:val="32"/>
        </w:rPr>
        <w:t>增存并举，</w:t>
      </w:r>
      <w:bookmarkEnd w:id="41"/>
      <w:r>
        <w:rPr>
          <w:rFonts w:hint="eastAsia" w:ascii="Times New Roman" w:hAnsi="Times New Roman" w:eastAsia="楷体_GB2312" w:cs="Times New Roman"/>
          <w:sz w:val="32"/>
          <w:szCs w:val="32"/>
        </w:rPr>
        <w:t>提振房地产投资积极性</w:t>
      </w:r>
      <w:bookmarkEnd w:id="42"/>
      <w:bookmarkEnd w:id="43"/>
      <w:bookmarkEnd w:id="44"/>
      <w:bookmarkEnd w:id="45"/>
    </w:p>
    <w:p w14:paraId="4589B27B">
      <w:pPr>
        <w:spacing w:line="600" w:lineRule="exact"/>
        <w:ind w:firstLine="643" w:firstLineChars="200"/>
        <w:outlineLvl w:val="2"/>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1.合理控制新增</w:t>
      </w:r>
      <w:r>
        <w:rPr>
          <w:rFonts w:hint="eastAsia" w:ascii="Times New Roman" w:hAnsi="Times New Roman" w:eastAsia="仿宋_GB2312" w:cs="Times New Roman"/>
          <w:b/>
          <w:bCs/>
          <w:sz w:val="32"/>
          <w:szCs w:val="32"/>
          <w:lang w:val="en-US" w:eastAsia="zh-CN"/>
        </w:rPr>
        <w:t>居住用地</w:t>
      </w:r>
      <w:r>
        <w:rPr>
          <w:rFonts w:hint="eastAsia" w:ascii="Times New Roman" w:hAnsi="Times New Roman" w:eastAsia="仿宋_GB2312" w:cs="Times New Roman"/>
          <w:b/>
          <w:bCs/>
          <w:sz w:val="32"/>
          <w:szCs w:val="32"/>
        </w:rPr>
        <w:t>供应。</w:t>
      </w:r>
    </w:p>
    <w:p w14:paraId="4E90F6CB">
      <w:pPr>
        <w:spacing w:line="600" w:lineRule="exact"/>
        <w:ind w:firstLine="640" w:firstLineChars="200"/>
        <w:rPr>
          <w:rFonts w:hint="eastAsia" w:ascii="Times New Roman" w:hAnsi="Times New Roman" w:eastAsia="仿宋_GB2312" w:cs="Times New Roman"/>
          <w:sz w:val="32"/>
          <w:szCs w:val="32"/>
        </w:rPr>
      </w:pPr>
      <w:r>
        <w:rPr>
          <w:rFonts w:ascii="Times New Roman" w:hAnsi="Times New Roman" w:eastAsia="仿宋_GB2312" w:cs="Times New Roman"/>
          <w:sz w:val="32"/>
          <w:szCs w:val="32"/>
        </w:rPr>
        <w:t>建立</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增存挂钩</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动态调节机制</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将新增</w:t>
      </w:r>
      <w:r>
        <w:rPr>
          <w:rFonts w:hint="eastAsia" w:ascii="Times New Roman" w:hAnsi="Times New Roman" w:eastAsia="仿宋_GB2312" w:cs="Times New Roman"/>
          <w:sz w:val="32"/>
          <w:szCs w:val="32"/>
          <w:lang w:eastAsia="zh-CN"/>
        </w:rPr>
        <w:t>居住用地</w:t>
      </w:r>
      <w:r>
        <w:rPr>
          <w:rFonts w:ascii="Times New Roman" w:hAnsi="Times New Roman" w:eastAsia="仿宋_GB2312" w:cs="Times New Roman"/>
          <w:sz w:val="32"/>
          <w:szCs w:val="32"/>
        </w:rPr>
        <w:t>供应规模与存量土地</w:t>
      </w:r>
      <w:r>
        <w:rPr>
          <w:rFonts w:hint="eastAsia" w:ascii="Times New Roman" w:hAnsi="Times New Roman" w:eastAsia="仿宋_GB2312" w:cs="Times New Roman"/>
          <w:sz w:val="32"/>
          <w:szCs w:val="32"/>
        </w:rPr>
        <w:t>去化</w:t>
      </w:r>
      <w:r>
        <w:rPr>
          <w:rFonts w:ascii="Times New Roman" w:hAnsi="Times New Roman" w:eastAsia="仿宋_GB2312" w:cs="Times New Roman"/>
          <w:sz w:val="32"/>
          <w:szCs w:val="32"/>
        </w:rPr>
        <w:t>、已供土地开发建设进度实施联动调控。</w:t>
      </w:r>
      <w:r>
        <w:rPr>
          <w:rFonts w:hint="eastAsia" w:ascii="Times New Roman" w:hAnsi="Times New Roman" w:eastAsia="仿宋_GB2312" w:cs="Times New Roman"/>
          <w:sz w:val="32"/>
          <w:szCs w:val="32"/>
        </w:rPr>
        <w:t>做好年度</w:t>
      </w:r>
      <w:r>
        <w:rPr>
          <w:rFonts w:hint="eastAsia" w:ascii="Times New Roman" w:hAnsi="Times New Roman" w:eastAsia="仿宋_GB2312" w:cs="Times New Roman"/>
          <w:sz w:val="32"/>
          <w:szCs w:val="32"/>
          <w:lang w:eastAsia="zh-CN"/>
        </w:rPr>
        <w:t>居住用地</w:t>
      </w:r>
      <w:r>
        <w:rPr>
          <w:rFonts w:hint="eastAsia" w:ascii="Times New Roman" w:hAnsi="Times New Roman" w:eastAsia="仿宋_GB2312" w:cs="Times New Roman"/>
          <w:sz w:val="32"/>
          <w:szCs w:val="32"/>
        </w:rPr>
        <w:t>供应计划与住房发展年度计划的衔接，自然资源主管部门要依据住房发展年度计划确定的住房建设需求，科学编制同年度</w:t>
      </w:r>
      <w:r>
        <w:rPr>
          <w:rFonts w:hint="eastAsia" w:ascii="Times New Roman" w:hAnsi="Times New Roman" w:eastAsia="仿宋_GB2312" w:cs="Times New Roman"/>
          <w:sz w:val="32"/>
          <w:szCs w:val="32"/>
          <w:lang w:eastAsia="zh-CN"/>
        </w:rPr>
        <w:t>居住用地</w:t>
      </w:r>
      <w:r>
        <w:rPr>
          <w:rFonts w:hint="eastAsia" w:ascii="Times New Roman" w:hAnsi="Times New Roman" w:eastAsia="仿宋_GB2312" w:cs="Times New Roman"/>
          <w:sz w:val="32"/>
          <w:szCs w:val="32"/>
        </w:rPr>
        <w:t>供应计划。</w:t>
      </w:r>
    </w:p>
    <w:p w14:paraId="2A58A8FB">
      <w:pPr>
        <w:spacing w:line="600" w:lineRule="exact"/>
        <w:ind w:firstLine="643" w:firstLineChars="200"/>
        <w:outlineLvl w:val="2"/>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2.因区制宜推行差异化供地策略。</w:t>
      </w:r>
    </w:p>
    <w:p w14:paraId="265779DB">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按照“一区一策”的原则，支持各县（市、区）根据自身的产业发展导向、房地产市场运行情况、库存变化等因素，合理确定房地产用地供应规模、结构与时序，对住房库存规模高企、存量土地消化周期较长的区域，适当放缓居住用地供应节奏。鼓励各县（市、区）结合地区优势打造差异化住房产品，在揭阳市内形成错位竞争格局。</w:t>
      </w:r>
    </w:p>
    <w:p w14:paraId="04EA83C7">
      <w:pPr>
        <w:spacing w:line="600" w:lineRule="exact"/>
        <w:ind w:firstLine="643" w:firstLineChars="200"/>
        <w:outlineLvl w:val="2"/>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3.综合施策消化存量商品房库存。</w:t>
      </w:r>
    </w:p>
    <w:p w14:paraId="33CE2C21">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全面掌握全市库存情况，动态监测已供未开工、已开工未批售、在建未售、竣工未售等各类</w:t>
      </w:r>
      <w:r>
        <w:rPr>
          <w:rFonts w:hint="eastAsia" w:ascii="Times New Roman" w:hAnsi="Times New Roman" w:eastAsia="仿宋_GB2312" w:cs="Times New Roman"/>
          <w:sz w:val="32"/>
          <w:szCs w:val="32"/>
          <w:lang w:eastAsia="zh-CN"/>
        </w:rPr>
        <w:t>商品住房</w:t>
      </w:r>
      <w:r>
        <w:rPr>
          <w:rFonts w:hint="eastAsia" w:ascii="Times New Roman" w:hAnsi="Times New Roman" w:eastAsia="仿宋_GB2312" w:cs="Times New Roman"/>
          <w:sz w:val="32"/>
          <w:szCs w:val="32"/>
        </w:rPr>
        <w:t>规模，形成项目台账，明确部分项目库存长期积压的原因。</w:t>
      </w:r>
      <w:r>
        <w:rPr>
          <w:rFonts w:hint="eastAsia" w:ascii="Times New Roman" w:hAnsi="Times New Roman" w:eastAsia="仿宋_GB2312" w:cs="Times New Roman"/>
          <w:b/>
          <w:bCs/>
          <w:sz w:val="32"/>
          <w:szCs w:val="32"/>
        </w:rPr>
        <w:t>对已供未开工土地</w:t>
      </w:r>
      <w:r>
        <w:rPr>
          <w:rFonts w:hint="eastAsia" w:ascii="Times New Roman" w:hAnsi="Times New Roman" w:eastAsia="仿宋_GB2312" w:cs="Times New Roman"/>
          <w:sz w:val="32"/>
          <w:szCs w:val="32"/>
        </w:rPr>
        <w:t>，在符合国土空间规划和用途管制要求的前提下，支持对闲置、低效用地进行分割转让、协议置换或合作开发。</w:t>
      </w:r>
      <w:r>
        <w:rPr>
          <w:rFonts w:hint="eastAsia" w:ascii="Times New Roman" w:hAnsi="Times New Roman" w:eastAsia="仿宋_GB2312" w:cs="Times New Roman"/>
          <w:b/>
          <w:bCs/>
          <w:sz w:val="32"/>
          <w:szCs w:val="32"/>
        </w:rPr>
        <w:t>对在建未售项目</w:t>
      </w:r>
      <w:r>
        <w:rPr>
          <w:rFonts w:hint="eastAsia" w:ascii="Times New Roman" w:hAnsi="Times New Roman" w:eastAsia="仿宋_GB2312" w:cs="Times New Roman"/>
          <w:sz w:val="32"/>
          <w:szCs w:val="32"/>
        </w:rPr>
        <w:t>，支持企业优化户型或调整用途。优化“房票”安置政策，拓宽“房票”适用范围，支持在城中村改造过程中收购存量</w:t>
      </w:r>
      <w:r>
        <w:rPr>
          <w:rFonts w:hint="eastAsia" w:ascii="Times New Roman" w:hAnsi="Times New Roman" w:eastAsia="仿宋_GB2312" w:cs="Times New Roman"/>
          <w:sz w:val="32"/>
          <w:szCs w:val="32"/>
          <w:lang w:eastAsia="zh-CN"/>
        </w:rPr>
        <w:t>商品住房</w:t>
      </w:r>
      <w:r>
        <w:rPr>
          <w:rFonts w:hint="eastAsia" w:ascii="Times New Roman" w:hAnsi="Times New Roman" w:eastAsia="仿宋_GB2312" w:cs="Times New Roman"/>
          <w:sz w:val="32"/>
          <w:szCs w:val="32"/>
        </w:rPr>
        <w:t>用作安置房。加大商办物业去库存力度，因地制宜推动存量商办物业合规转为医疗、教育、养老、酒店、康养、保障性住房等用途。稳步推进收购存量商品房用作保障性住房，积极申报地方政府专项债券等资金。</w:t>
      </w:r>
    </w:p>
    <w:p w14:paraId="077FC8BB">
      <w:pPr>
        <w:spacing w:line="600" w:lineRule="exact"/>
        <w:ind w:firstLine="643" w:firstLineChars="200"/>
        <w:outlineLvl w:val="2"/>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4.有序降低新出让居住用地开发强度。</w:t>
      </w:r>
    </w:p>
    <w:p w14:paraId="4C446023">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基于国土空间规划及控制性详细规划的规定，结合住房需求实际情况设定</w:t>
      </w:r>
      <w:r>
        <w:rPr>
          <w:rFonts w:hint="eastAsia" w:ascii="Times New Roman" w:hAnsi="Times New Roman" w:eastAsia="仿宋_GB2312" w:cs="Times New Roman"/>
          <w:sz w:val="32"/>
          <w:szCs w:val="32"/>
          <w:lang w:eastAsia="zh-CN"/>
        </w:rPr>
        <w:t>居住用地</w:t>
      </w:r>
      <w:r>
        <w:rPr>
          <w:rFonts w:hint="eastAsia" w:ascii="Times New Roman" w:hAnsi="Times New Roman" w:eastAsia="仿宋_GB2312" w:cs="Times New Roman"/>
          <w:sz w:val="32"/>
          <w:szCs w:val="32"/>
        </w:rPr>
        <w:t>容积率、建筑密度等指标，稳步推动全市</w:t>
      </w:r>
      <w:r>
        <w:rPr>
          <w:rFonts w:hint="eastAsia" w:ascii="Times New Roman" w:hAnsi="Times New Roman" w:eastAsia="仿宋_GB2312" w:cs="Times New Roman"/>
          <w:sz w:val="32"/>
          <w:szCs w:val="32"/>
          <w:lang w:eastAsia="zh-CN"/>
        </w:rPr>
        <w:t>居住用地</w:t>
      </w:r>
      <w:r>
        <w:rPr>
          <w:rFonts w:hint="eastAsia" w:ascii="Times New Roman" w:hAnsi="Times New Roman" w:eastAsia="仿宋_GB2312" w:cs="Times New Roman"/>
          <w:sz w:val="32"/>
          <w:szCs w:val="32"/>
        </w:rPr>
        <w:t>容积率下降，助力新建商品住房差异化供应梯度建立，提高住房供应品质。</w:t>
      </w:r>
    </w:p>
    <w:p w14:paraId="7628ED03">
      <w:pPr>
        <w:pStyle w:val="4"/>
        <w:spacing w:line="600" w:lineRule="exact"/>
        <w:ind w:firstLine="643"/>
        <w:rPr>
          <w:rFonts w:ascii="Times New Roman" w:hAnsi="Times New Roman" w:eastAsia="仿宋_GB2312" w:cs="Times New Roman"/>
          <w:b/>
          <w:bCs/>
          <w:color w:val="auto"/>
        </w:rPr>
      </w:pPr>
      <w:r>
        <w:rPr>
          <w:rFonts w:hint="eastAsia" w:ascii="Times New Roman" w:hAnsi="Times New Roman" w:eastAsia="仿宋_GB2312" w:cs="Times New Roman"/>
          <w:b/>
          <w:bCs/>
          <w:color w:val="auto"/>
        </w:rPr>
        <w:t>5.积极培育深耕本地的市场主体。</w:t>
      </w:r>
    </w:p>
    <w:p w14:paraId="1B19852D">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6"/>
        </w:rPr>
        <w:t>支持</w:t>
      </w:r>
      <w:r>
        <w:rPr>
          <w:rFonts w:hint="eastAsia" w:ascii="Times New Roman" w:hAnsi="Times New Roman" w:eastAsia="仿宋_GB2312" w:cs="Times New Roman"/>
          <w:sz w:val="32"/>
          <w:szCs w:val="36"/>
          <w:lang w:eastAsia="zh-CN"/>
        </w:rPr>
        <w:t>房企</w:t>
      </w:r>
      <w:r>
        <w:rPr>
          <w:rFonts w:hint="eastAsia" w:ascii="Times New Roman" w:hAnsi="Times New Roman" w:eastAsia="仿宋_GB2312" w:cs="Times New Roman"/>
          <w:sz w:val="32"/>
          <w:szCs w:val="36"/>
        </w:rPr>
        <w:t>长期深耕揭阳</w:t>
      </w:r>
      <w:r>
        <w:rPr>
          <w:rFonts w:ascii="Times New Roman" w:hAnsi="Times New Roman" w:eastAsia="仿宋_GB2312" w:cs="Times New Roman"/>
          <w:sz w:val="32"/>
          <w:szCs w:val="36"/>
        </w:rPr>
        <w:t>市，</w:t>
      </w:r>
      <w:r>
        <w:rPr>
          <w:rFonts w:hint="eastAsia" w:ascii="Times New Roman" w:hAnsi="Times New Roman" w:eastAsia="仿宋_GB2312" w:cs="Times New Roman"/>
          <w:sz w:val="32"/>
          <w:szCs w:val="32"/>
        </w:rPr>
        <w:t>在土地出让、规划审批、信贷融资等方面</w:t>
      </w:r>
      <w:r>
        <w:rPr>
          <w:rFonts w:ascii="Times New Roman" w:hAnsi="Times New Roman" w:eastAsia="仿宋_GB2312" w:cs="Times New Roman"/>
          <w:sz w:val="32"/>
          <w:szCs w:val="36"/>
        </w:rPr>
        <w:t>给予政策支持，</w:t>
      </w:r>
      <w:r>
        <w:rPr>
          <w:rFonts w:hint="eastAsia" w:ascii="Times New Roman" w:hAnsi="Times New Roman" w:eastAsia="仿宋_GB2312" w:cs="Times New Roman"/>
          <w:sz w:val="32"/>
          <w:szCs w:val="32"/>
        </w:rPr>
        <w:t>强化优质房企梯队建设，形成良性竞争的房企发展格局。推动企业由传统开发向物业服务等综合服务商转型，开展房地产全生命周期管理。</w:t>
      </w:r>
    </w:p>
    <w:p w14:paraId="3D16D734">
      <w:pPr>
        <w:spacing w:line="600" w:lineRule="exact"/>
        <w:ind w:firstLine="640" w:firstLineChars="200"/>
        <w:outlineLvl w:val="1"/>
        <w:rPr>
          <w:rFonts w:ascii="Times New Roman" w:hAnsi="Times New Roman" w:eastAsia="楷体_GB2312" w:cs="Times New Roman"/>
          <w:sz w:val="32"/>
          <w:szCs w:val="32"/>
        </w:rPr>
      </w:pPr>
      <w:bookmarkStart w:id="46" w:name="_Toc230790051"/>
      <w:bookmarkStart w:id="47" w:name="_Toc214553835"/>
      <w:bookmarkStart w:id="48" w:name="_Toc32609"/>
      <w:bookmarkStart w:id="49" w:name="_Toc254"/>
      <w:bookmarkStart w:id="50" w:name="_Toc27536"/>
      <w:r>
        <w:rPr>
          <w:rFonts w:hint="eastAsia" w:ascii="Times New Roman" w:hAnsi="Times New Roman" w:eastAsia="楷体_GB2312" w:cs="Times New Roman"/>
          <w:sz w:val="32"/>
          <w:szCs w:val="32"/>
        </w:rPr>
        <w:t>（二）激发需求，多措并举促进住房消费</w:t>
      </w:r>
      <w:bookmarkEnd w:id="46"/>
      <w:bookmarkEnd w:id="47"/>
      <w:bookmarkEnd w:id="48"/>
      <w:bookmarkEnd w:id="49"/>
      <w:bookmarkEnd w:id="50"/>
    </w:p>
    <w:p w14:paraId="304AC726">
      <w:pPr>
        <w:spacing w:line="600" w:lineRule="exact"/>
        <w:ind w:firstLine="643" w:firstLineChars="200"/>
        <w:outlineLvl w:val="2"/>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1.</w:t>
      </w:r>
      <w:r>
        <w:rPr>
          <w:rFonts w:hint="eastAsia" w:ascii="Times New Roman" w:hAnsi="Times New Roman" w:eastAsia="仿宋_GB2312" w:cs="Times New Roman"/>
          <w:b/>
          <w:bCs/>
          <w:sz w:val="32"/>
          <w:szCs w:val="32"/>
          <w:lang w:val="en-US" w:eastAsia="zh-CN"/>
        </w:rPr>
        <w:t>分类</w:t>
      </w:r>
      <w:r>
        <w:rPr>
          <w:rFonts w:hint="eastAsia" w:ascii="Times New Roman" w:hAnsi="Times New Roman" w:eastAsia="仿宋_GB2312" w:cs="Times New Roman"/>
          <w:b/>
          <w:bCs/>
          <w:sz w:val="32"/>
          <w:szCs w:val="32"/>
        </w:rPr>
        <w:t>满足居民多样化购房需求。</w:t>
      </w:r>
    </w:p>
    <w:p w14:paraId="3FC6CDCD">
      <w:pPr>
        <w:spacing w:line="60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bCs/>
          <w:sz w:val="32"/>
          <w:szCs w:val="32"/>
        </w:rPr>
        <w:t>对于新引进人才、新就业群体、产业工人、初婚初育家庭等刚性住房需求群体</w:t>
      </w:r>
      <w:r>
        <w:rPr>
          <w:rFonts w:hint="eastAsia" w:ascii="Times New Roman" w:hAnsi="Times New Roman" w:eastAsia="仿宋_GB2312" w:cs="Times New Roman"/>
          <w:sz w:val="32"/>
          <w:szCs w:val="32"/>
        </w:rPr>
        <w:t>，加大住房公积金支持力度，降低首套住房购房压力。</w:t>
      </w:r>
      <w:r>
        <w:rPr>
          <w:rFonts w:hint="eastAsia" w:ascii="Times New Roman" w:hAnsi="Times New Roman" w:eastAsia="仿宋_GB2312" w:cs="Times New Roman"/>
          <w:b/>
          <w:bCs/>
          <w:sz w:val="32"/>
          <w:szCs w:val="32"/>
        </w:rPr>
        <w:t>对于多子女家庭、赡养老人家庭等改善性住房需求群体</w:t>
      </w:r>
      <w:r>
        <w:rPr>
          <w:rFonts w:hint="eastAsia" w:ascii="Times New Roman" w:hAnsi="Times New Roman" w:eastAsia="仿宋_GB2312" w:cs="Times New Roman"/>
          <w:sz w:val="32"/>
          <w:szCs w:val="32"/>
        </w:rPr>
        <w:t>，落实相关税收制度，按子女数量、赡养老人数量上浮公积金贷款额度并降低首付；</w:t>
      </w:r>
      <w:r>
        <w:rPr>
          <w:rFonts w:hint="eastAsia" w:ascii="Times New Roman" w:hAnsi="Times New Roman" w:eastAsia="仿宋_GB2312" w:cs="Times New Roman"/>
          <w:b/>
          <w:bCs/>
          <w:sz w:val="32"/>
          <w:szCs w:val="32"/>
        </w:rPr>
        <w:t>对于农业转移人口</w:t>
      </w:r>
      <w:r>
        <w:rPr>
          <w:rFonts w:hint="eastAsia" w:ascii="Times New Roman" w:hAnsi="Times New Roman" w:eastAsia="仿宋_GB2312" w:cs="Times New Roman"/>
          <w:sz w:val="32"/>
          <w:szCs w:val="32"/>
        </w:rPr>
        <w:t>，依托县域特色产业开展职业技能培训，提升农业转移人口的就业能力和购房能力。落实保障性住房供给，满足过渡性住房需求，为后续农业转移人口安居置业夯实基础；完善农业转移人口教育、医疗等配套公共服务政策。</w:t>
      </w:r>
      <w:r>
        <w:rPr>
          <w:rFonts w:hint="eastAsia" w:ascii="Times New Roman" w:hAnsi="Times New Roman" w:eastAsia="仿宋_GB2312" w:cs="Times New Roman"/>
          <w:b/>
          <w:bCs/>
          <w:sz w:val="32"/>
          <w:szCs w:val="32"/>
        </w:rPr>
        <w:t>对于返乡置业、旅居康养等外地户籍购房群体</w:t>
      </w:r>
      <w:r>
        <w:rPr>
          <w:rFonts w:hint="eastAsia" w:ascii="Times New Roman" w:hAnsi="Times New Roman" w:eastAsia="仿宋_GB2312" w:cs="Times New Roman"/>
          <w:sz w:val="32"/>
          <w:szCs w:val="32"/>
        </w:rPr>
        <w:t>，推行异地购房提取及代际互助等政策，鼓励房企常态化开展外地居民团购优惠活动。</w:t>
      </w:r>
      <w:r>
        <w:rPr>
          <w:rFonts w:hint="eastAsia" w:ascii="Times New Roman" w:hAnsi="Times New Roman" w:eastAsia="仿宋_GB2312" w:cs="Times New Roman"/>
          <w:b/>
          <w:bCs/>
          <w:sz w:val="32"/>
          <w:szCs w:val="32"/>
        </w:rPr>
        <w:t>对于来自港澳等境外购房群体</w:t>
      </w:r>
      <w:r>
        <w:rPr>
          <w:rFonts w:hint="eastAsia"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完善</w:t>
      </w:r>
      <w:r>
        <w:rPr>
          <w:rFonts w:hint="eastAsia" w:ascii="Times New Roman" w:hAnsi="Times New Roman" w:eastAsia="仿宋_GB2312" w:cs="Times New Roman"/>
          <w:sz w:val="32"/>
          <w:szCs w:val="32"/>
        </w:rPr>
        <w:t>跨境人民币便利化政策，继续优化完善跨境人民币购房便利化业务办理程序。</w:t>
      </w:r>
    </w:p>
    <w:p w14:paraId="48D218E0">
      <w:pPr>
        <w:spacing w:line="600" w:lineRule="exact"/>
        <w:ind w:firstLine="643" w:firstLineChars="200"/>
        <w:outlineLvl w:val="2"/>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2.畅通“以旧换新”链条。</w:t>
      </w:r>
    </w:p>
    <w:p w14:paraId="3F111654">
      <w:pPr>
        <w:spacing w:line="600" w:lineRule="exact"/>
        <w:ind w:firstLine="640" w:firstLineChars="200"/>
        <w:rPr>
          <w:rFonts w:ascii="Times New Roman" w:hAnsi="Times New Roman" w:eastAsia="仿宋_GB2312" w:cs="Times New Roman"/>
          <w:b/>
          <w:bCs/>
          <w:sz w:val="32"/>
          <w:szCs w:val="32"/>
        </w:rPr>
      </w:pPr>
      <w:r>
        <w:rPr>
          <w:rFonts w:hint="eastAsia" w:ascii="Times New Roman" w:hAnsi="Times New Roman" w:eastAsia="仿宋_GB2312" w:cs="Times New Roman"/>
          <w:sz w:val="32"/>
          <w:szCs w:val="32"/>
        </w:rPr>
        <w:t>支持</w:t>
      </w:r>
      <w:r>
        <w:rPr>
          <w:rFonts w:hint="eastAsia" w:ascii="Times New Roman" w:hAnsi="Times New Roman" w:eastAsia="仿宋_GB2312" w:cs="Times New Roman"/>
          <w:sz w:val="32"/>
          <w:szCs w:val="32"/>
          <w:lang w:eastAsia="zh-CN"/>
        </w:rPr>
        <w:t>房企</w:t>
      </w:r>
      <w:r>
        <w:rPr>
          <w:rFonts w:hint="eastAsia" w:ascii="Times New Roman" w:hAnsi="Times New Roman" w:eastAsia="仿宋_GB2312" w:cs="Times New Roman"/>
          <w:sz w:val="32"/>
          <w:szCs w:val="32"/>
        </w:rPr>
        <w:t>、房地产经纪机构积极开展住房“以旧换新”业务，创新交易模式、优化服务流程。支持老年人、育儿家庭住房“以旧换新”。</w:t>
      </w:r>
    </w:p>
    <w:p w14:paraId="0D925CE6">
      <w:pPr>
        <w:spacing w:line="600" w:lineRule="exact"/>
        <w:ind w:firstLine="643" w:firstLineChars="200"/>
        <w:outlineLvl w:val="2"/>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3.积极培育县域房地产市场。</w:t>
      </w:r>
    </w:p>
    <w:p w14:paraId="4302A8DD">
      <w:pPr>
        <w:spacing w:line="600" w:lineRule="exact"/>
        <w:ind w:firstLine="640" w:firstLineChars="200"/>
        <w:rPr>
          <w:rFonts w:ascii="Times New Roman" w:hAnsi="Times New Roman" w:eastAsia="仿宋_GB2312" w:cs="Times New Roman"/>
          <w:b/>
          <w:bCs/>
          <w:sz w:val="32"/>
          <w:szCs w:val="32"/>
        </w:rPr>
      </w:pPr>
      <w:r>
        <w:rPr>
          <w:rFonts w:hint="eastAsia" w:ascii="Times New Roman" w:hAnsi="Times New Roman" w:eastAsia="仿宋_GB2312" w:cs="Times New Roman"/>
          <w:sz w:val="32"/>
          <w:szCs w:val="32"/>
        </w:rPr>
        <w:t>抢抓“百千万工程”和新型城镇化机遇，坚持政府引导、市场化运作的原则，在县城范围内选取典型镇作为试点，全面调查摸排居民的住房需求，为房地产投资、住房保障筹建提供决策参考。引导商品房项目在中心城镇集中成片开发，提升教育、医疗、养老、社区服务等覆盖水平与服务质量。</w:t>
      </w:r>
    </w:p>
    <w:p w14:paraId="581500CC">
      <w:pPr>
        <w:spacing w:line="600" w:lineRule="exact"/>
        <w:ind w:firstLine="643" w:firstLineChars="200"/>
        <w:outlineLvl w:val="2"/>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4.规范房地产经纪服务。</w:t>
      </w:r>
    </w:p>
    <w:p w14:paraId="38CC7C22">
      <w:pPr>
        <w:spacing w:line="600" w:lineRule="exact"/>
        <w:ind w:firstLine="640" w:firstLineChars="200"/>
        <w:rPr>
          <w:rFonts w:ascii="Times New Roman" w:hAnsi="Times New Roman" w:eastAsia="仿宋_GB2312" w:cs="Times New Roman"/>
          <w:b/>
          <w:bCs/>
          <w:sz w:val="32"/>
          <w:szCs w:val="32"/>
        </w:rPr>
      </w:pPr>
      <w:r>
        <w:rPr>
          <w:rFonts w:hint="eastAsia" w:ascii="Times New Roman" w:hAnsi="Times New Roman" w:eastAsia="仿宋_GB2312" w:cs="Times New Roman"/>
          <w:sz w:val="32"/>
          <w:szCs w:val="32"/>
        </w:rPr>
        <w:t>全面落实房地产经纪机构备案制度，加强经纪从业人员管理。推行经纪服务明码标价与分档定价，指导房地产经纪机构合理降低住房买卖经纪服务费用。强化行业信用管理，规范信息发布、房源核验、交易签约等关键环节。</w:t>
      </w:r>
    </w:p>
    <w:p w14:paraId="17C2FF04">
      <w:pPr>
        <w:spacing w:line="600" w:lineRule="exact"/>
        <w:ind w:firstLine="643" w:firstLineChars="200"/>
        <w:outlineLvl w:val="2"/>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5.加强正面宣传与预期引导。</w:t>
      </w:r>
    </w:p>
    <w:p w14:paraId="2EBE0E0D">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加强正面宣传和舆论引导，推动政府、媒体、企业及专家多方合作，定期发布房地产市场运行信息与政策解读，组织开展“好房子”项目推介活动，通过政策解读与市场分析传递积极信号。</w:t>
      </w:r>
    </w:p>
    <w:p w14:paraId="4C2DDB25">
      <w:pPr>
        <w:spacing w:line="600" w:lineRule="exact"/>
        <w:ind w:firstLine="640" w:firstLineChars="200"/>
        <w:outlineLvl w:val="1"/>
        <w:rPr>
          <w:rFonts w:ascii="Times New Roman" w:hAnsi="Times New Roman" w:eastAsia="楷体_GB2312" w:cs="Times New Roman"/>
          <w:sz w:val="32"/>
          <w:szCs w:val="32"/>
        </w:rPr>
      </w:pPr>
      <w:bookmarkStart w:id="51" w:name="_Toc214553836"/>
      <w:bookmarkStart w:id="52" w:name="_Toc24036"/>
      <w:bookmarkStart w:id="53" w:name="_Toc230790052"/>
      <w:bookmarkStart w:id="54" w:name="_Toc2333"/>
      <w:bookmarkStart w:id="55" w:name="_Toc22132"/>
      <w:r>
        <w:rPr>
          <w:rFonts w:ascii="Times New Roman" w:hAnsi="Times New Roman" w:eastAsia="楷体_GB2312" w:cs="Times New Roman"/>
          <w:sz w:val="32"/>
          <w:szCs w:val="32"/>
        </w:rPr>
        <w:t>（三）</w:t>
      </w:r>
      <w:r>
        <w:rPr>
          <w:rFonts w:hint="eastAsia" w:ascii="Times New Roman" w:hAnsi="Times New Roman" w:eastAsia="楷体_GB2312" w:cs="Times New Roman"/>
          <w:sz w:val="32"/>
          <w:szCs w:val="32"/>
        </w:rPr>
        <w:t>提升品质，增存并举改善人居环境</w:t>
      </w:r>
      <w:bookmarkEnd w:id="51"/>
      <w:bookmarkEnd w:id="52"/>
      <w:bookmarkEnd w:id="53"/>
      <w:bookmarkEnd w:id="54"/>
      <w:bookmarkEnd w:id="55"/>
    </w:p>
    <w:p w14:paraId="163CECCA">
      <w:pPr>
        <w:spacing w:line="600" w:lineRule="exact"/>
        <w:ind w:firstLine="643" w:firstLineChars="200"/>
        <w:outlineLvl w:val="2"/>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1.因地制宜补齐公共服务设施短板。</w:t>
      </w:r>
    </w:p>
    <w:p w14:paraId="3A54CCC3">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各相关部门切实履行市政基础设施建设主体责任，健全跨部门协同监管机制，推动教育、医疗、文体、养老等公共服务设施与住宅项目同步规划、同步建设、同步交付。对未按规划要求和约定时间完成配套设施建设的项目，不予通过竣工验收，并建立相应的惩戒和整改督办制度。重点在存量房地产项目周边补齐交通设施和教育、商业配套，及时向公众释放建设进展等利好消息，提高片区的吸引力和购房者的预期，加快库存去化。</w:t>
      </w:r>
    </w:p>
    <w:p w14:paraId="62402456">
      <w:pPr>
        <w:spacing w:line="600" w:lineRule="exact"/>
        <w:ind w:firstLine="643" w:firstLineChars="200"/>
        <w:outlineLvl w:val="2"/>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2.推进“好房子”建设试点。</w:t>
      </w:r>
    </w:p>
    <w:p w14:paraId="51BEECBB">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研究制定揭阳市高品质住宅建设技术标准，明确从规划设计到施工运维的全过程要求，重点推广装配式建筑、绿色建材和智能家居应用。采取“政府引导、企业主导”模式，在全市遴选基础好的项目，打造一批体现潮汕建筑特色的“好房子”</w:t>
      </w:r>
      <w:r>
        <w:rPr>
          <w:rFonts w:hint="eastAsia" w:ascii="Times New Roman" w:hAnsi="Times New Roman" w:eastAsia="仿宋_GB2312" w:cs="Times New Roman"/>
          <w:sz w:val="32"/>
          <w:szCs w:val="32"/>
          <w:lang w:val="en-US" w:eastAsia="zh-CN"/>
        </w:rPr>
        <w:t>示范项目</w:t>
      </w:r>
      <w:r>
        <w:rPr>
          <w:rFonts w:hint="eastAsia" w:ascii="Times New Roman" w:hAnsi="Times New Roman" w:eastAsia="仿宋_GB2312" w:cs="Times New Roman"/>
          <w:sz w:val="32"/>
          <w:szCs w:val="32"/>
        </w:rPr>
        <w:t>，形成可推广、可复制的“揭阳经验”。</w:t>
      </w:r>
    </w:p>
    <w:p w14:paraId="248C9495">
      <w:pPr>
        <w:spacing w:line="600" w:lineRule="exact"/>
        <w:ind w:firstLine="643" w:firstLineChars="200"/>
        <w:outlineLvl w:val="2"/>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3.加快推进老旧小区改造。</w:t>
      </w:r>
    </w:p>
    <w:p w14:paraId="402CD904">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积极争取中央和省级补助资金，鼓励居民通过直接出资，提取住房公积金等方式参与改造</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优先改造水、电、路、气等基础类设施，重点推进加装电梯、停车设施、适老化改造等完善类内容，鼓励有条件的小区引入</w:t>
      </w:r>
      <w:r>
        <w:rPr>
          <w:rFonts w:hint="eastAsia" w:ascii="Times New Roman" w:hAnsi="Times New Roman" w:eastAsia="仿宋_GB2312" w:cs="Times New Roman"/>
          <w:sz w:val="32"/>
          <w:szCs w:val="32"/>
          <w:lang w:val="en-US" w:eastAsia="zh-CN"/>
        </w:rPr>
        <w:t>智能化管理</w:t>
      </w:r>
      <w:r>
        <w:rPr>
          <w:rFonts w:hint="eastAsia" w:ascii="Times New Roman" w:hAnsi="Times New Roman" w:eastAsia="仿宋_GB2312" w:cs="Times New Roman"/>
          <w:sz w:val="32"/>
          <w:szCs w:val="32"/>
        </w:rPr>
        <w:t>等提升类服务。加强老旧小区改造的后续管理，引入物业管理或建立居民自治管理组织，确保改造</w:t>
      </w:r>
      <w:r>
        <w:rPr>
          <w:rFonts w:hint="eastAsia" w:ascii="Times New Roman" w:hAnsi="Times New Roman" w:eastAsia="仿宋_GB2312" w:cs="Times New Roman"/>
          <w:sz w:val="32"/>
          <w:szCs w:val="32"/>
          <w:lang w:val="en-US" w:eastAsia="zh-CN"/>
        </w:rPr>
        <w:t>成果</w:t>
      </w:r>
      <w:r>
        <w:rPr>
          <w:rFonts w:hint="eastAsia" w:ascii="Times New Roman" w:hAnsi="Times New Roman" w:eastAsia="仿宋_GB2312" w:cs="Times New Roman"/>
          <w:sz w:val="32"/>
          <w:szCs w:val="32"/>
        </w:rPr>
        <w:t>得到有效维护。</w:t>
      </w:r>
    </w:p>
    <w:p w14:paraId="138E53D6">
      <w:pPr>
        <w:spacing w:line="600" w:lineRule="exact"/>
        <w:ind w:firstLine="643" w:firstLineChars="200"/>
        <w:outlineLvl w:val="2"/>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4.有序推进</w:t>
      </w:r>
      <w:r>
        <w:rPr>
          <w:rFonts w:hint="eastAsia" w:ascii="Times New Roman" w:hAnsi="Times New Roman" w:eastAsia="仿宋_GB2312" w:cs="Times New Roman"/>
          <w:b/>
          <w:bCs/>
          <w:sz w:val="32"/>
          <w:szCs w:val="32"/>
          <w:lang w:val="en-US" w:eastAsia="zh-CN"/>
        </w:rPr>
        <w:t>城市更新</w:t>
      </w:r>
      <w:r>
        <w:rPr>
          <w:rFonts w:hint="eastAsia" w:ascii="Times New Roman" w:hAnsi="Times New Roman" w:eastAsia="仿宋_GB2312" w:cs="Times New Roman"/>
          <w:b/>
          <w:bCs/>
          <w:sz w:val="32"/>
          <w:szCs w:val="32"/>
        </w:rPr>
        <w:t>。</w:t>
      </w:r>
    </w:p>
    <w:p w14:paraId="5632E300">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坚持“分类施策、稳步推进”，在“一村一策”基础上，优先启动群众意愿强、资金可平衡、方案成熟度高的项目。在“活力古城”等区域内的更新，严格保护历史风貌，以“绣花功夫”式的改造方式进行整治提升与活化利用。探索多元化更新模式，对于城市更新难覆盖的区域，支持居民在符合规划前提下开展以安全除险、设施补短为核心的“自主更新”，强化政府技术指导与配套支持。</w:t>
      </w:r>
    </w:p>
    <w:p w14:paraId="793B61EB">
      <w:pPr>
        <w:spacing w:line="600" w:lineRule="exact"/>
        <w:ind w:firstLine="643" w:firstLineChars="200"/>
        <w:outlineLvl w:val="2"/>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5.提升物业服务水平与管理效能。</w:t>
      </w:r>
    </w:p>
    <w:p w14:paraId="76287C4A">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全面深化党建引领，强化社区党组织对业主委员会和物业服务企业的领导与监督，建立健全社区居委会、业委会、物业服务企业“三方联动”议事协调机制。健全市场监管体系，完善物业服务企业信用等级评价标准，将评价结果定期向社会公布</w:t>
      </w:r>
      <w:r>
        <w:rPr>
          <w:rFonts w:hint="eastAsia" w:ascii="Times New Roman" w:hAnsi="Times New Roman" w:eastAsia="仿宋_GB2312" w:cs="Times New Roman"/>
          <w:sz w:val="32"/>
          <w:szCs w:val="32"/>
          <w:lang w:val="en-US" w:eastAsia="zh-CN"/>
        </w:rPr>
        <w:t>并</w:t>
      </w:r>
      <w:r>
        <w:rPr>
          <w:rFonts w:hint="eastAsia" w:ascii="Times New Roman" w:hAnsi="Times New Roman" w:eastAsia="仿宋_GB2312" w:cs="Times New Roman"/>
          <w:sz w:val="32"/>
          <w:szCs w:val="32"/>
        </w:rPr>
        <w:t>与项目招投标、星级评定等挂钩。</w:t>
      </w:r>
    </w:p>
    <w:p w14:paraId="0A350FE8">
      <w:pPr>
        <w:spacing w:line="600" w:lineRule="exact"/>
        <w:ind w:firstLine="640" w:firstLineChars="200"/>
        <w:outlineLvl w:val="1"/>
        <w:rPr>
          <w:rFonts w:ascii="Times New Roman" w:hAnsi="Times New Roman" w:eastAsia="楷体_GB2312" w:cs="Times New Roman"/>
          <w:sz w:val="32"/>
          <w:szCs w:val="32"/>
        </w:rPr>
      </w:pPr>
      <w:bookmarkStart w:id="56" w:name="_Toc2021"/>
      <w:bookmarkStart w:id="57" w:name="_Toc230790053"/>
      <w:bookmarkStart w:id="58" w:name="_Toc18138"/>
      <w:bookmarkStart w:id="59" w:name="_Toc6755"/>
      <w:bookmarkStart w:id="60" w:name="_Toc214553837"/>
      <w:r>
        <w:rPr>
          <w:rFonts w:ascii="Times New Roman" w:hAnsi="Times New Roman" w:eastAsia="楷体_GB2312" w:cs="Times New Roman"/>
          <w:sz w:val="32"/>
          <w:szCs w:val="32"/>
        </w:rPr>
        <w:t>（四）</w:t>
      </w:r>
      <w:r>
        <w:rPr>
          <w:rFonts w:hint="eastAsia" w:ascii="Times New Roman" w:hAnsi="Times New Roman" w:eastAsia="楷体_GB2312" w:cs="Times New Roman"/>
          <w:sz w:val="32"/>
          <w:szCs w:val="32"/>
        </w:rPr>
        <w:t>强化保障，全力支撑产业强市建设</w:t>
      </w:r>
      <w:bookmarkEnd w:id="56"/>
      <w:bookmarkEnd w:id="57"/>
      <w:bookmarkEnd w:id="58"/>
      <w:bookmarkEnd w:id="59"/>
      <w:bookmarkEnd w:id="60"/>
    </w:p>
    <w:p w14:paraId="30AFF5D9">
      <w:pPr>
        <w:spacing w:line="600" w:lineRule="exact"/>
        <w:ind w:firstLine="643" w:firstLineChars="200"/>
        <w:outlineLvl w:val="2"/>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1.提升公共租赁住房运营效率。</w:t>
      </w:r>
    </w:p>
    <w:p w14:paraId="69775302">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进一步完善以租赁补贴为主，实物配租为辅的保障方式，扩大住房保障覆盖范围，对符合准入条件的城镇户籍住房、收入“双困”家庭实行应保尽保。加强部门协同合作，建立资格联审和动态核查机制，加大对</w:t>
      </w:r>
      <w:r>
        <w:rPr>
          <w:rFonts w:hint="eastAsia" w:ascii="Times New Roman" w:hAnsi="Times New Roman" w:eastAsia="仿宋_GB2312" w:cs="Times New Roman"/>
          <w:sz w:val="32"/>
          <w:szCs w:val="32"/>
          <w:lang w:val="en-US" w:eastAsia="zh-CN"/>
        </w:rPr>
        <w:t>公租房</w:t>
      </w:r>
      <w:r>
        <w:rPr>
          <w:rFonts w:hint="eastAsia" w:ascii="Times New Roman" w:hAnsi="Times New Roman" w:eastAsia="仿宋_GB2312" w:cs="Times New Roman"/>
          <w:sz w:val="32"/>
          <w:szCs w:val="32"/>
        </w:rPr>
        <w:t>转租转借等违规行为的查处，及时腾退房源，提升现有房源轮候使用效率。提升现有房源住房品质，对年久失修、设施老化的公租房进行改造</w:t>
      </w:r>
      <w:r>
        <w:rPr>
          <w:rFonts w:hint="eastAsia" w:ascii="Times New Roman" w:hAnsi="Times New Roman" w:eastAsia="仿宋_GB2312" w:cs="Times New Roman"/>
          <w:sz w:val="32"/>
          <w:szCs w:val="32"/>
          <w:lang w:val="en-US" w:eastAsia="zh-CN"/>
        </w:rPr>
        <w:t>和物业</w:t>
      </w:r>
      <w:r>
        <w:rPr>
          <w:rFonts w:hint="eastAsia" w:ascii="Times New Roman" w:hAnsi="Times New Roman" w:eastAsia="仿宋_GB2312" w:cs="Times New Roman"/>
          <w:sz w:val="32"/>
          <w:szCs w:val="32"/>
        </w:rPr>
        <w:t>维护。</w:t>
      </w:r>
    </w:p>
    <w:p w14:paraId="21B85104">
      <w:pPr>
        <w:spacing w:line="600" w:lineRule="exact"/>
        <w:ind w:firstLine="643" w:firstLineChars="200"/>
        <w:outlineLvl w:val="2"/>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2.加快发展保障性租赁住房。</w:t>
      </w:r>
    </w:p>
    <w:p w14:paraId="3708BF66">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研究制定保障性租赁住房管理办法，明确保障性租赁住房准入条件、租金标准和退出机制。加大保障性租赁住房筹集力度，鼓励通过收购存量商品房、既有房源转化等多种方式筹集，优先选取交通便利、配套设施较为齐全的存量商品房项目，确保所收购房源能快速配租或配售</w:t>
      </w:r>
      <w:r>
        <w:rPr>
          <w:rFonts w:hint="eastAsia"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rPr>
        <w:t>落实土地、财税、金融等优惠政策。</w:t>
      </w:r>
    </w:p>
    <w:p w14:paraId="65A387B1">
      <w:pPr>
        <w:spacing w:line="600" w:lineRule="exact"/>
        <w:ind w:firstLine="643" w:firstLineChars="200"/>
        <w:outlineLvl w:val="2"/>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3.积极探索配售型保障性住房。</w:t>
      </w:r>
    </w:p>
    <w:p w14:paraId="4D9970C2">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用好配售型保障性住房轮候库，依据住房需求以及各县（市、区）经济能力、房地产市场情况等，确定启动建设或收购转用配售型保障性住房项目的具体位置、时点、规模等。</w:t>
      </w:r>
    </w:p>
    <w:p w14:paraId="1287AC0E">
      <w:pPr>
        <w:spacing w:line="600" w:lineRule="exact"/>
        <w:ind w:firstLine="640" w:firstLineChars="200"/>
        <w:outlineLvl w:val="1"/>
        <w:rPr>
          <w:rFonts w:ascii="Times New Roman" w:hAnsi="Times New Roman" w:eastAsia="楷体_GB2312" w:cs="Times New Roman"/>
          <w:sz w:val="32"/>
          <w:szCs w:val="32"/>
        </w:rPr>
      </w:pPr>
      <w:bookmarkStart w:id="61" w:name="_Toc214553838"/>
      <w:bookmarkStart w:id="62" w:name="_Toc14759"/>
      <w:bookmarkStart w:id="63" w:name="_Toc6090"/>
      <w:bookmarkStart w:id="64" w:name="_Toc230790054"/>
      <w:bookmarkStart w:id="65" w:name="_Toc4545"/>
      <w:r>
        <w:rPr>
          <w:rFonts w:ascii="Times New Roman" w:hAnsi="Times New Roman" w:eastAsia="楷体_GB2312" w:cs="Times New Roman"/>
          <w:sz w:val="32"/>
          <w:szCs w:val="32"/>
        </w:rPr>
        <w:t>（</w:t>
      </w:r>
      <w:r>
        <w:rPr>
          <w:rFonts w:hint="eastAsia" w:ascii="Times New Roman" w:hAnsi="Times New Roman" w:eastAsia="楷体_GB2312" w:cs="Times New Roman"/>
          <w:sz w:val="32"/>
          <w:szCs w:val="32"/>
        </w:rPr>
        <w:t>五</w:t>
      </w:r>
      <w:r>
        <w:rPr>
          <w:rFonts w:ascii="Times New Roman" w:hAnsi="Times New Roman" w:eastAsia="楷体_GB2312" w:cs="Times New Roman"/>
          <w:sz w:val="32"/>
          <w:szCs w:val="32"/>
        </w:rPr>
        <w:t>）</w:t>
      </w:r>
      <w:r>
        <w:rPr>
          <w:rFonts w:hint="eastAsia" w:ascii="Times New Roman" w:hAnsi="Times New Roman" w:eastAsia="楷体_GB2312" w:cs="Times New Roman"/>
          <w:sz w:val="32"/>
          <w:szCs w:val="32"/>
        </w:rPr>
        <w:t>加强防控，推动市场风险平稳出清</w:t>
      </w:r>
      <w:bookmarkEnd w:id="61"/>
      <w:bookmarkEnd w:id="62"/>
      <w:bookmarkEnd w:id="63"/>
      <w:bookmarkEnd w:id="64"/>
      <w:bookmarkEnd w:id="65"/>
    </w:p>
    <w:p w14:paraId="79E045F0">
      <w:pPr>
        <w:spacing w:line="600" w:lineRule="exact"/>
        <w:ind w:firstLine="643" w:firstLineChars="200"/>
        <w:outlineLvl w:val="2"/>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1.防范化解房地产项目交付风险。</w:t>
      </w:r>
    </w:p>
    <w:p w14:paraId="2BE7F283">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坚持问题导向、分类处置，遵循市场化、法治化原则，防范化解房企债务风险，坚决防范可能损害群众利益、影响社会稳定的新增保交房风险。</w:t>
      </w:r>
    </w:p>
    <w:p w14:paraId="7C4F5BD6">
      <w:pPr>
        <w:spacing w:line="600" w:lineRule="exact"/>
        <w:ind w:firstLine="643" w:firstLineChars="200"/>
        <w:outlineLvl w:val="2"/>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2.优化商品房预售资金监管机制。</w:t>
      </w:r>
    </w:p>
    <w:p w14:paraId="0B830F31">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优化存量商品房项目的预售资金监管机制，精准核定监管额度，确保所有款项专项用于本项目工程建设。合理支持符合条件的房地产项目加快资金拨付进度，切实盘活企业资金，严格避免出现超额监管情况。逐步适应现房销售制度，做好商品住房预售现售衔接，改革优化预售资金监管。</w:t>
      </w:r>
    </w:p>
    <w:p w14:paraId="3DEA7463">
      <w:pPr>
        <w:spacing w:line="600" w:lineRule="exact"/>
        <w:ind w:firstLine="643" w:firstLineChars="200"/>
        <w:outlineLvl w:val="2"/>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3.精准满足房企合理融资需求。</w:t>
      </w:r>
    </w:p>
    <w:p w14:paraId="667FCC89">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发挥房地产融资协调机制作用，建立授信绿色通道，推动金融机构加快审批放款速度，支持项目合理融资需求，引导</w:t>
      </w:r>
      <w:r>
        <w:rPr>
          <w:rFonts w:hint="eastAsia" w:ascii="Times New Roman" w:hAnsi="Times New Roman" w:eastAsia="仿宋_GB2312" w:cs="Times New Roman"/>
          <w:sz w:val="32"/>
          <w:szCs w:val="32"/>
          <w:lang w:eastAsia="zh-CN"/>
        </w:rPr>
        <w:t>房企</w:t>
      </w:r>
      <w:r>
        <w:rPr>
          <w:rFonts w:hint="eastAsia" w:ascii="Times New Roman" w:hAnsi="Times New Roman" w:eastAsia="仿宋_GB2312" w:cs="Times New Roman"/>
          <w:sz w:val="32"/>
          <w:szCs w:val="32"/>
        </w:rPr>
        <w:t>逐步形成适度杠杆比例、合理负债水平和正常周转速度的发展机制。立足各县（市、区）实际情况，精准对接房企的实际需求与项目特质，在不违背上级的政策框架的前提下，合理把握项目纳入“白名单”管理的标准，综合评估企业的开发建设能力、信用状况、财务稳健性等多维度指标，加大对深耕揭阳市的房企的融资支持力度。</w:t>
      </w:r>
    </w:p>
    <w:p w14:paraId="4FD6840D">
      <w:pPr>
        <w:spacing w:line="600" w:lineRule="exact"/>
        <w:ind w:firstLine="640" w:firstLineChars="200"/>
        <w:outlineLvl w:val="1"/>
        <w:rPr>
          <w:rFonts w:ascii="Times New Roman" w:hAnsi="Times New Roman" w:eastAsia="楷体_GB2312" w:cs="Times New Roman"/>
          <w:sz w:val="32"/>
          <w:szCs w:val="32"/>
        </w:rPr>
      </w:pPr>
      <w:bookmarkStart w:id="66" w:name="_Toc230790055"/>
      <w:bookmarkStart w:id="67" w:name="_Toc28677"/>
      <w:bookmarkStart w:id="68" w:name="_Toc8499"/>
      <w:bookmarkStart w:id="69" w:name="_Toc4878"/>
      <w:bookmarkStart w:id="70" w:name="_Toc214553839"/>
      <w:r>
        <w:rPr>
          <w:rFonts w:hint="eastAsia" w:ascii="Times New Roman" w:hAnsi="Times New Roman" w:eastAsia="楷体_GB2312" w:cs="Times New Roman"/>
          <w:sz w:val="32"/>
          <w:szCs w:val="32"/>
        </w:rPr>
        <w:t>（六）推动转型，构建房地产发展新模式</w:t>
      </w:r>
      <w:bookmarkEnd w:id="66"/>
      <w:bookmarkEnd w:id="67"/>
      <w:bookmarkEnd w:id="68"/>
      <w:bookmarkEnd w:id="69"/>
      <w:bookmarkEnd w:id="70"/>
    </w:p>
    <w:p w14:paraId="7394D038">
      <w:pPr>
        <w:spacing w:line="600" w:lineRule="exact"/>
        <w:ind w:firstLine="643" w:firstLineChars="200"/>
        <w:outlineLvl w:val="2"/>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1.推动落实项目公司制度。</w:t>
      </w:r>
    </w:p>
    <w:p w14:paraId="2F04EAF5">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sz w:val="32"/>
          <w:szCs w:val="32"/>
        </w:rPr>
        <w:t>稳妥有序推进房地产开发项目公司制落地实施，明确投资人与项目开发公司的权利义务关系。</w:t>
      </w:r>
      <w:r>
        <w:rPr>
          <w:rFonts w:hint="eastAsia" w:ascii="Times New Roman" w:hAnsi="Times New Roman" w:eastAsia="仿宋_GB2312" w:cs="Times New Roman"/>
          <w:sz w:val="32"/>
          <w:szCs w:val="32"/>
        </w:rPr>
        <w:t>项目交付前，严禁投资人违规抽挪项目公司销售、融资等资金，严禁抽逃出资或提前分红。以项目公司为核心，优化房地产项目公司开发、建设、销售、退出全生命周期管理流程。严格准入和退出监管，优化</w:t>
      </w:r>
      <w:r>
        <w:rPr>
          <w:rFonts w:hint="eastAsia" w:ascii="Times New Roman" w:hAnsi="Times New Roman" w:eastAsia="仿宋_GB2312" w:cs="Times New Roman"/>
          <w:sz w:val="32"/>
          <w:szCs w:val="32"/>
          <w:lang w:eastAsia="zh-CN"/>
        </w:rPr>
        <w:t>房企</w:t>
      </w:r>
      <w:r>
        <w:rPr>
          <w:rFonts w:hint="eastAsia" w:ascii="Times New Roman" w:hAnsi="Times New Roman" w:eastAsia="仿宋_GB2312" w:cs="Times New Roman"/>
          <w:sz w:val="32"/>
          <w:szCs w:val="32"/>
        </w:rPr>
        <w:t>资质核准、延续和动态管理。</w:t>
      </w:r>
    </w:p>
    <w:p w14:paraId="6AB68128">
      <w:pPr>
        <w:spacing w:line="600" w:lineRule="exact"/>
        <w:ind w:firstLine="643" w:firstLineChars="200"/>
        <w:outlineLvl w:val="2"/>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2.实施主办银行制度。</w:t>
      </w:r>
    </w:p>
    <w:p w14:paraId="7685D8A9">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一个项目确定一家银行或银团为主办银行，项目开发、建设、销售等资金存入主办银行，主办银行满足项目公司合理融资需求，建立主办银行与项目公司利益共享、风险共担的机制。</w:t>
      </w:r>
      <w:r>
        <w:rPr>
          <w:rFonts w:hint="eastAsia" w:ascii="Times New Roman" w:hAnsi="Times New Roman" w:eastAsia="仿宋_GB2312"/>
          <w:sz w:val="32"/>
          <w:szCs w:val="32"/>
        </w:rPr>
        <w:t>完善房地产开发贷款制度，</w:t>
      </w:r>
      <w:r>
        <w:rPr>
          <w:rFonts w:hint="eastAsia" w:ascii="Times New Roman" w:hAnsi="Times New Roman" w:eastAsia="仿宋_GB2312" w:cs="Times New Roman"/>
          <w:sz w:val="32"/>
          <w:szCs w:val="32"/>
        </w:rPr>
        <w:t>构建支撑住房品质提升和企业转型发展的多层次融资体系，</w:t>
      </w:r>
      <w:r>
        <w:rPr>
          <w:rFonts w:hint="eastAsia" w:ascii="Times New Roman" w:hAnsi="Times New Roman" w:eastAsia="仿宋_GB2312"/>
          <w:sz w:val="32"/>
          <w:szCs w:val="32"/>
        </w:rPr>
        <w:t>实现开发贷款发放与项目建设周期相匹配，做好企业经营行为监管，防止借跨行业经营贷款用于房地产开发。</w:t>
      </w:r>
    </w:p>
    <w:p w14:paraId="07D5B246">
      <w:pPr>
        <w:spacing w:line="600" w:lineRule="exact"/>
        <w:ind w:firstLine="643" w:firstLineChars="200"/>
        <w:outlineLvl w:val="2"/>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3.稳步有序推进现房销售制度。</w:t>
      </w:r>
    </w:p>
    <w:p w14:paraId="2C24EA0B">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引导新出让</w:t>
      </w:r>
      <w:r>
        <w:rPr>
          <w:rFonts w:hint="eastAsia" w:ascii="Times New Roman" w:hAnsi="Times New Roman" w:eastAsia="仿宋_GB2312" w:cs="Times New Roman"/>
          <w:sz w:val="32"/>
          <w:szCs w:val="32"/>
          <w:lang w:eastAsia="zh-CN"/>
        </w:rPr>
        <w:t>居住用地</w:t>
      </w:r>
      <w:r>
        <w:rPr>
          <w:rFonts w:hint="eastAsia" w:ascii="Times New Roman" w:hAnsi="Times New Roman" w:eastAsia="仿宋_GB2312" w:cs="Times New Roman"/>
          <w:sz w:val="32"/>
          <w:szCs w:val="32"/>
        </w:rPr>
        <w:t>实施现房销售，积极稳妥谋划现售制试点项目，适时选取合适地块、合适开发主体开展试点。按照“新老有别”的原则，对继续实行预售的项目，规范预售资金监管，切实维护购房人合法权益。研究制定“预售转现售”的过渡政策，逐步提高商品房项目预售门槛，直至全面落实现房销售制度。</w:t>
      </w:r>
    </w:p>
    <w:p w14:paraId="1F336DD5">
      <w:pPr>
        <w:spacing w:line="600" w:lineRule="exact"/>
        <w:ind w:firstLine="640" w:firstLineChars="200"/>
        <w:outlineLvl w:val="0"/>
        <w:rPr>
          <w:rFonts w:ascii="Times New Roman" w:hAnsi="Times New Roman" w:eastAsia="黑体" w:cs="Times New Roman"/>
          <w:sz w:val="32"/>
          <w:szCs w:val="32"/>
        </w:rPr>
      </w:pPr>
      <w:bookmarkStart w:id="71" w:name="_Toc214553840"/>
      <w:bookmarkStart w:id="72" w:name="_Toc230790056"/>
      <w:bookmarkStart w:id="73" w:name="_Toc1588"/>
      <w:bookmarkStart w:id="74" w:name="_Toc6429"/>
      <w:bookmarkStart w:id="75" w:name="_Toc56"/>
      <w:r>
        <w:rPr>
          <w:rFonts w:ascii="Times New Roman" w:hAnsi="Times New Roman" w:eastAsia="黑体" w:cs="Times New Roman"/>
          <w:sz w:val="32"/>
          <w:szCs w:val="32"/>
        </w:rPr>
        <w:t>四、</w:t>
      </w:r>
      <w:r>
        <w:rPr>
          <w:rFonts w:hint="eastAsia" w:ascii="Times New Roman" w:hAnsi="Times New Roman" w:eastAsia="黑体" w:cs="Times New Roman"/>
          <w:sz w:val="32"/>
          <w:szCs w:val="32"/>
          <w:lang w:val="en-US" w:eastAsia="zh-CN"/>
        </w:rPr>
        <w:t>分县（市、区）</w:t>
      </w:r>
      <w:r>
        <w:rPr>
          <w:rFonts w:ascii="Times New Roman" w:hAnsi="Times New Roman" w:eastAsia="黑体" w:cs="Times New Roman"/>
          <w:sz w:val="32"/>
          <w:szCs w:val="32"/>
        </w:rPr>
        <w:t>指引</w:t>
      </w:r>
      <w:bookmarkEnd w:id="71"/>
      <w:bookmarkEnd w:id="72"/>
      <w:bookmarkEnd w:id="73"/>
      <w:bookmarkEnd w:id="74"/>
      <w:bookmarkEnd w:id="75"/>
    </w:p>
    <w:p w14:paraId="130942F2">
      <w:pPr>
        <w:spacing w:line="600" w:lineRule="exact"/>
        <w:ind w:firstLine="640" w:firstLineChars="200"/>
        <w:outlineLvl w:val="1"/>
        <w:rPr>
          <w:rFonts w:ascii="Times New Roman" w:hAnsi="Times New Roman" w:eastAsia="楷体_GB2312" w:cs="Times New Roman"/>
          <w:sz w:val="32"/>
          <w:szCs w:val="32"/>
        </w:rPr>
      </w:pPr>
      <w:bookmarkStart w:id="76" w:name="_Toc214553841"/>
      <w:bookmarkStart w:id="77" w:name="_Toc24989"/>
      <w:bookmarkStart w:id="78" w:name="_Toc24370"/>
      <w:bookmarkStart w:id="79" w:name="_Toc3214"/>
      <w:bookmarkStart w:id="80" w:name="_Toc230790057"/>
      <w:r>
        <w:rPr>
          <w:rFonts w:ascii="Times New Roman" w:hAnsi="Times New Roman" w:eastAsia="楷体_GB2312" w:cs="Times New Roman"/>
          <w:sz w:val="32"/>
          <w:szCs w:val="32"/>
        </w:rPr>
        <w:t>（一）</w:t>
      </w:r>
      <w:r>
        <w:rPr>
          <w:rFonts w:hint="eastAsia" w:ascii="Times New Roman" w:hAnsi="Times New Roman" w:eastAsia="楷体_GB2312" w:cs="Times New Roman"/>
          <w:sz w:val="32"/>
          <w:szCs w:val="32"/>
        </w:rPr>
        <w:t>榕城区：强协同、树标杆、</w:t>
      </w:r>
      <w:bookmarkEnd w:id="76"/>
      <w:r>
        <w:rPr>
          <w:rFonts w:hint="eastAsia" w:ascii="Times New Roman" w:hAnsi="Times New Roman" w:eastAsia="楷体_GB2312" w:cs="Times New Roman"/>
          <w:sz w:val="32"/>
          <w:szCs w:val="32"/>
        </w:rPr>
        <w:t>推改造</w:t>
      </w:r>
      <w:bookmarkEnd w:id="77"/>
      <w:bookmarkEnd w:id="78"/>
      <w:bookmarkEnd w:id="79"/>
      <w:bookmarkEnd w:id="80"/>
    </w:p>
    <w:p w14:paraId="655A0B17">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“十五五”期间，</w:t>
      </w:r>
      <w:r>
        <w:rPr>
          <w:rFonts w:hint="eastAsia" w:ascii="Times New Roman" w:hAnsi="Times New Roman" w:eastAsia="仿宋_GB2312" w:cs="Times New Roman"/>
          <w:b/>
          <w:bCs/>
          <w:sz w:val="32"/>
          <w:szCs w:val="32"/>
        </w:rPr>
        <w:t>榕城区力争供应新建商品住房12000套。</w:t>
      </w:r>
      <w:r>
        <w:rPr>
          <w:rFonts w:hint="eastAsia" w:ascii="Times New Roman" w:hAnsi="Times New Roman" w:eastAsia="仿宋_GB2312" w:cs="Times New Roman"/>
          <w:sz w:val="32"/>
          <w:szCs w:val="32"/>
        </w:rPr>
        <w:t>重点</w:t>
      </w:r>
      <w:r>
        <w:rPr>
          <w:rFonts w:hint="eastAsia" w:ascii="Times New Roman" w:hAnsi="Times New Roman" w:eastAsia="仿宋_GB2312" w:cs="Times New Roman"/>
          <w:sz w:val="32"/>
          <w:szCs w:val="32"/>
          <w:lang w:val="en-US" w:eastAsia="zh-CN"/>
        </w:rPr>
        <w:t>任务为</w:t>
      </w:r>
      <w:r>
        <w:rPr>
          <w:rFonts w:hint="eastAsia" w:ascii="Times New Roman" w:hAnsi="Times New Roman" w:eastAsia="仿宋_GB2312" w:cs="Times New Roman"/>
          <w:sz w:val="32"/>
          <w:szCs w:val="32"/>
        </w:rPr>
        <w:t>：</w:t>
      </w:r>
      <w:r>
        <w:rPr>
          <w:rFonts w:hint="eastAsia" w:ascii="Times New Roman" w:hAnsi="Times New Roman" w:eastAsia="仿宋_GB2312" w:cs="Times New Roman"/>
          <w:b/>
          <w:bCs/>
          <w:sz w:val="32"/>
          <w:szCs w:val="32"/>
        </w:rPr>
        <w:t>一是强化区域协同。</w:t>
      </w:r>
      <w:r>
        <w:rPr>
          <w:rFonts w:hint="eastAsia" w:ascii="Times New Roman" w:hAnsi="Times New Roman" w:eastAsia="仿宋_GB2312" w:cs="Times New Roman"/>
          <w:sz w:val="32"/>
          <w:szCs w:val="32"/>
        </w:rPr>
        <w:t>发挥汕潮揭都市圈桥头堡作用，综合考虑人口流动与职住平衡，研判</w:t>
      </w:r>
      <w:r>
        <w:rPr>
          <w:rFonts w:hint="eastAsia" w:ascii="Times New Roman" w:hAnsi="Times New Roman" w:eastAsia="仿宋_GB2312" w:cs="Times New Roman"/>
          <w:sz w:val="32"/>
          <w:szCs w:val="32"/>
          <w:lang w:val="en-US" w:eastAsia="zh-CN"/>
        </w:rPr>
        <w:t>各</w:t>
      </w:r>
      <w:r>
        <w:rPr>
          <w:rFonts w:hint="eastAsia" w:ascii="Times New Roman" w:hAnsi="Times New Roman" w:eastAsia="仿宋_GB2312" w:cs="Times New Roman"/>
          <w:sz w:val="32"/>
          <w:szCs w:val="32"/>
        </w:rPr>
        <w:t>片区住房需求的类型与规模</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合理规划居住空间布局。</w:t>
      </w:r>
      <w:r>
        <w:rPr>
          <w:rFonts w:hint="eastAsia" w:ascii="Times New Roman" w:hAnsi="Times New Roman" w:eastAsia="仿宋_GB2312" w:cs="Times New Roman"/>
          <w:b/>
          <w:bCs/>
          <w:sz w:val="32"/>
          <w:szCs w:val="32"/>
        </w:rPr>
        <w:t>二是树立高品质居住理念</w:t>
      </w:r>
      <w:r>
        <w:rPr>
          <w:rFonts w:hint="eastAsia" w:ascii="Times New Roman" w:hAnsi="Times New Roman" w:eastAsia="仿宋_GB2312" w:cs="Times New Roman"/>
          <w:sz w:val="32"/>
          <w:szCs w:val="32"/>
        </w:rPr>
        <w:t>。强化</w:t>
      </w:r>
      <w:r>
        <w:rPr>
          <w:rFonts w:hint="eastAsia" w:ascii="Times New Roman" w:hAnsi="Times New Roman" w:eastAsia="仿宋_GB2312" w:cs="Times New Roman"/>
          <w:sz w:val="32"/>
          <w:szCs w:val="32"/>
          <w:lang w:val="en-US" w:eastAsia="zh-CN"/>
        </w:rPr>
        <w:t>优质房企</w:t>
      </w:r>
      <w:r>
        <w:rPr>
          <w:rFonts w:hint="eastAsia" w:ascii="Times New Roman" w:hAnsi="Times New Roman" w:eastAsia="仿宋_GB2312" w:cs="Times New Roman"/>
          <w:sz w:val="32"/>
          <w:szCs w:val="32"/>
        </w:rPr>
        <w:t>引领作用，严控</w:t>
      </w:r>
      <w:r>
        <w:rPr>
          <w:rFonts w:hint="eastAsia" w:ascii="Times New Roman" w:hAnsi="Times New Roman" w:eastAsia="仿宋_GB2312" w:cs="Times New Roman"/>
          <w:sz w:val="32"/>
          <w:szCs w:val="32"/>
          <w:lang w:val="en-US" w:eastAsia="zh-CN"/>
        </w:rPr>
        <w:t>住房</w:t>
      </w:r>
      <w:r>
        <w:rPr>
          <w:rFonts w:hint="eastAsia" w:ascii="Times New Roman" w:hAnsi="Times New Roman" w:eastAsia="仿宋_GB2312" w:cs="Times New Roman"/>
          <w:sz w:val="32"/>
          <w:szCs w:val="32"/>
        </w:rPr>
        <w:t>开发密度，适度增加高品质改善型住宅供给，加快推动一批“好房子”标杆项目建设和入市。</w:t>
      </w:r>
      <w:r>
        <w:rPr>
          <w:rFonts w:hint="eastAsia" w:ascii="Times New Roman" w:hAnsi="Times New Roman" w:eastAsia="仿宋_GB2312" w:cs="Times New Roman"/>
          <w:b/>
          <w:bCs/>
          <w:sz w:val="32"/>
          <w:szCs w:val="32"/>
        </w:rPr>
        <w:t>三是综合提升存量住房居住品质</w:t>
      </w:r>
      <w:r>
        <w:rPr>
          <w:rFonts w:hint="eastAsia" w:ascii="Times New Roman" w:hAnsi="Times New Roman" w:eastAsia="仿宋_GB2312" w:cs="Times New Roman"/>
          <w:sz w:val="32"/>
          <w:szCs w:val="32"/>
        </w:rPr>
        <w:t>。优化存量住房品质，推进老旧小区改造，提升物业服务水平。</w:t>
      </w:r>
    </w:p>
    <w:p w14:paraId="4A684EA4">
      <w:pPr>
        <w:spacing w:line="600" w:lineRule="exact"/>
        <w:ind w:firstLine="640" w:firstLineChars="200"/>
        <w:outlineLvl w:val="1"/>
        <w:rPr>
          <w:rFonts w:ascii="Times New Roman" w:hAnsi="Times New Roman" w:eastAsia="楷体_GB2312" w:cs="Times New Roman"/>
          <w:sz w:val="32"/>
          <w:szCs w:val="32"/>
        </w:rPr>
      </w:pPr>
      <w:bookmarkStart w:id="81" w:name="_Toc230790058"/>
      <w:bookmarkStart w:id="82" w:name="_Toc214553842"/>
      <w:bookmarkStart w:id="83" w:name="_Toc5897"/>
      <w:bookmarkStart w:id="84" w:name="_Toc19280"/>
      <w:bookmarkStart w:id="85" w:name="_Toc12672"/>
      <w:r>
        <w:rPr>
          <w:rFonts w:ascii="Times New Roman" w:hAnsi="Times New Roman" w:eastAsia="楷体_GB2312" w:cs="Times New Roman"/>
          <w:sz w:val="32"/>
          <w:szCs w:val="32"/>
        </w:rPr>
        <w:t>（二）</w:t>
      </w:r>
      <w:r>
        <w:rPr>
          <w:rFonts w:hint="eastAsia" w:ascii="Times New Roman" w:hAnsi="Times New Roman" w:eastAsia="楷体_GB2312" w:cs="Times New Roman"/>
          <w:sz w:val="32"/>
          <w:szCs w:val="32"/>
        </w:rPr>
        <w:t>揭东区：优供给、强租赁、促平衡</w:t>
      </w:r>
      <w:bookmarkEnd w:id="81"/>
      <w:bookmarkEnd w:id="82"/>
      <w:bookmarkEnd w:id="83"/>
      <w:bookmarkEnd w:id="84"/>
      <w:bookmarkEnd w:id="85"/>
    </w:p>
    <w:p w14:paraId="1E9DC8E4">
      <w:pPr>
        <w:spacing w:line="600" w:lineRule="exact"/>
        <w:ind w:firstLine="640"/>
        <w:rPr>
          <w:rFonts w:ascii="Times New Roman" w:hAnsi="Times New Roman" w:eastAsia="仿宋_GB2312"/>
          <w:sz w:val="32"/>
          <w:szCs w:val="32"/>
        </w:rPr>
      </w:pPr>
      <w:r>
        <w:rPr>
          <w:rFonts w:hint="eastAsia" w:ascii="Times New Roman" w:hAnsi="Times New Roman" w:eastAsia="仿宋_GB2312" w:cs="Times New Roman"/>
          <w:sz w:val="32"/>
          <w:szCs w:val="32"/>
        </w:rPr>
        <w:t>“十五五”期间，</w:t>
      </w:r>
      <w:r>
        <w:rPr>
          <w:rFonts w:hint="eastAsia" w:ascii="Times New Roman" w:hAnsi="Times New Roman" w:eastAsia="仿宋_GB2312" w:cs="Times New Roman"/>
          <w:b/>
          <w:bCs/>
          <w:sz w:val="32"/>
          <w:szCs w:val="32"/>
        </w:rPr>
        <w:t>揭东区力争供应各类住房6030套（户），其中，新增供应新建商品住房6000套，</w:t>
      </w:r>
      <w:r>
        <w:rPr>
          <w:rFonts w:hint="eastAsia" w:ascii="Times New Roman" w:hAnsi="Times New Roman" w:eastAsia="仿宋_GB2312" w:cs="Times New Roman"/>
          <w:b/>
          <w:bCs/>
          <w:color w:val="212121"/>
          <w:sz w:val="32"/>
          <w:szCs w:val="32"/>
        </w:rPr>
        <w:t>新增发放租赁补贴</w:t>
      </w:r>
      <w:r>
        <w:rPr>
          <w:rFonts w:ascii="Times New Roman" w:hAnsi="Times New Roman" w:eastAsia="仿宋_GB2312" w:cs="Times New Roman"/>
          <w:b/>
          <w:bCs/>
          <w:color w:val="212121"/>
          <w:sz w:val="32"/>
          <w:szCs w:val="32"/>
        </w:rPr>
        <w:t>30</w:t>
      </w:r>
      <w:r>
        <w:rPr>
          <w:rFonts w:hint="eastAsia" w:ascii="Times New Roman" w:hAnsi="Times New Roman" w:eastAsia="仿宋_GB2312" w:cs="Times New Roman"/>
          <w:b/>
          <w:bCs/>
          <w:color w:val="212121"/>
          <w:sz w:val="32"/>
          <w:szCs w:val="32"/>
        </w:rPr>
        <w:t>户。</w:t>
      </w:r>
      <w:r>
        <w:rPr>
          <w:rFonts w:hint="eastAsia" w:ascii="Times New Roman" w:hAnsi="Times New Roman" w:eastAsia="仿宋_GB2312" w:cs="Times New Roman"/>
          <w:sz w:val="32"/>
          <w:szCs w:val="32"/>
        </w:rPr>
        <w:t>重点</w:t>
      </w:r>
      <w:r>
        <w:rPr>
          <w:rFonts w:hint="eastAsia" w:ascii="Times New Roman" w:hAnsi="Times New Roman" w:eastAsia="仿宋_GB2312" w:cs="Times New Roman"/>
          <w:sz w:val="32"/>
          <w:szCs w:val="32"/>
          <w:lang w:val="en-US" w:eastAsia="zh-CN"/>
        </w:rPr>
        <w:t>任务为</w:t>
      </w:r>
      <w:r>
        <w:rPr>
          <w:rFonts w:hint="eastAsia" w:ascii="Times New Roman" w:hAnsi="Times New Roman" w:eastAsia="仿宋_GB2312" w:cs="Times New Roman"/>
          <w:sz w:val="32"/>
          <w:szCs w:val="32"/>
        </w:rPr>
        <w:t>：</w:t>
      </w:r>
      <w:r>
        <w:rPr>
          <w:rFonts w:hint="eastAsia" w:ascii="Times New Roman" w:hAnsi="Times New Roman" w:eastAsia="仿宋_GB2312" w:cs="Times New Roman"/>
          <w:b/>
          <w:bCs/>
          <w:sz w:val="32"/>
          <w:szCs w:val="32"/>
        </w:rPr>
        <w:t>一是优化住房供应。</w:t>
      </w:r>
      <w:r>
        <w:rPr>
          <w:rFonts w:hint="eastAsia" w:ascii="Times New Roman" w:hAnsi="Times New Roman" w:eastAsia="仿宋_GB2312" w:cs="Times New Roman"/>
          <w:sz w:val="32"/>
          <w:szCs w:val="32"/>
        </w:rPr>
        <w:t>根据产业、人口结构特征，动态调整商品住房和保障性住房供应比例，</w:t>
      </w:r>
      <w:r>
        <w:rPr>
          <w:rFonts w:hint="eastAsia" w:ascii="Times New Roman" w:hAnsi="Times New Roman" w:eastAsia="仿宋_GB2312"/>
          <w:sz w:val="32"/>
          <w:szCs w:val="32"/>
        </w:rPr>
        <w:t>加大保障性租赁住房筹集，满足新市民、</w:t>
      </w:r>
      <w:r>
        <w:rPr>
          <w:rFonts w:hint="eastAsia" w:ascii="Times New Roman" w:hAnsi="Times New Roman" w:eastAsia="仿宋_GB2312" w:cs="Times New Roman"/>
          <w:sz w:val="32"/>
          <w:szCs w:val="32"/>
        </w:rPr>
        <w:t>产业人口居住需求。</w:t>
      </w:r>
      <w:r>
        <w:rPr>
          <w:rFonts w:hint="eastAsia" w:ascii="Times New Roman" w:hAnsi="Times New Roman" w:eastAsia="仿宋_GB2312" w:cs="Times New Roman"/>
          <w:b/>
          <w:bCs/>
          <w:sz w:val="32"/>
          <w:szCs w:val="32"/>
        </w:rPr>
        <w:t>二是加快培育住房租赁市场。</w:t>
      </w:r>
      <w:r>
        <w:rPr>
          <w:rFonts w:hint="eastAsia" w:ascii="Times New Roman" w:hAnsi="Times New Roman" w:eastAsia="仿宋_GB2312" w:cs="Times New Roman"/>
          <w:sz w:val="32"/>
          <w:szCs w:val="32"/>
        </w:rPr>
        <w:t>满足产业从业人员阶段性、梯度化租赁需求，为后续在揭阳市置业储备后备力量。</w:t>
      </w:r>
      <w:r>
        <w:rPr>
          <w:rFonts w:hint="eastAsia" w:ascii="Times New Roman" w:hAnsi="Times New Roman" w:eastAsia="仿宋_GB2312" w:cs="Times New Roman"/>
          <w:b/>
          <w:bCs/>
          <w:sz w:val="32"/>
          <w:szCs w:val="32"/>
        </w:rPr>
        <w:t>三是</w:t>
      </w:r>
      <w:r>
        <w:rPr>
          <w:rFonts w:hint="eastAsia" w:ascii="Times New Roman" w:hAnsi="Times New Roman" w:eastAsia="仿宋_GB2312"/>
          <w:b/>
          <w:bCs/>
          <w:sz w:val="32"/>
          <w:szCs w:val="32"/>
        </w:rPr>
        <w:t>优化产城融合布局。</w:t>
      </w:r>
      <w:r>
        <w:rPr>
          <w:rFonts w:hint="eastAsia" w:ascii="Times New Roman" w:hAnsi="Times New Roman" w:eastAsia="仿宋_GB2312"/>
          <w:sz w:val="32"/>
          <w:szCs w:val="32"/>
        </w:rPr>
        <w:t>补齐教育、医疗等配套短板，提升刚需住房宜居性，引导住房与产业、交通协同发展。</w:t>
      </w:r>
    </w:p>
    <w:p w14:paraId="2630881B">
      <w:pPr>
        <w:spacing w:line="600" w:lineRule="exact"/>
        <w:ind w:firstLine="640" w:firstLineChars="200"/>
        <w:outlineLvl w:val="1"/>
        <w:rPr>
          <w:rFonts w:ascii="Times New Roman" w:hAnsi="Times New Roman" w:eastAsia="楷体_GB2312" w:cs="Times New Roman"/>
          <w:sz w:val="32"/>
          <w:szCs w:val="32"/>
        </w:rPr>
      </w:pPr>
      <w:bookmarkStart w:id="86" w:name="_Toc22357"/>
      <w:bookmarkStart w:id="87" w:name="_Toc230790059"/>
      <w:bookmarkStart w:id="88" w:name="_Toc214553843"/>
      <w:bookmarkStart w:id="89" w:name="_Toc1545"/>
      <w:bookmarkStart w:id="90" w:name="_Toc9903"/>
      <w:r>
        <w:rPr>
          <w:rFonts w:ascii="Times New Roman" w:hAnsi="Times New Roman" w:eastAsia="楷体_GB2312" w:cs="Times New Roman"/>
          <w:sz w:val="32"/>
          <w:szCs w:val="32"/>
        </w:rPr>
        <w:t>（三）</w:t>
      </w:r>
      <w:r>
        <w:rPr>
          <w:rFonts w:hint="eastAsia" w:ascii="Times New Roman" w:hAnsi="Times New Roman" w:eastAsia="楷体_GB2312" w:cs="Times New Roman"/>
          <w:sz w:val="32"/>
          <w:szCs w:val="32"/>
        </w:rPr>
        <w:t>普宁市：筑底盘、扩保障、重配套</w:t>
      </w:r>
      <w:bookmarkEnd w:id="86"/>
      <w:bookmarkEnd w:id="87"/>
      <w:bookmarkEnd w:id="88"/>
      <w:bookmarkEnd w:id="89"/>
      <w:bookmarkEnd w:id="90"/>
    </w:p>
    <w:p w14:paraId="2EE22CE8">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“十五五”期间，</w:t>
      </w:r>
      <w:r>
        <w:rPr>
          <w:rFonts w:hint="eastAsia" w:ascii="Times New Roman" w:hAnsi="Times New Roman" w:eastAsia="仿宋_GB2312" w:cs="Times New Roman"/>
          <w:b/>
          <w:bCs/>
          <w:sz w:val="32"/>
          <w:szCs w:val="32"/>
        </w:rPr>
        <w:t>普宁市力争供应各类住房</w:t>
      </w:r>
      <w:r>
        <w:rPr>
          <w:rFonts w:hint="eastAsia" w:ascii="Times New Roman" w:hAnsi="Times New Roman" w:eastAsia="仿宋_GB2312" w:cs="Times New Roman"/>
          <w:b/>
          <w:bCs/>
          <w:sz w:val="32"/>
          <w:szCs w:val="32"/>
          <w:lang w:val="en-US" w:eastAsia="zh-CN"/>
        </w:rPr>
        <w:t>21746</w:t>
      </w:r>
      <w:r>
        <w:rPr>
          <w:rFonts w:hint="eastAsia" w:ascii="Times New Roman" w:hAnsi="Times New Roman" w:eastAsia="仿宋_GB2312" w:cs="Times New Roman"/>
          <w:b/>
          <w:bCs/>
          <w:sz w:val="32"/>
          <w:szCs w:val="32"/>
        </w:rPr>
        <w:t>套（间、户），其中，新增供应新建商品住房21000套，</w:t>
      </w:r>
      <w:r>
        <w:rPr>
          <w:rFonts w:hint="eastAsia" w:ascii="Times New Roman" w:hAnsi="Times New Roman" w:eastAsia="仿宋_GB2312" w:cs="Times New Roman"/>
          <w:b/>
          <w:bCs/>
          <w:sz w:val="32"/>
          <w:szCs w:val="32"/>
          <w:lang w:val="en-US" w:eastAsia="zh-CN"/>
        </w:rPr>
        <w:t>新增筹集公共租赁住房100套，</w:t>
      </w:r>
      <w:r>
        <w:rPr>
          <w:rFonts w:hint="eastAsia" w:ascii="Times New Roman" w:hAnsi="Times New Roman" w:eastAsia="仿宋_GB2312" w:cs="Times New Roman"/>
          <w:b/>
          <w:bCs/>
          <w:sz w:val="32"/>
          <w:szCs w:val="36"/>
        </w:rPr>
        <w:t>新增筹集保障性租赁住房</w:t>
      </w:r>
      <w:r>
        <w:rPr>
          <w:rFonts w:hint="eastAsia" w:ascii="Times New Roman" w:hAnsi="Times New Roman" w:eastAsia="仿宋_GB2312" w:cs="Times New Roman"/>
          <w:b/>
          <w:bCs/>
          <w:sz w:val="32"/>
          <w:szCs w:val="36"/>
          <w:lang w:val="en-US" w:eastAsia="zh-CN"/>
        </w:rPr>
        <w:t>646</w:t>
      </w:r>
      <w:r>
        <w:rPr>
          <w:rFonts w:hint="eastAsia" w:ascii="Times New Roman" w:hAnsi="Times New Roman" w:eastAsia="仿宋_GB2312" w:cs="Times New Roman"/>
          <w:b/>
          <w:bCs/>
          <w:sz w:val="32"/>
          <w:szCs w:val="36"/>
        </w:rPr>
        <w:t>套</w:t>
      </w:r>
      <w:r>
        <w:rPr>
          <w:rFonts w:hint="eastAsia" w:ascii="Times New Roman" w:hAnsi="Times New Roman" w:eastAsia="仿宋_GB2312" w:cs="Times New Roman"/>
          <w:b/>
          <w:bCs/>
          <w:sz w:val="32"/>
          <w:szCs w:val="36"/>
          <w:lang w:eastAsia="zh-CN"/>
        </w:rPr>
        <w:t>（</w:t>
      </w:r>
      <w:r>
        <w:rPr>
          <w:rFonts w:hint="eastAsia" w:ascii="Times New Roman" w:hAnsi="Times New Roman" w:eastAsia="仿宋_GB2312" w:cs="Times New Roman"/>
          <w:b/>
          <w:bCs/>
          <w:sz w:val="32"/>
          <w:szCs w:val="36"/>
          <w:lang w:val="en-US" w:eastAsia="zh-CN"/>
        </w:rPr>
        <w:t>间</w:t>
      </w:r>
      <w:r>
        <w:rPr>
          <w:rFonts w:hint="eastAsia" w:ascii="Times New Roman" w:hAnsi="Times New Roman" w:eastAsia="仿宋_GB2312" w:cs="Times New Roman"/>
          <w:b/>
          <w:bCs/>
          <w:sz w:val="32"/>
          <w:szCs w:val="36"/>
          <w:lang w:eastAsia="zh-CN"/>
        </w:rPr>
        <w:t>）</w:t>
      </w:r>
      <w:r>
        <w:rPr>
          <w:rFonts w:hint="eastAsia" w:ascii="Times New Roman" w:hAnsi="Times New Roman" w:eastAsia="仿宋_GB2312" w:cs="Times New Roman"/>
          <w:b/>
          <w:bCs/>
          <w:sz w:val="32"/>
          <w:szCs w:val="32"/>
        </w:rPr>
        <w:t>。</w:t>
      </w:r>
      <w:r>
        <w:rPr>
          <w:rFonts w:hint="eastAsia" w:ascii="Times New Roman" w:hAnsi="Times New Roman" w:eastAsia="仿宋_GB2312" w:cs="Times New Roman"/>
          <w:sz w:val="32"/>
          <w:szCs w:val="32"/>
        </w:rPr>
        <w:t>重点</w:t>
      </w:r>
      <w:r>
        <w:rPr>
          <w:rFonts w:hint="eastAsia" w:ascii="Times New Roman" w:hAnsi="Times New Roman" w:eastAsia="仿宋_GB2312" w:cs="Times New Roman"/>
          <w:sz w:val="32"/>
          <w:szCs w:val="32"/>
          <w:lang w:val="en-US" w:eastAsia="zh-CN"/>
        </w:rPr>
        <w:t>任务为</w:t>
      </w:r>
      <w:r>
        <w:rPr>
          <w:rFonts w:hint="eastAsia" w:ascii="Times New Roman" w:hAnsi="Times New Roman" w:eastAsia="仿宋_GB2312" w:cs="Times New Roman"/>
          <w:sz w:val="32"/>
          <w:szCs w:val="32"/>
        </w:rPr>
        <w:t>：</w:t>
      </w:r>
      <w:r>
        <w:rPr>
          <w:rFonts w:hint="eastAsia" w:ascii="Times New Roman" w:hAnsi="Times New Roman" w:eastAsia="仿宋_GB2312" w:cs="Times New Roman"/>
          <w:b/>
          <w:bCs/>
          <w:sz w:val="32"/>
          <w:szCs w:val="32"/>
        </w:rPr>
        <w:t>一是筑牢住房需求基本盘。</w:t>
      </w:r>
      <w:r>
        <w:rPr>
          <w:rFonts w:hint="eastAsia" w:ascii="Times New Roman" w:hAnsi="Times New Roman" w:eastAsia="仿宋_GB2312" w:cs="Times New Roman"/>
          <w:sz w:val="32"/>
          <w:szCs w:val="32"/>
        </w:rPr>
        <w:t>顺应普宁市人口基数大、市场活跃度高，楼市规模全市最大等特点，扩大高品质住宅供给，满足改善型、返乡置业住房需求。</w:t>
      </w:r>
      <w:r>
        <w:rPr>
          <w:rFonts w:hint="eastAsia" w:ascii="Times New Roman" w:hAnsi="Times New Roman" w:eastAsia="仿宋_GB2312" w:cs="Times New Roman"/>
          <w:b/>
          <w:bCs/>
          <w:sz w:val="32"/>
          <w:szCs w:val="32"/>
        </w:rPr>
        <w:t>二是进一步扩大住房保障力度。</w:t>
      </w:r>
      <w:r>
        <w:rPr>
          <w:rFonts w:hint="eastAsia" w:ascii="Times New Roman" w:hAnsi="Times New Roman" w:eastAsia="仿宋_GB2312" w:cs="Times New Roman"/>
          <w:sz w:val="32"/>
          <w:szCs w:val="32"/>
        </w:rPr>
        <w:t>结合产业园区分布，大力筹集人才公寓或保障性租赁住房，完善食堂、活动中心、体育场地等社区配套设施，围绕产业园区形成产业社区，助力招商引资，做强园区经济。</w:t>
      </w:r>
      <w:r>
        <w:rPr>
          <w:rFonts w:hint="eastAsia" w:ascii="Times New Roman" w:hAnsi="Times New Roman" w:eastAsia="仿宋_GB2312" w:cs="Times New Roman"/>
          <w:b/>
          <w:bCs/>
          <w:sz w:val="32"/>
          <w:szCs w:val="32"/>
        </w:rPr>
        <w:t>三是完善基础设施</w:t>
      </w:r>
      <w:r>
        <w:rPr>
          <w:rFonts w:hint="eastAsia" w:ascii="Times New Roman" w:hAnsi="Times New Roman" w:eastAsia="仿宋_GB2312" w:cs="Times New Roman"/>
          <w:b/>
          <w:bCs/>
          <w:sz w:val="32"/>
          <w:szCs w:val="32"/>
          <w:lang w:val="en-US" w:eastAsia="zh-CN"/>
        </w:rPr>
        <w:t>建设</w:t>
      </w:r>
      <w:r>
        <w:rPr>
          <w:rFonts w:hint="eastAsia" w:ascii="Times New Roman" w:hAnsi="Times New Roman" w:eastAsia="仿宋_GB2312" w:cs="Times New Roman"/>
          <w:b/>
          <w:bCs/>
          <w:sz w:val="32"/>
          <w:szCs w:val="32"/>
        </w:rPr>
        <w:t>。</w:t>
      </w:r>
      <w:r>
        <w:rPr>
          <w:rFonts w:hint="eastAsia" w:ascii="Times New Roman" w:hAnsi="Times New Roman" w:eastAsia="仿宋_GB2312" w:cs="Times New Roman"/>
          <w:sz w:val="32"/>
          <w:szCs w:val="32"/>
        </w:rPr>
        <w:t>着力完善县城公共服务配套设施，提升教育、医疗、养老、社区服务等覆盖水平与服务质量，引导周边农业人口进城置业定居。</w:t>
      </w:r>
    </w:p>
    <w:p w14:paraId="35E1837E">
      <w:pPr>
        <w:spacing w:line="600" w:lineRule="exact"/>
        <w:ind w:firstLine="640" w:firstLineChars="200"/>
        <w:outlineLvl w:val="1"/>
        <w:rPr>
          <w:rFonts w:ascii="Times New Roman" w:hAnsi="Times New Roman" w:eastAsia="楷体_GB2312" w:cs="Times New Roman"/>
          <w:sz w:val="32"/>
          <w:szCs w:val="32"/>
        </w:rPr>
      </w:pPr>
      <w:bookmarkStart w:id="91" w:name="_Toc214553844"/>
      <w:bookmarkStart w:id="92" w:name="_Toc4171"/>
      <w:bookmarkStart w:id="93" w:name="_Toc27537"/>
      <w:bookmarkStart w:id="94" w:name="_Toc230790060"/>
      <w:bookmarkStart w:id="95" w:name="_Toc4586"/>
      <w:r>
        <w:rPr>
          <w:rFonts w:hint="eastAsia" w:ascii="Times New Roman" w:hAnsi="Times New Roman" w:eastAsia="楷体_GB2312" w:cs="Times New Roman"/>
          <w:sz w:val="32"/>
          <w:szCs w:val="32"/>
        </w:rPr>
        <w:t>（四）揭西县：去库存、促融合</w:t>
      </w:r>
      <w:bookmarkEnd w:id="91"/>
      <w:r>
        <w:rPr>
          <w:rFonts w:hint="eastAsia" w:ascii="Times New Roman" w:hAnsi="Times New Roman" w:eastAsia="楷体_GB2312" w:cs="Times New Roman"/>
          <w:sz w:val="32"/>
          <w:szCs w:val="32"/>
        </w:rPr>
        <w:t>、拓康养</w:t>
      </w:r>
      <w:bookmarkEnd w:id="92"/>
      <w:bookmarkEnd w:id="93"/>
      <w:bookmarkEnd w:id="94"/>
      <w:bookmarkEnd w:id="95"/>
    </w:p>
    <w:p w14:paraId="277E4FFE">
      <w:pPr>
        <w:spacing w:line="600"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“十五五”期间，</w:t>
      </w:r>
      <w:r>
        <w:rPr>
          <w:rFonts w:hint="eastAsia" w:ascii="Times New Roman" w:hAnsi="Times New Roman" w:eastAsia="仿宋_GB2312" w:cs="Times New Roman"/>
          <w:b/>
          <w:bCs/>
          <w:sz w:val="32"/>
          <w:szCs w:val="32"/>
        </w:rPr>
        <w:t>揭西县力争供应新建商品住房3500套。</w:t>
      </w:r>
      <w:r>
        <w:rPr>
          <w:rFonts w:hint="eastAsia" w:ascii="Times New Roman" w:hAnsi="Times New Roman" w:eastAsia="仿宋_GB2312" w:cs="Times New Roman"/>
          <w:sz w:val="32"/>
          <w:szCs w:val="32"/>
        </w:rPr>
        <w:t>重点</w:t>
      </w:r>
      <w:r>
        <w:rPr>
          <w:rFonts w:hint="eastAsia" w:ascii="Times New Roman" w:hAnsi="Times New Roman" w:eastAsia="仿宋_GB2312" w:cs="Times New Roman"/>
          <w:sz w:val="32"/>
          <w:szCs w:val="32"/>
          <w:lang w:val="en-US" w:eastAsia="zh-CN"/>
        </w:rPr>
        <w:t>任务为</w:t>
      </w:r>
      <w:r>
        <w:rPr>
          <w:rFonts w:hint="eastAsia" w:ascii="Times New Roman" w:hAnsi="Times New Roman" w:eastAsia="仿宋_GB2312" w:cs="Times New Roman"/>
          <w:sz w:val="32"/>
          <w:szCs w:val="32"/>
        </w:rPr>
        <w:t>：</w:t>
      </w:r>
      <w:r>
        <w:rPr>
          <w:rFonts w:hint="eastAsia" w:ascii="Times New Roman" w:hAnsi="Times New Roman" w:eastAsia="仿宋_GB2312" w:cs="Times New Roman"/>
          <w:b/>
          <w:bCs/>
          <w:sz w:val="32"/>
          <w:szCs w:val="32"/>
        </w:rPr>
        <w:t>一是着力去库存。</w:t>
      </w:r>
      <w:r>
        <w:rPr>
          <w:rFonts w:hint="eastAsia" w:ascii="Times New Roman" w:hAnsi="Times New Roman" w:eastAsia="仿宋_GB2312" w:cs="Times New Roman"/>
          <w:sz w:val="32"/>
          <w:szCs w:val="32"/>
        </w:rPr>
        <w:t>积极探索通过政府平台公司收购存量商品房转作保障性住房的实施路径，同步探索盘活利用闲置、低效用地的发展模式，全力促进全县商品房库存去化周期回归至合理区间</w:t>
      </w:r>
      <w:r>
        <w:rPr>
          <w:rFonts w:hint="eastAsia" w:ascii="Times New Roman" w:hAnsi="Times New Roman" w:eastAsia="仿宋_GB2312" w:cs="Times New Roman"/>
          <w:b/>
          <w:bCs/>
          <w:sz w:val="32"/>
          <w:szCs w:val="32"/>
        </w:rPr>
        <w:t>。二是促进城乡融合。</w:t>
      </w:r>
      <w:r>
        <w:rPr>
          <w:rFonts w:hint="eastAsia" w:ascii="Times New Roman" w:hAnsi="Times New Roman" w:eastAsia="仿宋_GB2312" w:cs="Times New Roman"/>
          <w:sz w:val="32"/>
          <w:szCs w:val="32"/>
        </w:rPr>
        <w:t>以“百千万工程”为契机，</w:t>
      </w:r>
      <w:r>
        <w:rPr>
          <w:rFonts w:hint="eastAsia" w:ascii="Times New Roman" w:hAnsi="Times New Roman" w:eastAsia="仿宋_GB2312"/>
          <w:sz w:val="32"/>
          <w:szCs w:val="32"/>
        </w:rPr>
        <w:t>提升县域及乡镇住房建设品质，推进农房现代化改造。补齐县域公共配套短板，稳定本地刚需住房供给，</w:t>
      </w:r>
      <w:r>
        <w:rPr>
          <w:rFonts w:hint="eastAsia" w:ascii="Times New Roman" w:hAnsi="Times New Roman" w:eastAsia="仿宋_GB2312" w:cs="Times New Roman"/>
          <w:sz w:val="32"/>
          <w:szCs w:val="32"/>
        </w:rPr>
        <w:t>引导农业户籍人口就近城镇化。</w:t>
      </w:r>
      <w:r>
        <w:rPr>
          <w:rFonts w:hint="eastAsia" w:ascii="Times New Roman" w:hAnsi="Times New Roman" w:eastAsia="仿宋_GB2312" w:cs="Times New Roman"/>
          <w:b/>
          <w:bCs/>
          <w:sz w:val="32"/>
          <w:szCs w:val="32"/>
        </w:rPr>
        <w:t>三是大力拓展生态康养经济。</w:t>
      </w:r>
      <w:r>
        <w:rPr>
          <w:rFonts w:hint="eastAsia" w:ascii="Times New Roman" w:hAnsi="Times New Roman" w:eastAsia="仿宋_GB2312" w:cs="Times New Roman"/>
          <w:sz w:val="32"/>
          <w:szCs w:val="32"/>
        </w:rPr>
        <w:t>立足“生态发展示范区”功能定位，对黄满寨瀑布旅游区、京明温泉度假村等核心景区提质升级，开发打造一批集居住、休闲、旅游为一体的特色房地产项目，激活旅居置业消费潜力。</w:t>
      </w:r>
    </w:p>
    <w:p w14:paraId="33CF873C">
      <w:pPr>
        <w:spacing w:line="600" w:lineRule="exact"/>
        <w:ind w:firstLine="640" w:firstLineChars="200"/>
        <w:outlineLvl w:val="1"/>
        <w:rPr>
          <w:rFonts w:ascii="Times New Roman" w:hAnsi="Times New Roman" w:eastAsia="楷体_GB2312" w:cs="Times New Roman"/>
          <w:sz w:val="32"/>
          <w:szCs w:val="32"/>
        </w:rPr>
      </w:pPr>
      <w:bookmarkStart w:id="96" w:name="_Toc677"/>
      <w:bookmarkStart w:id="97" w:name="_Toc230790061"/>
      <w:bookmarkStart w:id="98" w:name="_Toc25910"/>
      <w:bookmarkStart w:id="99" w:name="_Toc214553845"/>
      <w:bookmarkStart w:id="100" w:name="_Toc18895"/>
      <w:r>
        <w:rPr>
          <w:rFonts w:hint="eastAsia" w:ascii="Times New Roman" w:hAnsi="Times New Roman" w:eastAsia="楷体_GB2312" w:cs="Times New Roman"/>
          <w:sz w:val="32"/>
          <w:szCs w:val="32"/>
        </w:rPr>
        <w:t>（五）惠来县：优结构</w:t>
      </w:r>
      <w:r>
        <w:rPr>
          <w:rFonts w:hint="eastAsia" w:ascii="Times New Roman" w:hAnsi="Times New Roman" w:eastAsia="楷体_GB2312" w:cs="Times New Roman"/>
          <w:sz w:val="32"/>
          <w:szCs w:val="32"/>
          <w:lang w:eastAsia="zh-CN"/>
        </w:rPr>
        <w:t>、</w:t>
      </w:r>
      <w:r>
        <w:rPr>
          <w:rFonts w:hint="eastAsia" w:ascii="Times New Roman" w:hAnsi="Times New Roman" w:eastAsia="楷体_GB2312" w:cs="Times New Roman"/>
          <w:sz w:val="32"/>
          <w:szCs w:val="32"/>
        </w:rPr>
        <w:t>扩供给、促融合</w:t>
      </w:r>
      <w:bookmarkEnd w:id="96"/>
      <w:bookmarkEnd w:id="97"/>
      <w:bookmarkEnd w:id="98"/>
      <w:bookmarkEnd w:id="99"/>
      <w:bookmarkEnd w:id="100"/>
    </w:p>
    <w:p w14:paraId="3B83D8F9">
      <w:p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“十五五”期间，</w:t>
      </w:r>
      <w:r>
        <w:rPr>
          <w:rFonts w:hint="eastAsia" w:ascii="Times New Roman" w:hAnsi="Times New Roman" w:eastAsia="仿宋_GB2312" w:cs="Times New Roman"/>
          <w:b/>
          <w:bCs/>
          <w:sz w:val="32"/>
          <w:szCs w:val="32"/>
        </w:rPr>
        <w:t>惠来县力争供应各类住房</w:t>
      </w:r>
      <w:r>
        <w:rPr>
          <w:rFonts w:hint="eastAsia" w:ascii="Times New Roman" w:hAnsi="Times New Roman" w:eastAsia="仿宋_GB2312" w:cs="Times New Roman"/>
          <w:b/>
          <w:bCs/>
          <w:sz w:val="32"/>
          <w:szCs w:val="32"/>
          <w:lang w:val="en-US" w:eastAsia="zh-CN"/>
        </w:rPr>
        <w:t>10900</w:t>
      </w:r>
      <w:r>
        <w:rPr>
          <w:rFonts w:hint="eastAsia" w:ascii="Times New Roman" w:hAnsi="Times New Roman" w:eastAsia="仿宋_GB2312" w:cs="Times New Roman"/>
          <w:b/>
          <w:bCs/>
          <w:sz w:val="32"/>
          <w:szCs w:val="32"/>
        </w:rPr>
        <w:t>套（间），其中，新增供应新建商品住房10000套</w:t>
      </w:r>
      <w:r>
        <w:rPr>
          <w:rFonts w:hint="eastAsia" w:ascii="Times New Roman" w:hAnsi="Times New Roman" w:eastAsia="仿宋_GB2312" w:cs="Times New Roman"/>
          <w:b/>
          <w:bCs/>
          <w:sz w:val="32"/>
          <w:szCs w:val="36"/>
        </w:rPr>
        <w:t>，</w:t>
      </w:r>
      <w:r>
        <w:rPr>
          <w:rFonts w:hint="eastAsia" w:ascii="Times New Roman" w:hAnsi="Times New Roman" w:eastAsia="仿宋_GB2312" w:cs="Times New Roman"/>
          <w:b/>
          <w:bCs/>
          <w:sz w:val="32"/>
          <w:szCs w:val="36"/>
          <w:lang w:val="en-US" w:eastAsia="zh-CN"/>
        </w:rPr>
        <w:t>新增筹集保障性租赁住房900套（间），</w:t>
      </w:r>
      <w:r>
        <w:rPr>
          <w:rFonts w:hint="eastAsia" w:ascii="Times New Roman" w:hAnsi="Times New Roman" w:eastAsia="仿宋_GB2312" w:cs="Times New Roman"/>
          <w:b/>
          <w:bCs/>
          <w:sz w:val="32"/>
          <w:szCs w:val="36"/>
        </w:rPr>
        <w:t>新增</w:t>
      </w:r>
      <w:r>
        <w:rPr>
          <w:rFonts w:hint="eastAsia" w:ascii="Times New Roman" w:hAnsi="Times New Roman" w:eastAsia="仿宋_GB2312" w:cs="Times New Roman"/>
          <w:b/>
          <w:bCs/>
          <w:sz w:val="32"/>
          <w:szCs w:val="32"/>
        </w:rPr>
        <w:t>发放租赁补贴</w:t>
      </w:r>
      <w:r>
        <w:rPr>
          <w:rFonts w:ascii="Times New Roman" w:hAnsi="Times New Roman" w:eastAsia="仿宋_GB2312" w:cs="Times New Roman"/>
          <w:b/>
          <w:bCs/>
          <w:sz w:val="32"/>
          <w:szCs w:val="32"/>
        </w:rPr>
        <w:t>270</w:t>
      </w:r>
      <w:r>
        <w:rPr>
          <w:rFonts w:hint="eastAsia" w:ascii="Times New Roman" w:hAnsi="Times New Roman" w:eastAsia="仿宋_GB2312" w:cs="Times New Roman"/>
          <w:b/>
          <w:bCs/>
          <w:sz w:val="32"/>
          <w:szCs w:val="32"/>
        </w:rPr>
        <w:t>户。</w:t>
      </w:r>
      <w:r>
        <w:rPr>
          <w:rFonts w:hint="eastAsia" w:ascii="Times New Roman" w:hAnsi="Times New Roman" w:eastAsia="仿宋_GB2312" w:cs="Times New Roman"/>
          <w:sz w:val="32"/>
          <w:szCs w:val="32"/>
        </w:rPr>
        <w:t>重点</w:t>
      </w:r>
      <w:r>
        <w:rPr>
          <w:rFonts w:hint="eastAsia" w:ascii="Times New Roman" w:hAnsi="Times New Roman" w:eastAsia="仿宋_GB2312" w:cs="Times New Roman"/>
          <w:sz w:val="32"/>
          <w:szCs w:val="32"/>
          <w:lang w:val="en-US" w:eastAsia="zh-CN"/>
        </w:rPr>
        <w:t>任务为</w:t>
      </w:r>
      <w:r>
        <w:rPr>
          <w:rFonts w:hint="eastAsia" w:ascii="Times New Roman" w:hAnsi="Times New Roman" w:eastAsia="仿宋_GB2312" w:cs="Times New Roman"/>
          <w:sz w:val="32"/>
          <w:szCs w:val="32"/>
        </w:rPr>
        <w:t>：</w:t>
      </w:r>
      <w:r>
        <w:rPr>
          <w:rFonts w:hint="eastAsia" w:ascii="Times New Roman" w:hAnsi="Times New Roman" w:eastAsia="仿宋_GB2312" w:cs="Times New Roman"/>
          <w:b/>
          <w:bCs/>
          <w:sz w:val="32"/>
          <w:szCs w:val="32"/>
        </w:rPr>
        <w:t>一是优化住房供应结构。</w:t>
      </w:r>
      <w:r>
        <w:rPr>
          <w:rFonts w:hint="eastAsia" w:ascii="Times New Roman" w:hAnsi="Times New Roman" w:eastAsia="仿宋_GB2312" w:cs="Times New Roman"/>
          <w:sz w:val="32"/>
          <w:szCs w:val="32"/>
        </w:rPr>
        <w:t>注重高品质、改善型住房产品的供给，同时继续完善保障性住房体系，满足多样化居住需求。二</w:t>
      </w:r>
      <w:r>
        <w:rPr>
          <w:rFonts w:hint="eastAsia" w:ascii="Times New Roman" w:hAnsi="Times New Roman" w:eastAsia="仿宋_GB2312" w:cs="Times New Roman"/>
          <w:b/>
          <w:bCs/>
          <w:sz w:val="32"/>
          <w:szCs w:val="32"/>
        </w:rPr>
        <w:t>是适度增加新建商品住房供应。</w:t>
      </w:r>
      <w:r>
        <w:rPr>
          <w:rFonts w:hint="eastAsia" w:ascii="Times New Roman" w:hAnsi="Times New Roman" w:eastAsia="仿宋_GB2312" w:cs="Times New Roman"/>
          <w:sz w:val="32"/>
          <w:szCs w:val="32"/>
        </w:rPr>
        <w:t>面对库存消化周期较短、供应不足的实际，适当扩大居住用地供给，合理推进商品房项目开发节奏，形成住房供应梯度。</w:t>
      </w:r>
      <w:r>
        <w:rPr>
          <w:rFonts w:hint="eastAsia" w:ascii="Times New Roman" w:hAnsi="Times New Roman" w:eastAsia="仿宋_GB2312" w:cs="Times New Roman"/>
          <w:b/>
          <w:bCs/>
          <w:sz w:val="32"/>
          <w:szCs w:val="32"/>
        </w:rPr>
        <w:t>三是促进滨海产业新城产城融合。</w:t>
      </w:r>
      <w:r>
        <w:rPr>
          <w:rFonts w:hint="eastAsia" w:ascii="Times New Roman" w:hAnsi="Times New Roman" w:eastAsia="仿宋_GB2312" w:cs="Times New Roman"/>
          <w:sz w:val="32"/>
          <w:szCs w:val="32"/>
        </w:rPr>
        <w:t>聚焦滨海产业新城建设，加快保障性租赁住房供给，满足产业工人、新市民安居需求。</w:t>
      </w:r>
    </w:p>
    <w:p w14:paraId="352380ED">
      <w:pPr>
        <w:spacing w:line="600" w:lineRule="exact"/>
        <w:ind w:firstLine="640" w:firstLineChars="200"/>
        <w:outlineLvl w:val="0"/>
        <w:rPr>
          <w:rFonts w:ascii="Times New Roman" w:hAnsi="Times New Roman" w:eastAsia="黑体" w:cs="Times New Roman"/>
          <w:sz w:val="32"/>
          <w:szCs w:val="32"/>
        </w:rPr>
      </w:pPr>
      <w:bookmarkStart w:id="101" w:name="_Toc214553850"/>
      <w:bookmarkStart w:id="102" w:name="_Toc230790066"/>
      <w:bookmarkStart w:id="103" w:name="_Toc10621"/>
      <w:bookmarkStart w:id="104" w:name="_Toc22109"/>
      <w:bookmarkStart w:id="105" w:name="_Toc21188"/>
      <w:r>
        <w:rPr>
          <w:rFonts w:hint="eastAsia" w:ascii="Times New Roman" w:hAnsi="Times New Roman" w:eastAsia="黑体" w:cs="Times New Roman"/>
          <w:sz w:val="32"/>
          <w:szCs w:val="32"/>
          <w:lang w:val="en-US" w:eastAsia="zh-CN"/>
        </w:rPr>
        <w:t>五</w:t>
      </w:r>
      <w:r>
        <w:rPr>
          <w:rFonts w:ascii="Times New Roman" w:hAnsi="Times New Roman" w:eastAsia="黑体" w:cs="Times New Roman"/>
          <w:sz w:val="32"/>
          <w:szCs w:val="32"/>
        </w:rPr>
        <w:t>、实施保障</w:t>
      </w:r>
      <w:bookmarkEnd w:id="101"/>
      <w:bookmarkEnd w:id="102"/>
      <w:bookmarkEnd w:id="103"/>
      <w:bookmarkEnd w:id="104"/>
      <w:bookmarkEnd w:id="105"/>
    </w:p>
    <w:p w14:paraId="2E15D2A0">
      <w:pPr>
        <w:spacing w:line="600" w:lineRule="exact"/>
        <w:ind w:firstLine="640" w:firstLineChars="200"/>
        <w:outlineLvl w:val="1"/>
        <w:rPr>
          <w:rFonts w:ascii="Times New Roman" w:hAnsi="Times New Roman" w:eastAsia="楷体_GB2312" w:cs="Times New Roman"/>
          <w:sz w:val="32"/>
          <w:szCs w:val="32"/>
        </w:rPr>
      </w:pPr>
      <w:bookmarkStart w:id="106" w:name="_Toc214553851"/>
      <w:bookmarkStart w:id="107" w:name="_Toc7246"/>
      <w:bookmarkStart w:id="108" w:name="_Toc230790067"/>
      <w:bookmarkStart w:id="109" w:name="_Toc3140"/>
      <w:bookmarkStart w:id="110" w:name="_Toc29165"/>
      <w:r>
        <w:rPr>
          <w:rFonts w:ascii="Times New Roman" w:hAnsi="Times New Roman" w:eastAsia="楷体_GB2312" w:cs="Times New Roman"/>
          <w:sz w:val="32"/>
          <w:szCs w:val="32"/>
        </w:rPr>
        <w:t>（一）</w:t>
      </w:r>
      <w:bookmarkEnd w:id="106"/>
      <w:r>
        <w:rPr>
          <w:rFonts w:hint="eastAsia" w:ascii="Times New Roman" w:hAnsi="Times New Roman" w:eastAsia="楷体_GB2312" w:cs="Times New Roman"/>
          <w:sz w:val="32"/>
          <w:szCs w:val="32"/>
        </w:rPr>
        <w:t>加强规划组织领导</w:t>
      </w:r>
      <w:bookmarkEnd w:id="107"/>
      <w:bookmarkEnd w:id="108"/>
      <w:bookmarkEnd w:id="109"/>
      <w:bookmarkEnd w:id="110"/>
    </w:p>
    <w:p w14:paraId="646188D2">
      <w:pPr>
        <w:spacing w:line="600" w:lineRule="exact"/>
        <w:ind w:firstLine="640"/>
        <w:rPr>
          <w:rFonts w:hint="eastAsia"/>
        </w:rPr>
      </w:pPr>
      <w:r>
        <w:rPr>
          <w:rFonts w:hint="eastAsia" w:ascii="Times New Roman" w:hAnsi="Times New Roman" w:eastAsia="仿宋_GB2312" w:cs="Times New Roman"/>
          <w:sz w:val="32"/>
          <w:szCs w:val="32"/>
        </w:rPr>
        <w:t>强化市政府统筹引领，统筹协调发改、财政、自然资源、住房城乡建设等相关部门，加强对各县（市、区）住房发展的指导监督。</w:t>
      </w:r>
      <w:r>
        <w:rPr>
          <w:rFonts w:hint="eastAsia" w:ascii="Times New Roman" w:hAnsi="Times New Roman" w:eastAsia="仿宋_GB2312" w:cs="Times New Roman"/>
          <w:sz w:val="32"/>
          <w:szCs w:val="36"/>
        </w:rPr>
        <w:t>强化部门</w:t>
      </w:r>
      <w:r>
        <w:rPr>
          <w:rFonts w:hint="eastAsia" w:ascii="Times New Roman" w:hAnsi="Times New Roman" w:eastAsia="仿宋_GB2312" w:cs="Times New Roman"/>
          <w:sz w:val="32"/>
          <w:szCs w:val="36"/>
          <w:lang w:val="en-US" w:eastAsia="zh-CN"/>
        </w:rPr>
        <w:t>信息沟通、规划协调和工作</w:t>
      </w:r>
      <w:r>
        <w:rPr>
          <w:rFonts w:hint="eastAsia" w:ascii="Times New Roman" w:hAnsi="Times New Roman" w:eastAsia="仿宋_GB2312" w:cs="Times New Roman"/>
          <w:sz w:val="32"/>
          <w:szCs w:val="36"/>
        </w:rPr>
        <w:t>协同，统筹协调规划实施的有关事宜。</w:t>
      </w:r>
    </w:p>
    <w:p w14:paraId="2B653552">
      <w:pPr>
        <w:spacing w:line="600" w:lineRule="exact"/>
        <w:ind w:firstLine="640" w:firstLineChars="200"/>
        <w:outlineLvl w:val="1"/>
        <w:rPr>
          <w:rFonts w:ascii="Times New Roman" w:hAnsi="Times New Roman" w:eastAsia="楷体_GB2312" w:cs="Times New Roman"/>
          <w:sz w:val="32"/>
          <w:szCs w:val="32"/>
        </w:rPr>
      </w:pPr>
      <w:bookmarkStart w:id="111" w:name="_Toc25637"/>
      <w:bookmarkStart w:id="112" w:name="_Toc448"/>
      <w:bookmarkStart w:id="113" w:name="_Toc214553852"/>
      <w:bookmarkStart w:id="114" w:name="_Toc230790068"/>
      <w:bookmarkStart w:id="115" w:name="_Toc11018"/>
      <w:r>
        <w:rPr>
          <w:rFonts w:ascii="Times New Roman" w:hAnsi="Times New Roman" w:eastAsia="楷体_GB2312" w:cs="Times New Roman"/>
          <w:sz w:val="32"/>
          <w:szCs w:val="32"/>
        </w:rPr>
        <w:t>（二）</w:t>
      </w:r>
      <w:r>
        <w:rPr>
          <w:rFonts w:hint="eastAsia" w:ascii="Times New Roman" w:hAnsi="Times New Roman" w:eastAsia="楷体_GB2312" w:cs="Times New Roman"/>
          <w:sz w:val="32"/>
          <w:szCs w:val="32"/>
        </w:rPr>
        <w:t>做好评估与动态调整</w:t>
      </w:r>
      <w:bookmarkEnd w:id="111"/>
      <w:bookmarkEnd w:id="112"/>
      <w:bookmarkEnd w:id="113"/>
      <w:bookmarkEnd w:id="114"/>
      <w:bookmarkEnd w:id="115"/>
    </w:p>
    <w:p w14:paraId="5BAE5127">
      <w:pPr>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根据每年经济社会发展、人口变化、住房供需等方面情况，编制住房发展年度计划，滚动落实规划各项任务。组织开展规划中期评估，根据评估情况及时提出加强和改进规划实施的政策举措。</w:t>
      </w:r>
      <w:r>
        <w:rPr>
          <w:rFonts w:hint="eastAsia" w:ascii="Times New Roman" w:hAnsi="Times New Roman" w:eastAsia="仿宋_GB2312" w:cs="Times New Roman"/>
          <w:sz w:val="32"/>
          <w:szCs w:val="32"/>
        </w:rPr>
        <w:t>确因发生重大变化需调整规划的，按规定程序报批调整，确保与国家、省级、市级工作方针有效衔接。</w:t>
      </w:r>
    </w:p>
    <w:p w14:paraId="3C7CB95A">
      <w:pPr>
        <w:spacing w:line="600" w:lineRule="exact"/>
        <w:ind w:firstLine="640" w:firstLineChars="200"/>
        <w:outlineLvl w:val="1"/>
        <w:rPr>
          <w:rFonts w:ascii="Times New Roman" w:hAnsi="Times New Roman" w:eastAsia="楷体_GB2312" w:cs="Times New Roman"/>
          <w:sz w:val="32"/>
          <w:szCs w:val="32"/>
        </w:rPr>
      </w:pPr>
      <w:bookmarkStart w:id="116" w:name="_Toc214553853"/>
      <w:bookmarkStart w:id="117" w:name="_Toc27182"/>
      <w:bookmarkStart w:id="118" w:name="_Toc230790069"/>
      <w:bookmarkStart w:id="119" w:name="_Toc30385"/>
      <w:bookmarkStart w:id="120" w:name="_Toc14234"/>
      <w:r>
        <w:rPr>
          <w:rFonts w:ascii="Times New Roman" w:hAnsi="Times New Roman" w:eastAsia="楷体_GB2312" w:cs="Times New Roman"/>
          <w:sz w:val="32"/>
          <w:szCs w:val="32"/>
        </w:rPr>
        <w:t>（三）</w:t>
      </w:r>
      <w:bookmarkEnd w:id="116"/>
      <w:r>
        <w:rPr>
          <w:rFonts w:hint="eastAsia" w:ascii="Times New Roman" w:hAnsi="Times New Roman" w:eastAsia="楷体_GB2312" w:cs="Times New Roman"/>
          <w:sz w:val="32"/>
          <w:szCs w:val="32"/>
        </w:rPr>
        <w:t>做好规划宣传与解读</w:t>
      </w:r>
      <w:bookmarkEnd w:id="117"/>
      <w:bookmarkEnd w:id="118"/>
      <w:bookmarkEnd w:id="119"/>
      <w:bookmarkEnd w:id="120"/>
    </w:p>
    <w:p w14:paraId="1AC169DA">
      <w:pPr>
        <w:widowControl/>
        <w:spacing w:line="600" w:lineRule="exact"/>
        <w:ind w:firstLine="640" w:firstLineChars="200"/>
        <w:rPr>
          <w:rFonts w:ascii="Times New Roman" w:hAnsi="Times New Roman" w:eastAsia="仿宋_GB2312" w:cs="Times New Roman"/>
          <w:sz w:val="32"/>
          <w:szCs w:val="32"/>
        </w:rPr>
        <w:sectPr>
          <w:footerReference r:id="rId4" w:type="default"/>
          <w:pgSz w:w="11906" w:h="16838"/>
          <w:pgMar w:top="1440" w:right="1800" w:bottom="1440" w:left="1800" w:header="720" w:footer="720" w:gutter="0"/>
          <w:pgNumType w:fmt="numberInDash" w:start="1"/>
          <w:cols w:space="0" w:num="1"/>
          <w:docGrid w:type="lines" w:linePitch="312" w:charSpace="0"/>
        </w:sectPr>
      </w:pPr>
      <w:r>
        <w:rPr>
          <w:rFonts w:ascii="Times New Roman" w:hAnsi="Times New Roman" w:eastAsia="仿宋_GB2312" w:cs="Times New Roman"/>
          <w:sz w:val="32"/>
          <w:szCs w:val="32"/>
        </w:rPr>
        <w:t>充分利用报刊、网络等各类媒体平台，定期主动向社会公布规划内容、年度实施计划及进展成效，加大解读宣传力度，营造全社会共同参与、支持规划实施的良好氛围。</w:t>
      </w:r>
      <w:r>
        <w:rPr>
          <w:rFonts w:hint="eastAsia" w:ascii="Times New Roman" w:hAnsi="Times New Roman" w:eastAsia="仿宋_GB2312" w:cs="Times New Roman"/>
          <w:sz w:val="32"/>
          <w:szCs w:val="32"/>
        </w:rPr>
        <w:t>完善公众监督和举报投诉机制，拓宽民意反映渠道。</w:t>
      </w:r>
      <w:bookmarkEnd w:id="5"/>
    </w:p>
    <w:p w14:paraId="4F2F54D2">
      <w:pPr>
        <w:spacing w:line="600" w:lineRule="exact"/>
        <w:jc w:val="left"/>
        <w:outlineLvl w:val="0"/>
        <w:rPr>
          <w:rFonts w:ascii="Times New Roman" w:hAnsi="Times New Roman" w:eastAsia="黑体" w:cs="Times New Roman"/>
          <w:sz w:val="24"/>
          <w:szCs w:val="36"/>
        </w:rPr>
      </w:pPr>
      <w:bookmarkStart w:id="121" w:name="_Toc23730"/>
      <w:bookmarkStart w:id="122" w:name="_Toc7833"/>
      <w:bookmarkStart w:id="123" w:name="_Toc1745"/>
      <w:r>
        <w:rPr>
          <w:rFonts w:hint="eastAsia" w:ascii="Times New Roman" w:hAnsi="Times New Roman" w:eastAsia="黑体" w:cs="Times New Roman"/>
          <w:sz w:val="32"/>
          <w:szCs w:val="32"/>
          <w:lang w:val="en-US" w:eastAsia="zh-CN"/>
        </w:rPr>
        <w:t>附件1：揭阳市住房发展“十五五”目标指标一览表</w:t>
      </w:r>
      <w:bookmarkEnd w:id="121"/>
      <w:bookmarkEnd w:id="122"/>
      <w:bookmarkEnd w:id="123"/>
      <w:bookmarkStart w:id="124" w:name="_Toc214553856"/>
    </w:p>
    <w:tbl>
      <w:tblPr>
        <w:tblStyle w:val="28"/>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1"/>
        <w:gridCol w:w="5603"/>
        <w:gridCol w:w="2719"/>
        <w:gridCol w:w="2756"/>
        <w:gridCol w:w="2152"/>
      </w:tblGrid>
      <w:tr w14:paraId="6C44F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332" w:type="pct"/>
            <w:vAlign w:val="center"/>
          </w:tcPr>
          <w:p w14:paraId="1F300B7D">
            <w:pPr>
              <w:pStyle w:val="71"/>
              <w:jc w:val="center"/>
              <w:rPr>
                <w:rFonts w:ascii="Times New Roman" w:hAnsi="Times New Roman" w:eastAsia="仿宋_GB2312" w:cs="Times New Roman"/>
                <w:b/>
                <w:bCs/>
                <w:color w:val="000000"/>
                <w:kern w:val="0"/>
                <w:sz w:val="24"/>
              </w:rPr>
            </w:pPr>
            <w:r>
              <w:rPr>
                <w:rFonts w:ascii="Times New Roman" w:hAnsi="Times New Roman" w:eastAsia="仿宋_GB2312" w:cs="Times New Roman"/>
                <w:b/>
                <w:bCs/>
                <w:color w:val="000000"/>
                <w:kern w:val="0"/>
                <w:sz w:val="24"/>
              </w:rPr>
              <w:t>序号</w:t>
            </w:r>
          </w:p>
        </w:tc>
        <w:tc>
          <w:tcPr>
            <w:tcW w:w="1976" w:type="pct"/>
            <w:vAlign w:val="center"/>
          </w:tcPr>
          <w:p w14:paraId="11357BC0">
            <w:pPr>
              <w:jc w:val="center"/>
              <w:rPr>
                <w:rFonts w:ascii="Times New Roman" w:hAnsi="Times New Roman" w:eastAsia="仿宋_GB2312" w:cs="Times New Roman"/>
                <w:b/>
                <w:bCs/>
                <w:color w:val="000000"/>
                <w:kern w:val="0"/>
                <w:sz w:val="24"/>
              </w:rPr>
            </w:pPr>
            <w:r>
              <w:rPr>
                <w:rFonts w:ascii="Times New Roman" w:hAnsi="Times New Roman" w:eastAsia="仿宋_GB2312" w:cs="Times New Roman"/>
                <w:b/>
                <w:bCs/>
                <w:color w:val="000000"/>
                <w:kern w:val="0"/>
                <w:sz w:val="24"/>
              </w:rPr>
              <w:t>指标</w:t>
            </w:r>
          </w:p>
        </w:tc>
        <w:tc>
          <w:tcPr>
            <w:tcW w:w="959" w:type="pct"/>
            <w:vAlign w:val="center"/>
          </w:tcPr>
          <w:p w14:paraId="4BD93736">
            <w:pPr>
              <w:pStyle w:val="24"/>
              <w:widowControl/>
              <w:spacing w:beforeAutospacing="0" w:afterAutospacing="0"/>
              <w:jc w:val="center"/>
              <w:rPr>
                <w:rFonts w:ascii="Times New Roman" w:hAnsi="Times New Roman" w:eastAsia="仿宋_GB2312"/>
                <w:b/>
                <w:bCs/>
                <w:color w:val="000000"/>
              </w:rPr>
            </w:pPr>
            <w:r>
              <w:rPr>
                <w:rFonts w:ascii="Times New Roman" w:hAnsi="Times New Roman" w:eastAsia="仿宋_GB2312"/>
                <w:b/>
                <w:bCs/>
                <w:color w:val="000000"/>
              </w:rPr>
              <w:t>单位</w:t>
            </w:r>
          </w:p>
        </w:tc>
        <w:tc>
          <w:tcPr>
            <w:tcW w:w="972" w:type="pct"/>
            <w:vAlign w:val="center"/>
          </w:tcPr>
          <w:p w14:paraId="6727F0E0">
            <w:pPr>
              <w:pStyle w:val="24"/>
              <w:widowControl/>
              <w:spacing w:beforeAutospacing="0" w:afterAutospacing="0"/>
              <w:jc w:val="center"/>
              <w:rPr>
                <w:rFonts w:ascii="Times New Roman" w:hAnsi="Times New Roman" w:eastAsia="仿宋_GB2312"/>
                <w:b/>
                <w:bCs/>
                <w:color w:val="000000"/>
              </w:rPr>
            </w:pPr>
            <w:r>
              <w:rPr>
                <w:rFonts w:ascii="Times New Roman" w:hAnsi="Times New Roman" w:eastAsia="仿宋_GB2312"/>
                <w:b/>
                <w:bCs/>
                <w:color w:val="000000"/>
              </w:rPr>
              <w:t>规划目标</w:t>
            </w:r>
          </w:p>
        </w:tc>
        <w:tc>
          <w:tcPr>
            <w:tcW w:w="759" w:type="pct"/>
            <w:vAlign w:val="center"/>
          </w:tcPr>
          <w:p w14:paraId="0250AE8D">
            <w:pPr>
              <w:jc w:val="center"/>
              <w:rPr>
                <w:rFonts w:ascii="Times New Roman" w:hAnsi="Times New Roman" w:eastAsia="仿宋_GB2312" w:cs="Times New Roman"/>
                <w:b/>
                <w:bCs/>
                <w:color w:val="000000"/>
                <w:kern w:val="0"/>
                <w:sz w:val="24"/>
              </w:rPr>
            </w:pPr>
            <w:r>
              <w:rPr>
                <w:rFonts w:ascii="Times New Roman" w:hAnsi="Times New Roman" w:eastAsia="仿宋_GB2312" w:cs="Times New Roman"/>
                <w:b/>
                <w:bCs/>
                <w:color w:val="000000"/>
                <w:kern w:val="0"/>
                <w:sz w:val="24"/>
              </w:rPr>
              <w:t>性质</w:t>
            </w:r>
          </w:p>
        </w:tc>
      </w:tr>
      <w:tr w14:paraId="6DA16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 w:type="pct"/>
            <w:vAlign w:val="center"/>
          </w:tcPr>
          <w:p w14:paraId="2DB5BDDA">
            <w:pPr>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1</w:t>
            </w:r>
          </w:p>
        </w:tc>
        <w:tc>
          <w:tcPr>
            <w:tcW w:w="1976" w:type="pct"/>
            <w:vAlign w:val="center"/>
          </w:tcPr>
          <w:p w14:paraId="304126FE">
            <w:pPr>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城镇居民人均住房建筑面积</w:t>
            </w:r>
          </w:p>
        </w:tc>
        <w:tc>
          <w:tcPr>
            <w:tcW w:w="959" w:type="pct"/>
            <w:vAlign w:val="center"/>
          </w:tcPr>
          <w:p w14:paraId="4E81AD19">
            <w:pPr>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平方米</w:t>
            </w:r>
          </w:p>
        </w:tc>
        <w:tc>
          <w:tcPr>
            <w:tcW w:w="972" w:type="pct"/>
            <w:vAlign w:val="center"/>
          </w:tcPr>
          <w:p w14:paraId="5FDA7537">
            <w:pPr>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4</w:t>
            </w:r>
            <w:r>
              <w:rPr>
                <w:rFonts w:hint="eastAsia" w:ascii="Times New Roman" w:hAnsi="Times New Roman" w:eastAsia="仿宋_GB2312" w:cs="Times New Roman"/>
                <w:color w:val="000000"/>
                <w:kern w:val="0"/>
                <w:sz w:val="24"/>
              </w:rPr>
              <w:t>2</w:t>
            </w:r>
          </w:p>
        </w:tc>
        <w:tc>
          <w:tcPr>
            <w:tcW w:w="759" w:type="pct"/>
            <w:vAlign w:val="center"/>
          </w:tcPr>
          <w:p w14:paraId="5ACFB6B7">
            <w:pPr>
              <w:jc w:val="center"/>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rPr>
              <w:t>预期性</w:t>
            </w:r>
          </w:p>
        </w:tc>
      </w:tr>
      <w:tr w14:paraId="658F0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 w:type="pct"/>
            <w:vAlign w:val="center"/>
          </w:tcPr>
          <w:p w14:paraId="65139E21">
            <w:pPr>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2</w:t>
            </w:r>
          </w:p>
        </w:tc>
        <w:tc>
          <w:tcPr>
            <w:tcW w:w="1976" w:type="pct"/>
            <w:vAlign w:val="center"/>
          </w:tcPr>
          <w:p w14:paraId="3CA6489B">
            <w:pPr>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人均间数</w:t>
            </w:r>
          </w:p>
        </w:tc>
        <w:tc>
          <w:tcPr>
            <w:tcW w:w="959" w:type="pct"/>
            <w:vAlign w:val="center"/>
          </w:tcPr>
          <w:p w14:paraId="523C3C5F">
            <w:pPr>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间</w:t>
            </w:r>
          </w:p>
        </w:tc>
        <w:tc>
          <w:tcPr>
            <w:tcW w:w="972" w:type="pct"/>
            <w:vAlign w:val="center"/>
          </w:tcPr>
          <w:p w14:paraId="6BE4EF16">
            <w:pPr>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1</w:t>
            </w:r>
          </w:p>
        </w:tc>
        <w:tc>
          <w:tcPr>
            <w:tcW w:w="759" w:type="pct"/>
            <w:vAlign w:val="center"/>
          </w:tcPr>
          <w:p w14:paraId="48B51262">
            <w:pPr>
              <w:jc w:val="center"/>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rPr>
              <w:t>预期性</w:t>
            </w:r>
          </w:p>
        </w:tc>
      </w:tr>
      <w:tr w14:paraId="2CF3A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 w:type="pct"/>
            <w:vAlign w:val="center"/>
          </w:tcPr>
          <w:p w14:paraId="3B5739D4">
            <w:pPr>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3</w:t>
            </w:r>
          </w:p>
        </w:tc>
        <w:tc>
          <w:tcPr>
            <w:tcW w:w="1976" w:type="pct"/>
            <w:vAlign w:val="center"/>
          </w:tcPr>
          <w:p w14:paraId="1C5254E8">
            <w:pPr>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新增住房规模</w:t>
            </w:r>
          </w:p>
        </w:tc>
        <w:tc>
          <w:tcPr>
            <w:tcW w:w="959" w:type="pct"/>
            <w:vAlign w:val="center"/>
          </w:tcPr>
          <w:p w14:paraId="1D90086C">
            <w:pPr>
              <w:jc w:val="center"/>
              <w:rPr>
                <w:rFonts w:hint="default" w:ascii="Times New Roman" w:hAnsi="Times New Roman" w:eastAsia="仿宋_GB2312" w:cs="Times New Roman"/>
                <w:color w:val="000000"/>
                <w:kern w:val="0"/>
                <w:sz w:val="24"/>
                <w:lang w:val="en-US" w:eastAsia="zh-CN"/>
              </w:rPr>
            </w:pPr>
            <w:r>
              <w:rPr>
                <w:rFonts w:ascii="Times New Roman" w:hAnsi="Times New Roman" w:eastAsia="仿宋_GB2312" w:cs="Times New Roman"/>
                <w:color w:val="000000"/>
                <w:kern w:val="0"/>
                <w:sz w:val="24"/>
              </w:rPr>
              <w:t>万套</w:t>
            </w:r>
            <w:r>
              <w:rPr>
                <w:rFonts w:hint="eastAsia" w:ascii="Times New Roman" w:hAnsi="Times New Roman" w:eastAsia="仿宋_GB2312" w:cs="Times New Roman"/>
                <w:color w:val="000000"/>
                <w:kern w:val="0"/>
                <w:sz w:val="24"/>
                <w:lang w:eastAsia="zh-CN"/>
              </w:rPr>
              <w:t>、</w:t>
            </w:r>
            <w:r>
              <w:rPr>
                <w:rFonts w:hint="eastAsia" w:ascii="Times New Roman" w:hAnsi="Times New Roman" w:eastAsia="仿宋_GB2312" w:cs="Times New Roman"/>
                <w:color w:val="000000"/>
                <w:kern w:val="0"/>
                <w:sz w:val="24"/>
                <w:lang w:val="en-US" w:eastAsia="zh-CN"/>
              </w:rPr>
              <w:t>间</w:t>
            </w:r>
          </w:p>
        </w:tc>
        <w:tc>
          <w:tcPr>
            <w:tcW w:w="972" w:type="pct"/>
            <w:vAlign w:val="center"/>
          </w:tcPr>
          <w:p w14:paraId="399FDD4B">
            <w:pPr>
              <w:jc w:val="center"/>
              <w:rPr>
                <w:rFonts w:hint="default" w:ascii="Times New Roman" w:hAnsi="Times New Roman" w:eastAsia="仿宋_GB2312" w:cs="Times New Roman"/>
                <w:color w:val="000000"/>
                <w:kern w:val="0"/>
                <w:sz w:val="24"/>
                <w:lang w:val="en-US" w:eastAsia="zh-CN"/>
              </w:rPr>
            </w:pPr>
            <w:r>
              <w:rPr>
                <w:rFonts w:hint="eastAsia" w:ascii="Times New Roman" w:hAnsi="Times New Roman" w:eastAsia="仿宋_GB2312" w:cs="Times New Roman"/>
                <w:color w:val="000000"/>
                <w:kern w:val="0"/>
                <w:sz w:val="24"/>
                <w:lang w:val="en-US" w:eastAsia="zh-CN"/>
              </w:rPr>
              <w:t>5.45</w:t>
            </w:r>
          </w:p>
        </w:tc>
        <w:tc>
          <w:tcPr>
            <w:tcW w:w="759" w:type="pct"/>
            <w:vAlign w:val="center"/>
          </w:tcPr>
          <w:p w14:paraId="44F959B7">
            <w:pPr>
              <w:jc w:val="center"/>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rPr>
              <w:t>预期性</w:t>
            </w:r>
          </w:p>
        </w:tc>
      </w:tr>
      <w:tr w14:paraId="1BD76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 w:type="pct"/>
            <w:vAlign w:val="center"/>
          </w:tcPr>
          <w:p w14:paraId="1A9A1372">
            <w:pPr>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4</w:t>
            </w:r>
          </w:p>
        </w:tc>
        <w:tc>
          <w:tcPr>
            <w:tcW w:w="1976" w:type="pct"/>
            <w:vAlign w:val="center"/>
          </w:tcPr>
          <w:p w14:paraId="23E8AACC">
            <w:pPr>
              <w:jc w:val="center"/>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lang w:eastAsia="zh-CN"/>
              </w:rPr>
              <w:t>商品住房</w:t>
            </w:r>
            <w:r>
              <w:rPr>
                <w:rFonts w:ascii="Times New Roman" w:hAnsi="Times New Roman" w:eastAsia="仿宋_GB2312" w:cs="Times New Roman"/>
                <w:color w:val="000000"/>
                <w:kern w:val="0"/>
                <w:sz w:val="24"/>
              </w:rPr>
              <w:t>去化周期</w:t>
            </w:r>
          </w:p>
        </w:tc>
        <w:tc>
          <w:tcPr>
            <w:tcW w:w="959" w:type="pct"/>
            <w:vAlign w:val="center"/>
          </w:tcPr>
          <w:p w14:paraId="2FED184C">
            <w:pPr>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月</w:t>
            </w:r>
          </w:p>
        </w:tc>
        <w:tc>
          <w:tcPr>
            <w:tcW w:w="972" w:type="pct"/>
            <w:vAlign w:val="center"/>
          </w:tcPr>
          <w:p w14:paraId="35C9DA53">
            <w:pPr>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12-18</w:t>
            </w:r>
          </w:p>
        </w:tc>
        <w:tc>
          <w:tcPr>
            <w:tcW w:w="759" w:type="pct"/>
            <w:vAlign w:val="center"/>
          </w:tcPr>
          <w:p w14:paraId="1BC97D45">
            <w:pPr>
              <w:jc w:val="center"/>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rPr>
              <w:t>预期性</w:t>
            </w:r>
          </w:p>
        </w:tc>
      </w:tr>
      <w:tr w14:paraId="77C53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 w:type="pct"/>
            <w:vAlign w:val="center"/>
          </w:tcPr>
          <w:p w14:paraId="32C07572">
            <w:pPr>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5</w:t>
            </w:r>
          </w:p>
        </w:tc>
        <w:tc>
          <w:tcPr>
            <w:tcW w:w="1976" w:type="pct"/>
            <w:vAlign w:val="center"/>
          </w:tcPr>
          <w:p w14:paraId="1C666B03">
            <w:pPr>
              <w:pStyle w:val="24"/>
              <w:widowControl/>
              <w:spacing w:beforeAutospacing="0" w:afterAutospacing="0"/>
              <w:jc w:val="center"/>
              <w:rPr>
                <w:rFonts w:ascii="Times New Roman" w:hAnsi="Times New Roman" w:eastAsia="仿宋_GB2312"/>
              </w:rPr>
            </w:pPr>
            <w:r>
              <w:rPr>
                <w:rFonts w:ascii="Times New Roman" w:hAnsi="Times New Roman" w:eastAsia="仿宋_GB2312"/>
                <w:color w:val="000000"/>
              </w:rPr>
              <w:t>新建商品住房批准预（销）售套数</w:t>
            </w:r>
          </w:p>
        </w:tc>
        <w:tc>
          <w:tcPr>
            <w:tcW w:w="959" w:type="pct"/>
            <w:vAlign w:val="center"/>
          </w:tcPr>
          <w:p w14:paraId="20240857">
            <w:pPr>
              <w:pStyle w:val="24"/>
              <w:widowControl/>
              <w:spacing w:beforeAutospacing="0" w:afterAutospacing="0"/>
              <w:jc w:val="center"/>
              <w:rPr>
                <w:rFonts w:ascii="Times New Roman" w:hAnsi="Times New Roman" w:eastAsia="仿宋_GB2312"/>
              </w:rPr>
            </w:pPr>
            <w:r>
              <w:rPr>
                <w:rFonts w:ascii="Times New Roman" w:hAnsi="Times New Roman" w:eastAsia="仿宋_GB2312"/>
                <w:color w:val="000000"/>
              </w:rPr>
              <w:t>万套</w:t>
            </w:r>
          </w:p>
        </w:tc>
        <w:tc>
          <w:tcPr>
            <w:tcW w:w="972" w:type="pct"/>
            <w:vAlign w:val="center"/>
          </w:tcPr>
          <w:p w14:paraId="2160B891">
            <w:pPr>
              <w:pStyle w:val="24"/>
              <w:widowControl/>
              <w:spacing w:beforeAutospacing="0" w:afterAutospacing="0"/>
              <w:jc w:val="center"/>
              <w:rPr>
                <w:rFonts w:ascii="Times New Roman" w:hAnsi="Times New Roman" w:eastAsia="仿宋_GB2312"/>
                <w:color w:val="000000"/>
              </w:rPr>
            </w:pPr>
            <w:r>
              <w:rPr>
                <w:rFonts w:hint="eastAsia" w:ascii="Times New Roman" w:hAnsi="Times New Roman" w:eastAsia="仿宋_GB2312"/>
                <w:color w:val="000000"/>
              </w:rPr>
              <w:t>5.25</w:t>
            </w:r>
          </w:p>
        </w:tc>
        <w:tc>
          <w:tcPr>
            <w:tcW w:w="759" w:type="pct"/>
            <w:vAlign w:val="center"/>
          </w:tcPr>
          <w:p w14:paraId="169546AE">
            <w:pPr>
              <w:widowControl/>
              <w:jc w:val="center"/>
              <w:rPr>
                <w:rFonts w:ascii="Times New Roman" w:hAnsi="Times New Roman" w:eastAsia="仿宋_GB2312"/>
                <w:color w:val="000000"/>
              </w:rPr>
            </w:pPr>
            <w:r>
              <w:rPr>
                <w:rFonts w:hint="eastAsia" w:ascii="Times New Roman" w:hAnsi="Times New Roman" w:eastAsia="仿宋_GB2312" w:cs="Times New Roman"/>
                <w:color w:val="000000"/>
                <w:kern w:val="0"/>
                <w:sz w:val="24"/>
              </w:rPr>
              <w:t>预期性</w:t>
            </w:r>
          </w:p>
        </w:tc>
      </w:tr>
      <w:tr w14:paraId="24C2B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332" w:type="pct"/>
            <w:vAlign w:val="center"/>
          </w:tcPr>
          <w:p w14:paraId="63D951BA">
            <w:pPr>
              <w:jc w:val="center"/>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rPr>
              <w:t>6</w:t>
            </w:r>
          </w:p>
        </w:tc>
        <w:tc>
          <w:tcPr>
            <w:tcW w:w="1976" w:type="pct"/>
            <w:vAlign w:val="center"/>
          </w:tcPr>
          <w:p w14:paraId="232143C9">
            <w:pPr>
              <w:pStyle w:val="24"/>
              <w:widowControl/>
              <w:spacing w:beforeAutospacing="0" w:afterAutospacing="0"/>
              <w:jc w:val="center"/>
              <w:rPr>
                <w:rFonts w:ascii="Times New Roman" w:hAnsi="Times New Roman" w:eastAsia="仿宋_GB2312"/>
              </w:rPr>
            </w:pPr>
            <w:r>
              <w:rPr>
                <w:rFonts w:ascii="Times New Roman" w:hAnsi="Times New Roman" w:eastAsia="仿宋_GB2312"/>
                <w:color w:val="000000"/>
              </w:rPr>
              <w:t>新增供应</w:t>
            </w:r>
            <w:r>
              <w:rPr>
                <w:rFonts w:hint="eastAsia" w:ascii="Times New Roman" w:hAnsi="Times New Roman" w:eastAsia="仿宋_GB2312"/>
                <w:color w:val="000000"/>
                <w:lang w:eastAsia="zh-CN"/>
              </w:rPr>
              <w:t>居住用地</w:t>
            </w:r>
            <w:r>
              <w:rPr>
                <w:rFonts w:ascii="Times New Roman" w:hAnsi="Times New Roman" w:eastAsia="仿宋_GB2312"/>
                <w:color w:val="000000"/>
              </w:rPr>
              <w:t>建设商品住房套数</w:t>
            </w:r>
          </w:p>
        </w:tc>
        <w:tc>
          <w:tcPr>
            <w:tcW w:w="959" w:type="pct"/>
            <w:vAlign w:val="center"/>
          </w:tcPr>
          <w:p w14:paraId="4E32291F">
            <w:pPr>
              <w:pStyle w:val="24"/>
              <w:widowControl/>
              <w:spacing w:beforeAutospacing="0" w:afterAutospacing="0"/>
              <w:jc w:val="center"/>
              <w:rPr>
                <w:rFonts w:ascii="Times New Roman" w:hAnsi="Times New Roman" w:eastAsia="仿宋_GB2312"/>
              </w:rPr>
            </w:pPr>
            <w:r>
              <w:rPr>
                <w:rFonts w:ascii="Times New Roman" w:hAnsi="Times New Roman" w:eastAsia="仿宋_GB2312"/>
                <w:color w:val="000000"/>
              </w:rPr>
              <w:t>万套</w:t>
            </w:r>
          </w:p>
        </w:tc>
        <w:tc>
          <w:tcPr>
            <w:tcW w:w="972" w:type="pct"/>
            <w:vAlign w:val="center"/>
          </w:tcPr>
          <w:p w14:paraId="75605F74">
            <w:pPr>
              <w:pStyle w:val="24"/>
              <w:widowControl/>
              <w:spacing w:beforeAutospacing="0" w:afterAutospacing="0"/>
              <w:jc w:val="center"/>
              <w:rPr>
                <w:rFonts w:ascii="Times New Roman" w:hAnsi="Times New Roman" w:eastAsia="仿宋_GB2312"/>
                <w:color w:val="000000"/>
              </w:rPr>
            </w:pPr>
            <w:r>
              <w:rPr>
                <w:rFonts w:hint="eastAsia" w:ascii="Times New Roman" w:hAnsi="Times New Roman" w:eastAsia="仿宋_GB2312"/>
                <w:color w:val="000000"/>
              </w:rPr>
              <w:t>3.36</w:t>
            </w:r>
          </w:p>
        </w:tc>
        <w:tc>
          <w:tcPr>
            <w:tcW w:w="759" w:type="pct"/>
            <w:vAlign w:val="center"/>
          </w:tcPr>
          <w:p w14:paraId="0D3AD324">
            <w:pPr>
              <w:jc w:val="center"/>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rPr>
              <w:t>预期性</w:t>
            </w:r>
          </w:p>
        </w:tc>
      </w:tr>
      <w:tr w14:paraId="20ACE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 w:type="pct"/>
            <w:vAlign w:val="center"/>
          </w:tcPr>
          <w:p w14:paraId="5C361389">
            <w:pPr>
              <w:jc w:val="center"/>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rPr>
              <w:t>7</w:t>
            </w:r>
          </w:p>
        </w:tc>
        <w:tc>
          <w:tcPr>
            <w:tcW w:w="1976" w:type="pct"/>
            <w:vAlign w:val="center"/>
          </w:tcPr>
          <w:p w14:paraId="2198550D">
            <w:pPr>
              <w:pStyle w:val="24"/>
              <w:widowControl/>
              <w:spacing w:beforeAutospacing="0" w:afterAutospacing="0"/>
              <w:jc w:val="center"/>
              <w:rPr>
                <w:rFonts w:ascii="Times New Roman" w:hAnsi="Times New Roman" w:eastAsia="仿宋_GB2312"/>
              </w:rPr>
            </w:pPr>
            <w:r>
              <w:rPr>
                <w:rFonts w:ascii="Times New Roman" w:hAnsi="Times New Roman" w:eastAsia="仿宋_GB2312"/>
                <w:color w:val="000000"/>
              </w:rPr>
              <w:t>利用存量土地和房源供应商品住房套数</w:t>
            </w:r>
          </w:p>
        </w:tc>
        <w:tc>
          <w:tcPr>
            <w:tcW w:w="959" w:type="pct"/>
            <w:vAlign w:val="center"/>
          </w:tcPr>
          <w:p w14:paraId="6C0384E0">
            <w:pPr>
              <w:pStyle w:val="24"/>
              <w:widowControl/>
              <w:spacing w:beforeAutospacing="0" w:afterAutospacing="0"/>
              <w:jc w:val="center"/>
              <w:rPr>
                <w:rFonts w:ascii="Times New Roman" w:hAnsi="Times New Roman" w:eastAsia="仿宋_GB2312"/>
              </w:rPr>
            </w:pPr>
            <w:r>
              <w:rPr>
                <w:rFonts w:ascii="Times New Roman" w:hAnsi="Times New Roman" w:eastAsia="仿宋_GB2312"/>
                <w:color w:val="000000"/>
              </w:rPr>
              <w:t>万套</w:t>
            </w:r>
          </w:p>
        </w:tc>
        <w:tc>
          <w:tcPr>
            <w:tcW w:w="972" w:type="pct"/>
            <w:vAlign w:val="center"/>
          </w:tcPr>
          <w:p w14:paraId="5E0D6535">
            <w:pPr>
              <w:pStyle w:val="24"/>
              <w:widowControl/>
              <w:spacing w:beforeAutospacing="0" w:afterAutospacing="0"/>
              <w:jc w:val="center"/>
              <w:rPr>
                <w:rFonts w:ascii="Times New Roman" w:hAnsi="Times New Roman" w:eastAsia="仿宋_GB2312"/>
                <w:color w:val="000000"/>
              </w:rPr>
            </w:pPr>
            <w:r>
              <w:rPr>
                <w:rFonts w:hint="eastAsia" w:ascii="Times New Roman" w:hAnsi="Times New Roman" w:eastAsia="仿宋_GB2312"/>
                <w:color w:val="000000"/>
              </w:rPr>
              <w:t>1.89</w:t>
            </w:r>
          </w:p>
        </w:tc>
        <w:tc>
          <w:tcPr>
            <w:tcW w:w="759" w:type="pct"/>
            <w:vAlign w:val="center"/>
          </w:tcPr>
          <w:p w14:paraId="42F08862">
            <w:pPr>
              <w:jc w:val="center"/>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rPr>
              <w:t>预期性</w:t>
            </w:r>
          </w:p>
        </w:tc>
      </w:tr>
      <w:tr w14:paraId="08008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 w:type="pct"/>
            <w:vAlign w:val="center"/>
          </w:tcPr>
          <w:p w14:paraId="234789CA">
            <w:pPr>
              <w:jc w:val="center"/>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rPr>
              <w:t>8</w:t>
            </w:r>
          </w:p>
        </w:tc>
        <w:tc>
          <w:tcPr>
            <w:tcW w:w="1976" w:type="pct"/>
            <w:vAlign w:val="center"/>
          </w:tcPr>
          <w:p w14:paraId="0A7DC954">
            <w:pPr>
              <w:pStyle w:val="24"/>
              <w:widowControl/>
              <w:spacing w:beforeAutospacing="0" w:afterAutospacing="0"/>
              <w:jc w:val="center"/>
              <w:rPr>
                <w:rFonts w:ascii="Times New Roman" w:hAnsi="Times New Roman" w:eastAsia="仿宋_GB2312"/>
              </w:rPr>
            </w:pPr>
            <w:r>
              <w:rPr>
                <w:rFonts w:ascii="Times New Roman" w:hAnsi="Times New Roman" w:eastAsia="仿宋_GB2312"/>
                <w:color w:val="000000"/>
              </w:rPr>
              <w:t>住房公积金新开户缴存人数</w:t>
            </w:r>
          </w:p>
        </w:tc>
        <w:tc>
          <w:tcPr>
            <w:tcW w:w="959" w:type="pct"/>
            <w:vAlign w:val="center"/>
          </w:tcPr>
          <w:p w14:paraId="16A13ECF">
            <w:pPr>
              <w:pStyle w:val="24"/>
              <w:widowControl/>
              <w:spacing w:beforeAutospacing="0" w:afterAutospacing="0"/>
              <w:jc w:val="center"/>
              <w:rPr>
                <w:rFonts w:ascii="Times New Roman" w:hAnsi="Times New Roman" w:eastAsia="仿宋_GB2312"/>
              </w:rPr>
            </w:pPr>
            <w:r>
              <w:rPr>
                <w:rFonts w:ascii="Times New Roman" w:hAnsi="Times New Roman" w:eastAsia="仿宋_GB2312"/>
                <w:color w:val="000000"/>
              </w:rPr>
              <w:t>万人</w:t>
            </w:r>
          </w:p>
        </w:tc>
        <w:tc>
          <w:tcPr>
            <w:tcW w:w="972" w:type="pct"/>
            <w:vAlign w:val="center"/>
          </w:tcPr>
          <w:p w14:paraId="42F353E1">
            <w:pPr>
              <w:pStyle w:val="24"/>
              <w:widowControl/>
              <w:spacing w:beforeAutospacing="0" w:afterAutospacing="0"/>
              <w:jc w:val="center"/>
              <w:rPr>
                <w:rFonts w:ascii="Times New Roman" w:hAnsi="Times New Roman" w:eastAsia="仿宋_GB2312"/>
                <w:color w:val="000000"/>
              </w:rPr>
            </w:pPr>
            <w:r>
              <w:rPr>
                <w:rFonts w:ascii="Times New Roman" w:hAnsi="Times New Roman" w:eastAsia="仿宋_GB2312"/>
                <w:color w:val="000000"/>
              </w:rPr>
              <w:t>6</w:t>
            </w:r>
          </w:p>
        </w:tc>
        <w:tc>
          <w:tcPr>
            <w:tcW w:w="759" w:type="pct"/>
            <w:vAlign w:val="center"/>
          </w:tcPr>
          <w:p w14:paraId="0BE5BFEC">
            <w:pPr>
              <w:jc w:val="center"/>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rPr>
              <w:t>预期性</w:t>
            </w:r>
          </w:p>
        </w:tc>
      </w:tr>
      <w:tr w14:paraId="71BE3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 w:type="pct"/>
            <w:vAlign w:val="center"/>
          </w:tcPr>
          <w:p w14:paraId="17D8465D">
            <w:pPr>
              <w:jc w:val="center"/>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rPr>
              <w:t>9</w:t>
            </w:r>
          </w:p>
        </w:tc>
        <w:tc>
          <w:tcPr>
            <w:tcW w:w="1976" w:type="pct"/>
            <w:vAlign w:val="center"/>
          </w:tcPr>
          <w:p w14:paraId="5F102A5C">
            <w:pPr>
              <w:pStyle w:val="24"/>
              <w:widowControl/>
              <w:spacing w:beforeAutospacing="0" w:afterAutospacing="0"/>
              <w:jc w:val="center"/>
              <w:rPr>
                <w:rFonts w:ascii="Times New Roman" w:hAnsi="Times New Roman" w:eastAsia="仿宋_GB2312"/>
              </w:rPr>
            </w:pPr>
            <w:r>
              <w:rPr>
                <w:rFonts w:ascii="Times New Roman" w:hAnsi="Times New Roman" w:eastAsia="仿宋_GB2312"/>
                <w:color w:val="000000"/>
              </w:rPr>
              <w:t>新增供应商品</w:t>
            </w:r>
            <w:r>
              <w:rPr>
                <w:rFonts w:hint="eastAsia" w:ascii="Times New Roman" w:hAnsi="Times New Roman" w:eastAsia="仿宋_GB2312"/>
                <w:color w:val="000000"/>
                <w:lang w:eastAsia="zh-CN"/>
              </w:rPr>
              <w:t>居住用地</w:t>
            </w:r>
            <w:r>
              <w:rPr>
                <w:rFonts w:ascii="Times New Roman" w:hAnsi="Times New Roman" w:eastAsia="仿宋_GB2312"/>
                <w:color w:val="000000"/>
              </w:rPr>
              <w:t>面积</w:t>
            </w:r>
          </w:p>
        </w:tc>
        <w:tc>
          <w:tcPr>
            <w:tcW w:w="959" w:type="pct"/>
            <w:vAlign w:val="center"/>
          </w:tcPr>
          <w:p w14:paraId="0A35FDB1">
            <w:pPr>
              <w:pStyle w:val="24"/>
              <w:widowControl/>
              <w:spacing w:beforeAutospacing="0" w:afterAutospacing="0"/>
              <w:jc w:val="center"/>
              <w:rPr>
                <w:rFonts w:ascii="Times New Roman" w:hAnsi="Times New Roman" w:eastAsia="仿宋_GB2312"/>
              </w:rPr>
            </w:pPr>
            <w:r>
              <w:rPr>
                <w:rFonts w:ascii="Times New Roman" w:hAnsi="Times New Roman" w:eastAsia="仿宋_GB2312"/>
                <w:color w:val="000000"/>
              </w:rPr>
              <w:t>公顷</w:t>
            </w:r>
          </w:p>
        </w:tc>
        <w:tc>
          <w:tcPr>
            <w:tcW w:w="972" w:type="pct"/>
            <w:vAlign w:val="center"/>
          </w:tcPr>
          <w:p w14:paraId="545222DA">
            <w:pPr>
              <w:pStyle w:val="24"/>
              <w:widowControl/>
              <w:spacing w:beforeAutospacing="0" w:afterAutospacing="0"/>
              <w:jc w:val="center"/>
              <w:rPr>
                <w:rFonts w:ascii="Times New Roman" w:hAnsi="Times New Roman" w:eastAsia="仿宋_GB2312"/>
                <w:color w:val="000000"/>
              </w:rPr>
            </w:pPr>
            <w:r>
              <w:rPr>
                <w:rFonts w:hint="eastAsia" w:ascii="Times New Roman" w:hAnsi="Times New Roman" w:eastAsia="仿宋_GB2312"/>
                <w:color w:val="000000"/>
              </w:rPr>
              <w:t>188.4</w:t>
            </w:r>
          </w:p>
        </w:tc>
        <w:tc>
          <w:tcPr>
            <w:tcW w:w="759" w:type="pct"/>
            <w:vAlign w:val="center"/>
          </w:tcPr>
          <w:p w14:paraId="6E0FDDD5">
            <w:pPr>
              <w:jc w:val="center"/>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rPr>
              <w:t>预期性</w:t>
            </w:r>
          </w:p>
        </w:tc>
      </w:tr>
      <w:tr w14:paraId="7F90A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 w:type="pct"/>
            <w:vAlign w:val="center"/>
          </w:tcPr>
          <w:p w14:paraId="2844B1D7">
            <w:pPr>
              <w:jc w:val="center"/>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rPr>
              <w:t>10</w:t>
            </w:r>
          </w:p>
        </w:tc>
        <w:tc>
          <w:tcPr>
            <w:tcW w:w="1976" w:type="pct"/>
            <w:vAlign w:val="center"/>
          </w:tcPr>
          <w:p w14:paraId="6E675B58">
            <w:pPr>
              <w:pStyle w:val="24"/>
              <w:widowControl/>
              <w:spacing w:beforeAutospacing="0" w:afterAutospacing="0"/>
              <w:jc w:val="center"/>
              <w:rPr>
                <w:rFonts w:ascii="Times New Roman" w:hAnsi="Times New Roman" w:eastAsia="仿宋_GB2312"/>
                <w:color w:val="000000"/>
              </w:rPr>
            </w:pPr>
            <w:r>
              <w:rPr>
                <w:rFonts w:ascii="Times New Roman" w:hAnsi="Times New Roman" w:eastAsia="仿宋_GB2312"/>
                <w:szCs w:val="24"/>
              </w:rPr>
              <w:t>公共租赁住房</w:t>
            </w:r>
            <w:r>
              <w:rPr>
                <w:rFonts w:hint="eastAsia" w:ascii="Times New Roman" w:hAnsi="Times New Roman" w:eastAsia="仿宋_GB2312"/>
                <w:szCs w:val="24"/>
              </w:rPr>
              <w:t>供应</w:t>
            </w:r>
            <w:r>
              <w:rPr>
                <w:rFonts w:ascii="Times New Roman" w:hAnsi="Times New Roman" w:eastAsia="仿宋_GB2312"/>
                <w:szCs w:val="24"/>
              </w:rPr>
              <w:t>套数</w:t>
            </w:r>
          </w:p>
        </w:tc>
        <w:tc>
          <w:tcPr>
            <w:tcW w:w="959" w:type="pct"/>
            <w:vAlign w:val="center"/>
          </w:tcPr>
          <w:p w14:paraId="0E2841CC">
            <w:pPr>
              <w:pStyle w:val="24"/>
              <w:widowControl/>
              <w:spacing w:beforeAutospacing="0" w:afterAutospacing="0"/>
              <w:jc w:val="center"/>
              <w:rPr>
                <w:rFonts w:ascii="Times New Roman" w:hAnsi="Times New Roman" w:eastAsia="仿宋_GB2312"/>
                <w:color w:val="000000"/>
              </w:rPr>
            </w:pPr>
            <w:r>
              <w:rPr>
                <w:rFonts w:hint="eastAsia" w:ascii="Times New Roman" w:hAnsi="Times New Roman" w:eastAsia="仿宋_GB2312"/>
                <w:color w:val="000000"/>
              </w:rPr>
              <w:t>套</w:t>
            </w:r>
          </w:p>
        </w:tc>
        <w:tc>
          <w:tcPr>
            <w:tcW w:w="972" w:type="pct"/>
            <w:vAlign w:val="center"/>
          </w:tcPr>
          <w:p w14:paraId="3970E848">
            <w:pPr>
              <w:pStyle w:val="24"/>
              <w:widowControl/>
              <w:spacing w:beforeAutospacing="0" w:afterAutospacing="0"/>
              <w:jc w:val="center"/>
              <w:rPr>
                <w:rFonts w:hint="default" w:ascii="Times New Roman" w:hAnsi="Times New Roman" w:eastAsia="仿宋_GB2312"/>
                <w:color w:val="000000"/>
                <w:lang w:val="en-US" w:eastAsia="zh-CN"/>
              </w:rPr>
            </w:pPr>
            <w:r>
              <w:rPr>
                <w:rFonts w:hint="eastAsia" w:ascii="Times New Roman" w:hAnsi="Times New Roman" w:eastAsia="仿宋_GB2312"/>
                <w:color w:val="000000"/>
                <w:lang w:val="en-US" w:eastAsia="zh-CN"/>
              </w:rPr>
              <w:t>100</w:t>
            </w:r>
          </w:p>
        </w:tc>
        <w:tc>
          <w:tcPr>
            <w:tcW w:w="759" w:type="pct"/>
            <w:vAlign w:val="center"/>
          </w:tcPr>
          <w:p w14:paraId="3B8BDC56">
            <w:pPr>
              <w:widowControl/>
              <w:jc w:val="center"/>
              <w:rPr>
                <w:rFonts w:ascii="Times New Roman" w:hAnsi="Times New Roman" w:eastAsia="仿宋_GB2312"/>
                <w:color w:val="000000"/>
              </w:rPr>
            </w:pPr>
            <w:r>
              <w:rPr>
                <w:rFonts w:hint="eastAsia" w:ascii="Times New Roman" w:hAnsi="Times New Roman" w:eastAsia="仿宋_GB2312" w:cs="Times New Roman"/>
                <w:color w:val="000000"/>
                <w:kern w:val="0"/>
                <w:sz w:val="24"/>
              </w:rPr>
              <w:t>预期性</w:t>
            </w:r>
          </w:p>
        </w:tc>
      </w:tr>
      <w:tr w14:paraId="78F20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 w:type="pct"/>
            <w:vAlign w:val="center"/>
          </w:tcPr>
          <w:p w14:paraId="6AB0A7F0">
            <w:pPr>
              <w:jc w:val="center"/>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rPr>
              <w:t>11</w:t>
            </w:r>
          </w:p>
        </w:tc>
        <w:tc>
          <w:tcPr>
            <w:tcW w:w="1976" w:type="pct"/>
            <w:vAlign w:val="center"/>
          </w:tcPr>
          <w:p w14:paraId="16279535">
            <w:pPr>
              <w:pStyle w:val="24"/>
              <w:widowControl/>
              <w:spacing w:beforeAutospacing="0" w:afterAutospacing="0"/>
              <w:jc w:val="center"/>
              <w:rPr>
                <w:rFonts w:ascii="Times New Roman" w:hAnsi="Times New Roman" w:eastAsia="仿宋_GB2312"/>
                <w:szCs w:val="24"/>
              </w:rPr>
            </w:pPr>
            <w:r>
              <w:rPr>
                <w:rFonts w:hint="eastAsia" w:ascii="Times New Roman" w:hAnsi="Times New Roman" w:eastAsia="仿宋_GB2312"/>
                <w:szCs w:val="24"/>
              </w:rPr>
              <w:t>新增发放租赁补贴户数</w:t>
            </w:r>
          </w:p>
        </w:tc>
        <w:tc>
          <w:tcPr>
            <w:tcW w:w="959" w:type="pct"/>
            <w:vAlign w:val="center"/>
          </w:tcPr>
          <w:p w14:paraId="0793BEC4">
            <w:pPr>
              <w:pStyle w:val="24"/>
              <w:widowControl/>
              <w:spacing w:beforeAutospacing="0" w:afterAutospacing="0"/>
              <w:jc w:val="center"/>
              <w:rPr>
                <w:rFonts w:ascii="Times New Roman" w:hAnsi="Times New Roman" w:eastAsia="仿宋_GB2312"/>
                <w:color w:val="000000"/>
              </w:rPr>
            </w:pPr>
            <w:r>
              <w:rPr>
                <w:rFonts w:hint="eastAsia" w:ascii="Times New Roman" w:hAnsi="Times New Roman" w:eastAsia="仿宋_GB2312"/>
                <w:color w:val="000000"/>
              </w:rPr>
              <w:t>户</w:t>
            </w:r>
          </w:p>
        </w:tc>
        <w:tc>
          <w:tcPr>
            <w:tcW w:w="972" w:type="pct"/>
            <w:vAlign w:val="center"/>
          </w:tcPr>
          <w:p w14:paraId="4A0A14A2">
            <w:pPr>
              <w:pStyle w:val="24"/>
              <w:widowControl/>
              <w:spacing w:beforeAutospacing="0" w:afterAutospacing="0"/>
              <w:jc w:val="center"/>
              <w:rPr>
                <w:rFonts w:ascii="Times New Roman" w:hAnsi="Times New Roman" w:eastAsia="仿宋_GB2312"/>
                <w:color w:val="000000"/>
              </w:rPr>
            </w:pPr>
            <w:r>
              <w:rPr>
                <w:rFonts w:hint="eastAsia" w:ascii="Times New Roman" w:hAnsi="Times New Roman" w:eastAsia="仿宋_GB2312"/>
                <w:color w:val="000000"/>
              </w:rPr>
              <w:t>300</w:t>
            </w:r>
          </w:p>
        </w:tc>
        <w:tc>
          <w:tcPr>
            <w:tcW w:w="759" w:type="pct"/>
            <w:vAlign w:val="center"/>
          </w:tcPr>
          <w:p w14:paraId="7FC663DD">
            <w:pPr>
              <w:widowControl/>
              <w:jc w:val="center"/>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rPr>
              <w:t>预期性</w:t>
            </w:r>
          </w:p>
        </w:tc>
      </w:tr>
      <w:tr w14:paraId="46B95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 w:type="pct"/>
            <w:vAlign w:val="center"/>
          </w:tcPr>
          <w:p w14:paraId="78F8BC1F">
            <w:pPr>
              <w:jc w:val="center"/>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rPr>
              <w:t>12</w:t>
            </w:r>
          </w:p>
        </w:tc>
        <w:tc>
          <w:tcPr>
            <w:tcW w:w="1976" w:type="pct"/>
            <w:vAlign w:val="center"/>
          </w:tcPr>
          <w:p w14:paraId="7955E8C5">
            <w:pPr>
              <w:pStyle w:val="24"/>
              <w:widowControl/>
              <w:spacing w:beforeAutospacing="0" w:afterAutospacing="0"/>
              <w:jc w:val="center"/>
              <w:rPr>
                <w:rFonts w:ascii="Times New Roman" w:hAnsi="Times New Roman" w:eastAsia="仿宋_GB2312"/>
              </w:rPr>
            </w:pPr>
            <w:r>
              <w:rPr>
                <w:rFonts w:ascii="Times New Roman" w:hAnsi="Times New Roman" w:eastAsia="仿宋_GB2312"/>
                <w:szCs w:val="24"/>
              </w:rPr>
              <w:t>新增筹集</w:t>
            </w:r>
            <w:r>
              <w:rPr>
                <w:rFonts w:hint="eastAsia" w:ascii="Times New Roman" w:hAnsi="Times New Roman" w:eastAsia="仿宋_GB2312"/>
                <w:szCs w:val="24"/>
              </w:rPr>
              <w:t>保障性租赁</w:t>
            </w:r>
            <w:r>
              <w:rPr>
                <w:rFonts w:ascii="Times New Roman" w:hAnsi="Times New Roman" w:eastAsia="仿宋_GB2312"/>
                <w:szCs w:val="24"/>
              </w:rPr>
              <w:t>住房套数</w:t>
            </w:r>
          </w:p>
        </w:tc>
        <w:tc>
          <w:tcPr>
            <w:tcW w:w="959" w:type="pct"/>
            <w:vAlign w:val="center"/>
          </w:tcPr>
          <w:p w14:paraId="6FCFC2FA">
            <w:pPr>
              <w:pStyle w:val="24"/>
              <w:widowControl/>
              <w:spacing w:beforeAutospacing="0" w:afterAutospacing="0"/>
              <w:jc w:val="center"/>
              <w:rPr>
                <w:rFonts w:ascii="Times New Roman" w:hAnsi="Times New Roman" w:eastAsia="仿宋_GB2312"/>
              </w:rPr>
            </w:pPr>
            <w:r>
              <w:rPr>
                <w:rFonts w:ascii="Times New Roman" w:hAnsi="Times New Roman" w:eastAsia="仿宋_GB2312"/>
                <w:color w:val="000000"/>
              </w:rPr>
              <w:t>套（间）</w:t>
            </w:r>
          </w:p>
        </w:tc>
        <w:tc>
          <w:tcPr>
            <w:tcW w:w="972" w:type="pct"/>
            <w:vAlign w:val="center"/>
          </w:tcPr>
          <w:p w14:paraId="1077E2F0">
            <w:pPr>
              <w:pStyle w:val="24"/>
              <w:widowControl/>
              <w:spacing w:beforeAutospacing="0" w:afterAutospacing="0"/>
              <w:jc w:val="center"/>
              <w:rPr>
                <w:rFonts w:hint="default" w:ascii="Times New Roman" w:hAnsi="Times New Roman" w:eastAsia="仿宋_GB2312"/>
                <w:color w:val="000000"/>
                <w:lang w:val="en-US" w:eastAsia="zh-CN"/>
              </w:rPr>
            </w:pPr>
            <w:r>
              <w:rPr>
                <w:rFonts w:hint="eastAsia" w:ascii="Times New Roman" w:hAnsi="Times New Roman" w:eastAsia="仿宋_GB2312"/>
                <w:color w:val="000000"/>
                <w:lang w:val="en-US" w:eastAsia="zh-CN"/>
              </w:rPr>
              <w:t>1546</w:t>
            </w:r>
          </w:p>
        </w:tc>
        <w:tc>
          <w:tcPr>
            <w:tcW w:w="759" w:type="pct"/>
            <w:vAlign w:val="center"/>
          </w:tcPr>
          <w:p w14:paraId="6249DD3D">
            <w:pPr>
              <w:jc w:val="center"/>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rPr>
              <w:t>预期性</w:t>
            </w:r>
          </w:p>
        </w:tc>
      </w:tr>
      <w:tr w14:paraId="68C35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332" w:type="pct"/>
            <w:vAlign w:val="center"/>
          </w:tcPr>
          <w:p w14:paraId="4EFF247D">
            <w:pPr>
              <w:jc w:val="center"/>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rPr>
              <w:t>13</w:t>
            </w:r>
          </w:p>
        </w:tc>
        <w:tc>
          <w:tcPr>
            <w:tcW w:w="1976" w:type="pct"/>
            <w:vAlign w:val="center"/>
          </w:tcPr>
          <w:p w14:paraId="2D27A56E">
            <w:pPr>
              <w:pStyle w:val="24"/>
              <w:widowControl/>
              <w:spacing w:beforeAutospacing="0" w:afterAutospacing="0"/>
              <w:jc w:val="center"/>
              <w:rPr>
                <w:rFonts w:ascii="Times New Roman" w:hAnsi="Times New Roman" w:eastAsia="仿宋_GB2312"/>
                <w:color w:val="FF0000"/>
              </w:rPr>
            </w:pPr>
            <w:r>
              <w:rPr>
                <w:rFonts w:hint="eastAsia" w:ascii="Times New Roman" w:hAnsi="Times New Roman" w:eastAsia="仿宋_GB2312"/>
                <w:color w:val="000000"/>
              </w:rPr>
              <w:t>新开工改造</w:t>
            </w:r>
            <w:r>
              <w:rPr>
                <w:rFonts w:ascii="Times New Roman" w:hAnsi="Times New Roman" w:eastAsia="仿宋_GB2312"/>
                <w:color w:val="000000"/>
              </w:rPr>
              <w:t>城镇老旧小区</w:t>
            </w:r>
          </w:p>
        </w:tc>
        <w:tc>
          <w:tcPr>
            <w:tcW w:w="959" w:type="pct"/>
            <w:vAlign w:val="center"/>
          </w:tcPr>
          <w:p w14:paraId="65023484">
            <w:pPr>
              <w:pStyle w:val="24"/>
              <w:widowControl/>
              <w:spacing w:beforeAutospacing="0" w:afterAutospacing="0"/>
              <w:jc w:val="center"/>
              <w:rPr>
                <w:rFonts w:ascii="Times New Roman" w:hAnsi="Times New Roman" w:eastAsia="仿宋_GB2312"/>
                <w:color w:val="FF0000"/>
              </w:rPr>
            </w:pPr>
            <w:r>
              <w:rPr>
                <w:rFonts w:ascii="Times New Roman" w:hAnsi="Times New Roman" w:eastAsia="仿宋_GB2312"/>
                <w:color w:val="000000"/>
              </w:rPr>
              <w:t>个</w:t>
            </w:r>
          </w:p>
        </w:tc>
        <w:tc>
          <w:tcPr>
            <w:tcW w:w="972" w:type="pct"/>
            <w:vAlign w:val="center"/>
          </w:tcPr>
          <w:p w14:paraId="20A597B4">
            <w:pPr>
              <w:pStyle w:val="24"/>
              <w:widowControl/>
              <w:spacing w:beforeAutospacing="0" w:afterAutospacing="0"/>
              <w:jc w:val="center"/>
              <w:rPr>
                <w:rFonts w:ascii="Times New Roman" w:hAnsi="Times New Roman" w:eastAsia="仿宋_GB2312"/>
                <w:color w:val="000000"/>
              </w:rPr>
            </w:pPr>
            <w:r>
              <w:rPr>
                <w:rFonts w:ascii="Times New Roman" w:hAnsi="Times New Roman" w:eastAsia="仿宋_GB2312"/>
                <w:color w:val="212121"/>
              </w:rPr>
              <w:t>132</w:t>
            </w:r>
          </w:p>
        </w:tc>
        <w:tc>
          <w:tcPr>
            <w:tcW w:w="759" w:type="pct"/>
            <w:vAlign w:val="center"/>
          </w:tcPr>
          <w:p w14:paraId="0BB98F83">
            <w:pPr>
              <w:jc w:val="center"/>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rPr>
              <w:t>预期性</w:t>
            </w:r>
          </w:p>
        </w:tc>
      </w:tr>
      <w:tr w14:paraId="7654B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 w:type="pct"/>
            <w:vAlign w:val="center"/>
          </w:tcPr>
          <w:p w14:paraId="287F5107">
            <w:pPr>
              <w:jc w:val="center"/>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rPr>
              <w:t>14</w:t>
            </w:r>
          </w:p>
        </w:tc>
        <w:tc>
          <w:tcPr>
            <w:tcW w:w="1976" w:type="pct"/>
            <w:vAlign w:val="center"/>
          </w:tcPr>
          <w:p w14:paraId="3754479E">
            <w:pPr>
              <w:jc w:val="center"/>
              <w:rPr>
                <w:rFonts w:ascii="Times New Roman" w:hAnsi="Times New Roman" w:eastAsia="仿宋_GB2312"/>
                <w:color w:val="212121"/>
              </w:rPr>
            </w:pPr>
            <w:r>
              <w:rPr>
                <w:rFonts w:hint="eastAsia" w:ascii="Times New Roman" w:hAnsi="Times New Roman" w:eastAsia="仿宋_GB2312" w:cs="Times New Roman"/>
                <w:color w:val="212121"/>
                <w:sz w:val="24"/>
                <w:szCs w:val="24"/>
              </w:rPr>
              <w:t>城市危旧房改造套间数</w:t>
            </w:r>
          </w:p>
        </w:tc>
        <w:tc>
          <w:tcPr>
            <w:tcW w:w="959" w:type="pct"/>
            <w:vAlign w:val="center"/>
          </w:tcPr>
          <w:p w14:paraId="374C5C94">
            <w:pPr>
              <w:jc w:val="center"/>
              <w:rPr>
                <w:rFonts w:ascii="Times New Roman" w:hAnsi="Times New Roman" w:eastAsia="仿宋_GB2312"/>
                <w:color w:val="212121"/>
              </w:rPr>
            </w:pPr>
            <w:r>
              <w:rPr>
                <w:rFonts w:hint="eastAsia" w:ascii="Times New Roman" w:hAnsi="Times New Roman" w:eastAsia="仿宋_GB2312" w:cs="Times New Roman"/>
                <w:color w:val="212121"/>
                <w:sz w:val="24"/>
                <w:szCs w:val="24"/>
              </w:rPr>
              <w:t>间</w:t>
            </w:r>
          </w:p>
        </w:tc>
        <w:tc>
          <w:tcPr>
            <w:tcW w:w="972" w:type="pct"/>
            <w:vAlign w:val="center"/>
          </w:tcPr>
          <w:p w14:paraId="07886DFD">
            <w:pPr>
              <w:pStyle w:val="24"/>
              <w:widowControl/>
              <w:spacing w:beforeAutospacing="0" w:afterAutospacing="0"/>
              <w:jc w:val="center"/>
              <w:rPr>
                <w:rFonts w:hint="default" w:ascii="Times New Roman" w:hAnsi="Times New Roman" w:eastAsia="仿宋_GB2312"/>
                <w:color w:val="212121"/>
                <w:highlight w:val="yellow"/>
                <w:lang w:val="en-US" w:eastAsia="zh-CN"/>
              </w:rPr>
            </w:pPr>
            <w:r>
              <w:rPr>
                <w:rFonts w:hint="eastAsia" w:ascii="Times New Roman" w:hAnsi="Times New Roman" w:eastAsia="仿宋_GB2312"/>
                <w:lang w:val="en-US" w:eastAsia="zh-CN"/>
              </w:rPr>
              <w:t>75</w:t>
            </w:r>
          </w:p>
        </w:tc>
        <w:tc>
          <w:tcPr>
            <w:tcW w:w="759" w:type="pct"/>
            <w:vAlign w:val="center"/>
          </w:tcPr>
          <w:p w14:paraId="17F03CAF">
            <w:pPr>
              <w:jc w:val="center"/>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rPr>
              <w:t>约束性</w:t>
            </w:r>
          </w:p>
        </w:tc>
      </w:tr>
      <w:tr w14:paraId="25B2C5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 w:type="pct"/>
            <w:vAlign w:val="center"/>
          </w:tcPr>
          <w:p w14:paraId="2B8E166C">
            <w:pPr>
              <w:jc w:val="center"/>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rPr>
              <w:t>15</w:t>
            </w:r>
          </w:p>
        </w:tc>
        <w:tc>
          <w:tcPr>
            <w:tcW w:w="1976" w:type="pct"/>
            <w:vAlign w:val="center"/>
          </w:tcPr>
          <w:p w14:paraId="04FEF4A5">
            <w:pPr>
              <w:pStyle w:val="24"/>
              <w:widowControl/>
              <w:spacing w:beforeAutospacing="0" w:afterAutospacing="0"/>
              <w:jc w:val="center"/>
              <w:rPr>
                <w:rFonts w:ascii="Times New Roman" w:hAnsi="Times New Roman" w:eastAsia="仿宋_GB2312"/>
              </w:rPr>
            </w:pPr>
            <w:r>
              <w:rPr>
                <w:rFonts w:ascii="Times New Roman" w:hAnsi="Times New Roman" w:eastAsia="仿宋_GB2312"/>
                <w:color w:val="000000"/>
              </w:rPr>
              <w:t>城镇新建住宅中装配式建筑面积比例</w:t>
            </w:r>
          </w:p>
        </w:tc>
        <w:tc>
          <w:tcPr>
            <w:tcW w:w="959" w:type="pct"/>
            <w:vAlign w:val="center"/>
          </w:tcPr>
          <w:p w14:paraId="43FC1563">
            <w:pPr>
              <w:pStyle w:val="24"/>
              <w:widowControl/>
              <w:spacing w:beforeAutospacing="0" w:afterAutospacing="0"/>
              <w:jc w:val="center"/>
              <w:rPr>
                <w:rFonts w:ascii="Times New Roman" w:hAnsi="Times New Roman" w:eastAsia="仿宋_GB2312"/>
              </w:rPr>
            </w:pPr>
            <w:r>
              <w:rPr>
                <w:rFonts w:ascii="Times New Roman" w:hAnsi="Times New Roman" w:eastAsia="仿宋_GB2312"/>
                <w:color w:val="000000"/>
              </w:rPr>
              <w:t>%</w:t>
            </w:r>
          </w:p>
        </w:tc>
        <w:tc>
          <w:tcPr>
            <w:tcW w:w="972" w:type="pct"/>
            <w:vAlign w:val="center"/>
          </w:tcPr>
          <w:p w14:paraId="38CD60B0">
            <w:pPr>
              <w:pStyle w:val="24"/>
              <w:widowControl/>
              <w:spacing w:beforeAutospacing="0" w:afterAutospacing="0"/>
              <w:jc w:val="center"/>
              <w:rPr>
                <w:rFonts w:ascii="Times New Roman" w:hAnsi="Times New Roman" w:eastAsia="仿宋_GB2312"/>
                <w:color w:val="000000"/>
              </w:rPr>
            </w:pPr>
            <w:r>
              <w:rPr>
                <w:rFonts w:ascii="Times New Roman" w:hAnsi="Times New Roman" w:eastAsia="仿宋_GB2312"/>
                <w:color w:val="000000"/>
              </w:rPr>
              <w:t>30</w:t>
            </w:r>
          </w:p>
        </w:tc>
        <w:tc>
          <w:tcPr>
            <w:tcW w:w="759" w:type="pct"/>
            <w:vAlign w:val="center"/>
          </w:tcPr>
          <w:p w14:paraId="3A032517">
            <w:pPr>
              <w:jc w:val="center"/>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rPr>
              <w:t>预期性</w:t>
            </w:r>
          </w:p>
        </w:tc>
      </w:tr>
      <w:tr w14:paraId="19E4B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2" w:type="pct"/>
            <w:vAlign w:val="center"/>
          </w:tcPr>
          <w:p w14:paraId="564D2A9C">
            <w:pPr>
              <w:jc w:val="center"/>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rPr>
              <w:t>16</w:t>
            </w:r>
          </w:p>
        </w:tc>
        <w:tc>
          <w:tcPr>
            <w:tcW w:w="1976" w:type="pct"/>
            <w:vAlign w:val="center"/>
          </w:tcPr>
          <w:p w14:paraId="6968831A">
            <w:pPr>
              <w:pStyle w:val="24"/>
              <w:widowControl/>
              <w:spacing w:beforeAutospacing="0" w:afterAutospacing="0"/>
              <w:jc w:val="center"/>
              <w:rPr>
                <w:rFonts w:ascii="Times New Roman" w:hAnsi="Times New Roman" w:eastAsia="仿宋_GB2312"/>
                <w:szCs w:val="24"/>
              </w:rPr>
            </w:pPr>
            <w:r>
              <w:rPr>
                <w:rFonts w:ascii="Times New Roman" w:hAnsi="Times New Roman" w:eastAsia="仿宋_GB2312"/>
                <w:color w:val="000000"/>
              </w:rPr>
              <w:t>城镇新建住宅中达到绿色建筑标准的比例</w:t>
            </w:r>
          </w:p>
        </w:tc>
        <w:tc>
          <w:tcPr>
            <w:tcW w:w="959" w:type="pct"/>
            <w:vAlign w:val="center"/>
          </w:tcPr>
          <w:p w14:paraId="697A73E1">
            <w:pPr>
              <w:pStyle w:val="24"/>
              <w:widowControl/>
              <w:spacing w:beforeAutospacing="0" w:afterAutospacing="0"/>
              <w:jc w:val="center"/>
              <w:rPr>
                <w:rFonts w:ascii="Times New Roman" w:hAnsi="Times New Roman" w:eastAsia="仿宋_GB2312"/>
                <w:szCs w:val="24"/>
              </w:rPr>
            </w:pPr>
            <w:r>
              <w:rPr>
                <w:rFonts w:ascii="Times New Roman" w:hAnsi="Times New Roman" w:eastAsia="仿宋_GB2312"/>
                <w:color w:val="000000"/>
              </w:rPr>
              <w:t>%</w:t>
            </w:r>
          </w:p>
        </w:tc>
        <w:tc>
          <w:tcPr>
            <w:tcW w:w="972" w:type="pct"/>
            <w:vAlign w:val="center"/>
          </w:tcPr>
          <w:p w14:paraId="19BC6D1C">
            <w:pPr>
              <w:pStyle w:val="24"/>
              <w:widowControl/>
              <w:spacing w:beforeAutospacing="0" w:afterAutospacing="0"/>
              <w:jc w:val="center"/>
              <w:rPr>
                <w:rFonts w:ascii="Times New Roman" w:hAnsi="Times New Roman" w:eastAsia="仿宋_GB2312"/>
                <w:color w:val="000000"/>
                <w:szCs w:val="24"/>
              </w:rPr>
            </w:pPr>
            <w:r>
              <w:rPr>
                <w:rFonts w:hint="eastAsia" w:ascii="Times New Roman" w:hAnsi="Times New Roman" w:eastAsia="仿宋_GB2312"/>
                <w:color w:val="000000"/>
              </w:rPr>
              <w:t>100</w:t>
            </w:r>
          </w:p>
        </w:tc>
        <w:tc>
          <w:tcPr>
            <w:tcW w:w="759" w:type="pct"/>
            <w:vAlign w:val="center"/>
          </w:tcPr>
          <w:p w14:paraId="6CB29400">
            <w:pPr>
              <w:jc w:val="center"/>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rPr>
              <w:t>预期性</w:t>
            </w:r>
          </w:p>
        </w:tc>
      </w:tr>
      <w:tr w14:paraId="221C3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 w:hRule="atLeast"/>
        </w:trPr>
        <w:tc>
          <w:tcPr>
            <w:tcW w:w="332" w:type="pct"/>
            <w:vAlign w:val="center"/>
          </w:tcPr>
          <w:p w14:paraId="75B86E1F">
            <w:pPr>
              <w:jc w:val="center"/>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rPr>
              <w:t>17</w:t>
            </w:r>
          </w:p>
        </w:tc>
        <w:tc>
          <w:tcPr>
            <w:tcW w:w="1976" w:type="pct"/>
            <w:shd w:val="clear" w:color="auto" w:fill="FFFFFF" w:themeFill="background1"/>
            <w:vAlign w:val="center"/>
          </w:tcPr>
          <w:p w14:paraId="3F658E80">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“好房子”住宅项目个数</w:t>
            </w:r>
          </w:p>
        </w:tc>
        <w:tc>
          <w:tcPr>
            <w:tcW w:w="959" w:type="pct"/>
            <w:shd w:val="clear" w:color="auto" w:fill="FFFFFF" w:themeFill="background1"/>
            <w:vAlign w:val="center"/>
          </w:tcPr>
          <w:p w14:paraId="3618AC6D">
            <w:pPr>
              <w:jc w:val="center"/>
              <w:rPr>
                <w:rFonts w:ascii="Times New Roman" w:hAnsi="Times New Roman" w:eastAsia="仿宋_GB2312" w:cs="Times New Roman"/>
                <w:sz w:val="24"/>
                <w:szCs w:val="24"/>
              </w:rPr>
            </w:pPr>
            <w:r>
              <w:rPr>
                <w:rFonts w:ascii="Times New Roman" w:hAnsi="Times New Roman" w:eastAsia="仿宋_GB2312" w:cs="Times New Roman"/>
                <w:sz w:val="24"/>
                <w:szCs w:val="24"/>
              </w:rPr>
              <w:t>个</w:t>
            </w:r>
          </w:p>
        </w:tc>
        <w:tc>
          <w:tcPr>
            <w:tcW w:w="972" w:type="pct"/>
            <w:shd w:val="clear" w:color="auto" w:fill="FFFFFF" w:themeFill="background1"/>
            <w:vAlign w:val="center"/>
          </w:tcPr>
          <w:p w14:paraId="6B9BA8F6">
            <w:pPr>
              <w:jc w:val="center"/>
              <w:rPr>
                <w:rFonts w:ascii="Times New Roman" w:hAnsi="Times New Roman" w:eastAsia="仿宋_GB2312" w:cs="Times New Roman"/>
                <w:sz w:val="24"/>
                <w:szCs w:val="24"/>
              </w:rPr>
            </w:pPr>
            <w:r>
              <w:rPr>
                <w:rFonts w:hint="eastAsia" w:ascii="Times New Roman" w:hAnsi="Times New Roman" w:eastAsia="仿宋_GB2312" w:cs="Times New Roman"/>
                <w:sz w:val="24"/>
                <w:szCs w:val="24"/>
              </w:rPr>
              <w:t>5</w:t>
            </w:r>
          </w:p>
        </w:tc>
        <w:tc>
          <w:tcPr>
            <w:tcW w:w="759" w:type="pct"/>
            <w:shd w:val="clear" w:color="auto" w:fill="FFFFFF" w:themeFill="background1"/>
            <w:vAlign w:val="center"/>
          </w:tcPr>
          <w:p w14:paraId="4DADDDA0">
            <w:pPr>
              <w:jc w:val="center"/>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rPr>
              <w:t>预期性</w:t>
            </w:r>
          </w:p>
        </w:tc>
      </w:tr>
    </w:tbl>
    <w:p w14:paraId="2EA39DF8">
      <w:pPr>
        <w:rPr>
          <w:rFonts w:hint="eastAsia" w:ascii="黑体" w:hAnsi="黑体"/>
          <w:szCs w:val="20"/>
        </w:rPr>
      </w:pPr>
      <w:r>
        <w:rPr>
          <w:rFonts w:hint="eastAsia" w:ascii="仿宋_GB2312" w:hAnsi="仿宋_GB2312" w:eastAsia="仿宋_GB2312" w:cs="仿宋_GB2312"/>
          <w:spacing w:val="-6"/>
          <w:sz w:val="24"/>
          <w:szCs w:val="36"/>
        </w:rPr>
        <w:t>注：“好房子”住宅项目是指符合《住宅项目规范》（GB55038-2025）的新建商品住房项目。</w:t>
      </w:r>
      <w:r>
        <w:rPr>
          <w:rFonts w:hint="eastAsia" w:ascii="黑体" w:hAnsi="黑体"/>
          <w:szCs w:val="20"/>
        </w:rPr>
        <w:br w:type="page"/>
      </w:r>
    </w:p>
    <w:p w14:paraId="55EFFBD9">
      <w:pPr>
        <w:pStyle w:val="79"/>
        <w:spacing w:line="240" w:lineRule="auto"/>
        <w:jc w:val="both"/>
        <w:outlineLvl w:val="0"/>
        <w:rPr>
          <w:rFonts w:hint="eastAsia" w:cs="Times New Roman"/>
          <w:sz w:val="32"/>
          <w:szCs w:val="32"/>
        </w:rPr>
      </w:pPr>
      <w:bookmarkStart w:id="125" w:name="_Toc20533"/>
      <w:bookmarkStart w:id="126" w:name="_Toc15552"/>
      <w:bookmarkStart w:id="127" w:name="_Toc13574"/>
      <w:bookmarkStart w:id="128" w:name="_Toc230790072"/>
      <w:r>
        <w:rPr>
          <w:rFonts w:hint="eastAsia" w:cs="Times New Roman"/>
          <w:sz w:val="32"/>
          <w:szCs w:val="32"/>
          <w:lang w:val="en-US" w:eastAsia="zh-CN"/>
        </w:rPr>
        <w:t>附件</w:t>
      </w:r>
      <w:r>
        <w:rPr>
          <w:rFonts w:hint="eastAsia" w:ascii="Times New Roman" w:hAnsi="Times New Roman" w:cs="Times New Roman"/>
          <w:sz w:val="32"/>
          <w:szCs w:val="32"/>
        </w:rPr>
        <w:t>2</w:t>
      </w:r>
      <w:r>
        <w:rPr>
          <w:rFonts w:hint="eastAsia" w:cs="Times New Roman"/>
          <w:sz w:val="32"/>
          <w:szCs w:val="32"/>
          <w:lang w:eastAsia="zh-CN"/>
        </w:rPr>
        <w:t>：</w:t>
      </w:r>
      <w:r>
        <w:rPr>
          <w:rFonts w:hint="eastAsia" w:cs="Times New Roman"/>
          <w:sz w:val="32"/>
          <w:szCs w:val="32"/>
        </w:rPr>
        <w:t>揭阳市“十五五”各类住房分区目标</w:t>
      </w:r>
      <w:bookmarkEnd w:id="124"/>
      <w:bookmarkEnd w:id="125"/>
      <w:bookmarkEnd w:id="126"/>
      <w:bookmarkEnd w:id="127"/>
      <w:bookmarkEnd w:id="128"/>
    </w:p>
    <w:p w14:paraId="729D9BFB">
      <w:pPr>
        <w:pStyle w:val="78"/>
        <w:jc w:val="right"/>
        <w:rPr>
          <w:rFonts w:hint="eastAsia" w:cs="Times New Roman"/>
        </w:rPr>
      </w:pPr>
      <w:r>
        <w:rPr>
          <w:rFonts w:hint="eastAsia" w:ascii="仿宋_GB2312" w:hAnsi="仿宋_GB2312" w:eastAsia="仿宋_GB2312" w:cs="仿宋_GB2312"/>
          <w:sz w:val="24"/>
          <w:lang w:eastAsia="zh-CN"/>
        </w:rPr>
        <w:t>单位：套（间）、户</w:t>
      </w:r>
    </w:p>
    <w:tbl>
      <w:tblPr>
        <w:tblStyle w:val="27"/>
        <w:tblW w:w="13948" w:type="dxa"/>
        <w:tblInd w:w="0" w:type="dxa"/>
        <w:tblLayout w:type="fixed"/>
        <w:tblCellMar>
          <w:top w:w="0" w:type="dxa"/>
          <w:left w:w="108" w:type="dxa"/>
          <w:bottom w:w="0" w:type="dxa"/>
          <w:right w:w="108" w:type="dxa"/>
        </w:tblCellMar>
      </w:tblPr>
      <w:tblGrid>
        <w:gridCol w:w="936"/>
        <w:gridCol w:w="2170"/>
        <w:gridCol w:w="2738"/>
        <w:gridCol w:w="2794"/>
        <w:gridCol w:w="2887"/>
        <w:gridCol w:w="2423"/>
      </w:tblGrid>
      <w:tr w14:paraId="673CB4C1">
        <w:tblPrEx>
          <w:tblCellMar>
            <w:top w:w="0" w:type="dxa"/>
            <w:left w:w="108" w:type="dxa"/>
            <w:bottom w:w="0" w:type="dxa"/>
            <w:right w:w="108" w:type="dxa"/>
          </w:tblCellMar>
        </w:tblPrEx>
        <w:trPr>
          <w:trHeight w:val="454" w:hRule="atLeast"/>
        </w:trPr>
        <w:tc>
          <w:tcPr>
            <w:tcW w:w="936" w:type="dxa"/>
            <w:tcBorders>
              <w:top w:val="single" w:color="000000" w:sz="4" w:space="0"/>
              <w:left w:val="single" w:color="000000" w:sz="4" w:space="0"/>
              <w:bottom w:val="single" w:color="000000" w:sz="4" w:space="0"/>
              <w:right w:val="single" w:color="000000" w:sz="4" w:space="0"/>
            </w:tcBorders>
            <w:noWrap/>
            <w:vAlign w:val="center"/>
          </w:tcPr>
          <w:p w14:paraId="2375D875">
            <w:pPr>
              <w:pStyle w:val="73"/>
              <w:jc w:val="center"/>
              <w:textAlignment w:val="center"/>
              <w:rPr>
                <w:rFonts w:hint="default" w:ascii="Times New Roman" w:hAnsi="Times New Roman" w:eastAsia="仿宋_GB2312" w:cs="Times New Roman"/>
                <w:b/>
                <w:bCs/>
              </w:rPr>
            </w:pPr>
            <w:r>
              <w:rPr>
                <w:rFonts w:hint="default" w:ascii="Times New Roman" w:hAnsi="Times New Roman" w:eastAsia="仿宋_GB2312" w:cs="Times New Roman"/>
                <w:b/>
                <w:bCs/>
              </w:rPr>
              <w:t>地区</w:t>
            </w:r>
          </w:p>
        </w:tc>
        <w:tc>
          <w:tcPr>
            <w:tcW w:w="2170" w:type="dxa"/>
            <w:tcBorders>
              <w:top w:val="single" w:color="000000" w:sz="4" w:space="0"/>
              <w:left w:val="single" w:color="000000" w:sz="4" w:space="0"/>
              <w:bottom w:val="single" w:color="000000" w:sz="4" w:space="0"/>
              <w:right w:val="single" w:color="000000" w:sz="4" w:space="0"/>
            </w:tcBorders>
            <w:noWrap/>
            <w:vAlign w:val="center"/>
          </w:tcPr>
          <w:p w14:paraId="7AFDC61C">
            <w:pPr>
              <w:pStyle w:val="73"/>
              <w:jc w:val="center"/>
              <w:textAlignment w:val="center"/>
              <w:rPr>
                <w:rFonts w:hint="default" w:ascii="Times New Roman" w:hAnsi="Times New Roman" w:cs="Times New Roman"/>
                <w:b/>
                <w:bCs/>
              </w:rPr>
            </w:pPr>
            <w:r>
              <w:rPr>
                <w:rFonts w:hint="default" w:ascii="Times New Roman" w:hAnsi="Times New Roman" w:eastAsia="仿宋_GB2312" w:cs="Times New Roman"/>
                <w:b/>
                <w:bCs/>
              </w:rPr>
              <w:t>新建商品住房（套）</w:t>
            </w:r>
          </w:p>
        </w:tc>
        <w:tc>
          <w:tcPr>
            <w:tcW w:w="2738" w:type="dxa"/>
            <w:tcBorders>
              <w:top w:val="single" w:color="000000" w:sz="4" w:space="0"/>
              <w:left w:val="single" w:color="000000" w:sz="4" w:space="0"/>
              <w:bottom w:val="single" w:color="000000" w:sz="4" w:space="0"/>
              <w:right w:val="single" w:color="000000" w:sz="4" w:space="0"/>
            </w:tcBorders>
            <w:noWrap/>
            <w:vAlign w:val="center"/>
          </w:tcPr>
          <w:p w14:paraId="74A6168E">
            <w:pPr>
              <w:pStyle w:val="73"/>
              <w:jc w:val="center"/>
              <w:textAlignment w:val="center"/>
              <w:rPr>
                <w:rFonts w:hint="default" w:ascii="Times New Roman" w:hAnsi="Times New Roman" w:eastAsia="仿宋_GB2312" w:cs="Times New Roman"/>
                <w:b/>
                <w:bCs/>
              </w:rPr>
            </w:pPr>
            <w:r>
              <w:rPr>
                <w:rFonts w:ascii="Times New Roman" w:hAnsi="Times New Roman" w:eastAsia="仿宋_GB2312" w:cs="Times New Roman"/>
                <w:b/>
                <w:bCs/>
              </w:rPr>
              <w:t>供应公共租赁住房</w:t>
            </w:r>
            <w:r>
              <w:rPr>
                <w:rFonts w:hint="default" w:ascii="Times New Roman" w:hAnsi="Times New Roman" w:eastAsia="仿宋_GB2312" w:cs="Times New Roman"/>
                <w:b/>
                <w:bCs/>
              </w:rPr>
              <w:t>（套）</w:t>
            </w:r>
          </w:p>
        </w:tc>
        <w:tc>
          <w:tcPr>
            <w:tcW w:w="2794" w:type="dxa"/>
            <w:tcBorders>
              <w:top w:val="single" w:color="000000" w:sz="4" w:space="0"/>
              <w:left w:val="single" w:color="000000" w:sz="4" w:space="0"/>
              <w:bottom w:val="single" w:color="000000" w:sz="4" w:space="0"/>
              <w:right w:val="single" w:color="000000" w:sz="4" w:space="0"/>
            </w:tcBorders>
            <w:vAlign w:val="center"/>
          </w:tcPr>
          <w:p w14:paraId="22BC457E">
            <w:pPr>
              <w:pStyle w:val="73"/>
              <w:jc w:val="center"/>
              <w:textAlignment w:val="center"/>
              <w:rPr>
                <w:rFonts w:hint="default" w:ascii="Times New Roman" w:hAnsi="Times New Roman" w:eastAsia="仿宋_GB2312" w:cs="Times New Roman"/>
                <w:b/>
                <w:bCs/>
              </w:rPr>
            </w:pPr>
            <w:r>
              <w:rPr>
                <w:rFonts w:ascii="Times New Roman" w:hAnsi="Times New Roman" w:eastAsia="仿宋_GB2312" w:cs="Times New Roman"/>
                <w:b/>
                <w:bCs/>
              </w:rPr>
              <w:t>新增</w:t>
            </w:r>
            <w:r>
              <w:rPr>
                <w:rFonts w:hint="default" w:ascii="Times New Roman" w:hAnsi="Times New Roman" w:eastAsia="仿宋_GB2312" w:cs="Times New Roman"/>
                <w:b/>
                <w:bCs/>
              </w:rPr>
              <w:t>发放租赁补贴（户）</w:t>
            </w:r>
          </w:p>
        </w:tc>
        <w:tc>
          <w:tcPr>
            <w:tcW w:w="2887" w:type="dxa"/>
            <w:tcBorders>
              <w:top w:val="single" w:color="000000" w:sz="4" w:space="0"/>
              <w:left w:val="single" w:color="000000" w:sz="4" w:space="0"/>
              <w:bottom w:val="single" w:color="000000" w:sz="4" w:space="0"/>
              <w:right w:val="single" w:color="000000" w:sz="4" w:space="0"/>
            </w:tcBorders>
            <w:noWrap/>
            <w:vAlign w:val="center"/>
          </w:tcPr>
          <w:p w14:paraId="2BC2A8A6">
            <w:pPr>
              <w:pStyle w:val="73"/>
              <w:jc w:val="center"/>
              <w:textAlignment w:val="center"/>
              <w:rPr>
                <w:rFonts w:hint="default" w:ascii="Times New Roman" w:hAnsi="Times New Roman" w:eastAsia="仿宋_GB2312" w:cs="Times New Roman"/>
                <w:b/>
                <w:bCs/>
              </w:rPr>
            </w:pPr>
            <w:r>
              <w:rPr>
                <w:rFonts w:ascii="Times New Roman" w:hAnsi="Times New Roman" w:eastAsia="仿宋_GB2312" w:cs="Times New Roman"/>
                <w:b/>
                <w:bCs/>
              </w:rPr>
              <w:t>新增筹集保障性租赁住房</w:t>
            </w:r>
          </w:p>
          <w:p w14:paraId="65CCB2C8">
            <w:pPr>
              <w:pStyle w:val="73"/>
              <w:jc w:val="center"/>
              <w:textAlignment w:val="center"/>
              <w:rPr>
                <w:rFonts w:hint="default" w:ascii="Times New Roman" w:hAnsi="Times New Roman" w:eastAsia="仿宋_GB2312" w:cs="Times New Roman"/>
                <w:b/>
                <w:bCs/>
              </w:rPr>
            </w:pPr>
            <w:r>
              <w:rPr>
                <w:rFonts w:hint="default" w:ascii="Times New Roman" w:hAnsi="Times New Roman" w:eastAsia="仿宋_GB2312" w:cs="Times New Roman"/>
                <w:b/>
                <w:bCs/>
              </w:rPr>
              <w:t>（</w:t>
            </w:r>
            <w:r>
              <w:rPr>
                <w:rFonts w:ascii="Times New Roman" w:hAnsi="Times New Roman" w:eastAsia="仿宋_GB2312" w:cs="Times New Roman"/>
                <w:b/>
                <w:bCs/>
              </w:rPr>
              <w:t>套、间</w:t>
            </w:r>
            <w:r>
              <w:rPr>
                <w:rFonts w:hint="default" w:ascii="Times New Roman" w:hAnsi="Times New Roman" w:eastAsia="仿宋_GB2312" w:cs="Times New Roman"/>
                <w:b/>
                <w:bCs/>
              </w:rPr>
              <w:t>）</w:t>
            </w:r>
          </w:p>
        </w:tc>
        <w:tc>
          <w:tcPr>
            <w:tcW w:w="2423" w:type="dxa"/>
            <w:tcBorders>
              <w:top w:val="single" w:color="000000" w:sz="4" w:space="0"/>
              <w:left w:val="single" w:color="000000" w:sz="4" w:space="0"/>
              <w:bottom w:val="single" w:color="000000" w:sz="4" w:space="0"/>
              <w:right w:val="single" w:color="000000" w:sz="4" w:space="0"/>
            </w:tcBorders>
            <w:noWrap/>
            <w:vAlign w:val="center"/>
          </w:tcPr>
          <w:p w14:paraId="78F3919F">
            <w:pPr>
              <w:pStyle w:val="73"/>
              <w:jc w:val="center"/>
              <w:textAlignment w:val="center"/>
              <w:rPr>
                <w:rFonts w:hint="default" w:ascii="Times New Roman" w:hAnsi="Times New Roman" w:eastAsia="仿宋_GB2312" w:cs="Times New Roman"/>
                <w:b/>
                <w:bCs/>
              </w:rPr>
            </w:pPr>
            <w:r>
              <w:rPr>
                <w:rFonts w:hint="eastAsia" w:ascii="Times New Roman" w:hAnsi="Times New Roman" w:eastAsia="仿宋_GB2312" w:cs="Times New Roman"/>
                <w:b/>
                <w:bCs/>
                <w:lang w:val="en-US" w:eastAsia="zh-CN"/>
              </w:rPr>
              <w:t>住房供应</w:t>
            </w:r>
            <w:r>
              <w:rPr>
                <w:rFonts w:hint="default" w:ascii="Times New Roman" w:hAnsi="Times New Roman" w:eastAsia="仿宋_GB2312" w:cs="Times New Roman"/>
                <w:b/>
                <w:bCs/>
              </w:rPr>
              <w:t>合计</w:t>
            </w:r>
          </w:p>
          <w:p w14:paraId="33268157">
            <w:pPr>
              <w:pStyle w:val="73"/>
              <w:jc w:val="center"/>
              <w:textAlignment w:val="center"/>
              <w:rPr>
                <w:rFonts w:hint="default" w:ascii="Times New Roman" w:hAnsi="Times New Roman" w:eastAsia="仿宋_GB2312" w:cs="Times New Roman"/>
                <w:b/>
                <w:bCs/>
              </w:rPr>
            </w:pPr>
            <w:r>
              <w:rPr>
                <w:rFonts w:hint="default" w:ascii="Times New Roman" w:hAnsi="Times New Roman" w:eastAsia="仿宋_GB2312" w:cs="Times New Roman"/>
                <w:b/>
                <w:bCs/>
              </w:rPr>
              <w:t>（套</w:t>
            </w:r>
            <w:r>
              <w:rPr>
                <w:rFonts w:ascii="Times New Roman" w:hAnsi="Times New Roman" w:eastAsia="仿宋_GB2312" w:cs="Times New Roman"/>
                <w:b/>
                <w:bCs/>
              </w:rPr>
              <w:t>、间</w:t>
            </w:r>
            <w:r>
              <w:rPr>
                <w:rFonts w:hint="default" w:ascii="Times New Roman" w:hAnsi="Times New Roman" w:eastAsia="仿宋_GB2312" w:cs="Times New Roman"/>
                <w:b/>
                <w:bCs/>
              </w:rPr>
              <w:t>）</w:t>
            </w:r>
          </w:p>
        </w:tc>
      </w:tr>
      <w:tr w14:paraId="4EC1C4C1">
        <w:tblPrEx>
          <w:tblCellMar>
            <w:top w:w="0" w:type="dxa"/>
            <w:left w:w="108" w:type="dxa"/>
            <w:bottom w:w="0" w:type="dxa"/>
            <w:right w:w="108" w:type="dxa"/>
          </w:tblCellMar>
        </w:tblPrEx>
        <w:trPr>
          <w:trHeight w:val="454" w:hRule="atLeast"/>
        </w:trPr>
        <w:tc>
          <w:tcPr>
            <w:tcW w:w="936" w:type="dxa"/>
            <w:tcBorders>
              <w:top w:val="single" w:color="000000" w:sz="4" w:space="0"/>
              <w:left w:val="single" w:color="000000" w:sz="4" w:space="0"/>
              <w:bottom w:val="single" w:color="000000" w:sz="4" w:space="0"/>
              <w:right w:val="single" w:color="000000" w:sz="4" w:space="0"/>
            </w:tcBorders>
            <w:noWrap/>
            <w:vAlign w:val="center"/>
          </w:tcPr>
          <w:p w14:paraId="1EEF3B43">
            <w:pPr>
              <w:pStyle w:val="72"/>
              <w:rPr>
                <w:rFonts w:ascii="Times New Roman" w:hAnsi="Times New Roman" w:eastAsia="仿宋_GB2312" w:cs="Times New Roman"/>
              </w:rPr>
            </w:pPr>
            <w:r>
              <w:rPr>
                <w:rFonts w:hint="eastAsia" w:ascii="Times New Roman" w:hAnsi="Times New Roman" w:eastAsia="仿宋_GB2312" w:cs="Times New Roman"/>
              </w:rPr>
              <w:t>榕城区</w:t>
            </w:r>
          </w:p>
        </w:tc>
        <w:tc>
          <w:tcPr>
            <w:tcW w:w="2170" w:type="dxa"/>
            <w:tcBorders>
              <w:top w:val="single" w:color="000000" w:sz="4" w:space="0"/>
              <w:left w:val="single" w:color="000000" w:sz="4" w:space="0"/>
              <w:bottom w:val="single" w:color="000000" w:sz="4" w:space="0"/>
              <w:right w:val="single" w:color="000000" w:sz="4" w:space="0"/>
            </w:tcBorders>
            <w:noWrap/>
            <w:vAlign w:val="center"/>
          </w:tcPr>
          <w:p w14:paraId="5AC14970">
            <w:pPr>
              <w:widowControl/>
              <w:jc w:val="center"/>
              <w:textAlignment w:val="center"/>
              <w:rPr>
                <w:rFonts w:ascii="Times New Roman" w:hAnsi="Times New Roman" w:eastAsia="仿宋_GB2312" w:cs="Times New Roman"/>
                <w:color w:val="000000"/>
                <w:kern w:val="0"/>
                <w:sz w:val="24"/>
                <w:szCs w:val="20"/>
              </w:rPr>
            </w:pPr>
            <w:r>
              <w:rPr>
                <w:rFonts w:ascii="Times New Roman" w:hAnsi="Times New Roman" w:eastAsia="等线" w:cs="Times New Roman"/>
                <w:color w:val="000000"/>
                <w:kern w:val="0"/>
                <w:sz w:val="24"/>
                <w:szCs w:val="24"/>
                <w:lang w:bidi="ar"/>
              </w:rPr>
              <w:t>12000</w:t>
            </w:r>
          </w:p>
        </w:tc>
        <w:tc>
          <w:tcPr>
            <w:tcW w:w="2738" w:type="dxa"/>
            <w:tcBorders>
              <w:top w:val="single" w:color="000000" w:sz="4" w:space="0"/>
              <w:left w:val="single" w:color="000000" w:sz="4" w:space="0"/>
              <w:bottom w:val="single" w:color="000000" w:sz="4" w:space="0"/>
              <w:right w:val="single" w:color="000000" w:sz="4" w:space="0"/>
            </w:tcBorders>
            <w:noWrap/>
            <w:vAlign w:val="center"/>
          </w:tcPr>
          <w:p w14:paraId="442B2E32">
            <w:pPr>
              <w:widowControl/>
              <w:jc w:val="center"/>
              <w:textAlignment w:val="center"/>
              <w:rPr>
                <w:rFonts w:ascii="Times New Roman" w:hAnsi="Times New Roman" w:eastAsia="仿宋_GB2312" w:cs="Times New Roman"/>
                <w:color w:val="000000"/>
                <w:kern w:val="0"/>
                <w:sz w:val="24"/>
                <w:lang w:bidi="ar"/>
              </w:rPr>
            </w:pPr>
            <w:r>
              <w:rPr>
                <w:rFonts w:ascii="Times New Roman" w:hAnsi="Times New Roman" w:eastAsia="等线" w:cs="Times New Roman"/>
                <w:color w:val="000000"/>
                <w:kern w:val="0"/>
                <w:sz w:val="24"/>
                <w:szCs w:val="24"/>
                <w:lang w:bidi="ar"/>
              </w:rPr>
              <w:t>0</w:t>
            </w:r>
          </w:p>
        </w:tc>
        <w:tc>
          <w:tcPr>
            <w:tcW w:w="2794" w:type="dxa"/>
            <w:tcBorders>
              <w:top w:val="single" w:color="000000" w:sz="4" w:space="0"/>
              <w:left w:val="single" w:color="000000" w:sz="4" w:space="0"/>
              <w:bottom w:val="single" w:color="000000" w:sz="4" w:space="0"/>
              <w:right w:val="single" w:color="000000" w:sz="4" w:space="0"/>
            </w:tcBorders>
            <w:vAlign w:val="center"/>
          </w:tcPr>
          <w:p w14:paraId="47980C34">
            <w:pPr>
              <w:widowControl/>
              <w:jc w:val="center"/>
              <w:textAlignment w:val="center"/>
              <w:rPr>
                <w:rFonts w:ascii="Times New Roman" w:hAnsi="Times New Roman" w:eastAsia="等线" w:cs="Times New Roman"/>
                <w:color w:val="000000"/>
                <w:kern w:val="0"/>
                <w:sz w:val="24"/>
                <w:szCs w:val="24"/>
                <w:lang w:bidi="ar"/>
              </w:rPr>
            </w:pPr>
            <w:r>
              <w:rPr>
                <w:rFonts w:ascii="Times New Roman" w:hAnsi="Times New Roman" w:eastAsia="等线" w:cs="Times New Roman"/>
                <w:color w:val="000000"/>
                <w:kern w:val="0"/>
                <w:sz w:val="24"/>
                <w:szCs w:val="24"/>
                <w:lang w:bidi="ar"/>
              </w:rPr>
              <w:t>0</w:t>
            </w:r>
          </w:p>
        </w:tc>
        <w:tc>
          <w:tcPr>
            <w:tcW w:w="2887" w:type="dxa"/>
            <w:tcBorders>
              <w:top w:val="single" w:color="000000" w:sz="4" w:space="0"/>
              <w:left w:val="single" w:color="000000" w:sz="4" w:space="0"/>
              <w:bottom w:val="single" w:color="000000" w:sz="4" w:space="0"/>
              <w:right w:val="single" w:color="000000" w:sz="4" w:space="0"/>
            </w:tcBorders>
            <w:noWrap/>
            <w:vAlign w:val="center"/>
          </w:tcPr>
          <w:p w14:paraId="2F191124">
            <w:pPr>
              <w:widowControl/>
              <w:jc w:val="center"/>
              <w:textAlignment w:val="center"/>
              <w:rPr>
                <w:rFonts w:ascii="Times New Roman" w:hAnsi="Times New Roman" w:eastAsia="仿宋_GB2312" w:cs="Times New Roman"/>
                <w:color w:val="000000"/>
                <w:kern w:val="0"/>
                <w:sz w:val="24"/>
                <w:szCs w:val="20"/>
              </w:rPr>
            </w:pPr>
            <w:r>
              <w:rPr>
                <w:rFonts w:ascii="Times New Roman" w:hAnsi="Times New Roman" w:eastAsia="等线" w:cs="Times New Roman"/>
                <w:color w:val="000000"/>
                <w:kern w:val="0"/>
                <w:sz w:val="24"/>
                <w:szCs w:val="24"/>
                <w:lang w:bidi="ar"/>
              </w:rPr>
              <w:t>0</w:t>
            </w:r>
          </w:p>
        </w:tc>
        <w:tc>
          <w:tcPr>
            <w:tcW w:w="2423" w:type="dxa"/>
            <w:tcBorders>
              <w:top w:val="single" w:color="000000" w:sz="4" w:space="0"/>
              <w:left w:val="single" w:color="000000" w:sz="4" w:space="0"/>
              <w:bottom w:val="single" w:color="000000" w:sz="4" w:space="0"/>
              <w:right w:val="single" w:color="000000" w:sz="4" w:space="0"/>
            </w:tcBorders>
            <w:noWrap/>
            <w:vAlign w:val="center"/>
          </w:tcPr>
          <w:p w14:paraId="6FB35B48">
            <w:pPr>
              <w:widowControl/>
              <w:jc w:val="center"/>
              <w:textAlignment w:val="center"/>
              <w:rPr>
                <w:rFonts w:ascii="Times New Roman" w:hAnsi="Times New Roman" w:eastAsia="仿宋_GB2312" w:cs="Times New Roman"/>
                <w:color w:val="000000"/>
                <w:kern w:val="0"/>
                <w:sz w:val="24"/>
                <w:szCs w:val="20"/>
              </w:rPr>
            </w:pPr>
            <w:r>
              <w:rPr>
                <w:rFonts w:hint="eastAsia" w:ascii="Times New Roman" w:hAnsi="Times New Roman" w:eastAsia="等线" w:cs="Times New Roman"/>
                <w:color w:val="000000"/>
                <w:kern w:val="0"/>
                <w:sz w:val="24"/>
                <w:szCs w:val="24"/>
                <w:lang w:bidi="ar"/>
              </w:rPr>
              <w:t>12000</w:t>
            </w:r>
          </w:p>
        </w:tc>
      </w:tr>
      <w:tr w14:paraId="775552D6">
        <w:tblPrEx>
          <w:tblCellMar>
            <w:top w:w="0" w:type="dxa"/>
            <w:left w:w="108" w:type="dxa"/>
            <w:bottom w:w="0" w:type="dxa"/>
            <w:right w:w="108" w:type="dxa"/>
          </w:tblCellMar>
        </w:tblPrEx>
        <w:trPr>
          <w:trHeight w:val="454" w:hRule="atLeast"/>
        </w:trPr>
        <w:tc>
          <w:tcPr>
            <w:tcW w:w="936" w:type="dxa"/>
            <w:tcBorders>
              <w:top w:val="single" w:color="000000" w:sz="4" w:space="0"/>
              <w:left w:val="single" w:color="000000" w:sz="4" w:space="0"/>
              <w:bottom w:val="single" w:color="000000" w:sz="4" w:space="0"/>
              <w:right w:val="single" w:color="000000" w:sz="4" w:space="0"/>
            </w:tcBorders>
            <w:noWrap/>
            <w:vAlign w:val="center"/>
          </w:tcPr>
          <w:p w14:paraId="7AA5F3A8">
            <w:pPr>
              <w:pStyle w:val="72"/>
              <w:rPr>
                <w:rFonts w:ascii="Times New Roman" w:hAnsi="Times New Roman" w:eastAsia="仿宋_GB2312" w:cs="Times New Roman"/>
              </w:rPr>
            </w:pPr>
            <w:r>
              <w:rPr>
                <w:rFonts w:hint="eastAsia" w:ascii="Times New Roman" w:hAnsi="Times New Roman" w:eastAsia="仿宋_GB2312" w:cs="Times New Roman"/>
              </w:rPr>
              <w:t>揭东区</w:t>
            </w:r>
          </w:p>
        </w:tc>
        <w:tc>
          <w:tcPr>
            <w:tcW w:w="2170" w:type="dxa"/>
            <w:tcBorders>
              <w:top w:val="single" w:color="000000" w:sz="4" w:space="0"/>
              <w:left w:val="single" w:color="000000" w:sz="4" w:space="0"/>
              <w:bottom w:val="single" w:color="000000" w:sz="4" w:space="0"/>
              <w:right w:val="single" w:color="000000" w:sz="4" w:space="0"/>
            </w:tcBorders>
            <w:noWrap/>
            <w:vAlign w:val="center"/>
          </w:tcPr>
          <w:p w14:paraId="4B81622D">
            <w:pPr>
              <w:widowControl/>
              <w:jc w:val="center"/>
              <w:textAlignment w:val="center"/>
              <w:rPr>
                <w:rFonts w:ascii="Times New Roman" w:hAnsi="Times New Roman" w:eastAsia="仿宋_GB2312" w:cs="Times New Roman"/>
                <w:color w:val="000000"/>
                <w:kern w:val="0"/>
                <w:sz w:val="24"/>
                <w:szCs w:val="20"/>
              </w:rPr>
            </w:pPr>
            <w:r>
              <w:rPr>
                <w:rFonts w:ascii="Times New Roman" w:hAnsi="Times New Roman" w:eastAsia="等线" w:cs="Times New Roman"/>
                <w:color w:val="000000"/>
                <w:kern w:val="0"/>
                <w:sz w:val="24"/>
                <w:szCs w:val="24"/>
                <w:lang w:bidi="ar"/>
              </w:rPr>
              <w:t>6000</w:t>
            </w:r>
          </w:p>
        </w:tc>
        <w:tc>
          <w:tcPr>
            <w:tcW w:w="2738" w:type="dxa"/>
            <w:tcBorders>
              <w:top w:val="single" w:color="000000" w:sz="4" w:space="0"/>
              <w:left w:val="single" w:color="000000" w:sz="4" w:space="0"/>
              <w:bottom w:val="single" w:color="000000" w:sz="4" w:space="0"/>
              <w:right w:val="single" w:color="000000" w:sz="4" w:space="0"/>
            </w:tcBorders>
            <w:noWrap/>
            <w:vAlign w:val="center"/>
          </w:tcPr>
          <w:p w14:paraId="3DA032C9">
            <w:pPr>
              <w:widowControl/>
              <w:jc w:val="center"/>
              <w:textAlignment w:val="center"/>
              <w:rPr>
                <w:rFonts w:ascii="Times New Roman" w:hAnsi="Times New Roman" w:eastAsia="仿宋_GB2312" w:cs="Times New Roman"/>
                <w:color w:val="000000"/>
                <w:kern w:val="0"/>
                <w:sz w:val="24"/>
                <w:szCs w:val="24"/>
                <w:lang w:bidi="ar"/>
              </w:rPr>
            </w:pPr>
            <w:r>
              <w:rPr>
                <w:rFonts w:ascii="Times New Roman" w:hAnsi="Times New Roman" w:eastAsia="等线" w:cs="Times New Roman"/>
                <w:color w:val="000000"/>
                <w:kern w:val="0"/>
                <w:sz w:val="24"/>
                <w:szCs w:val="24"/>
                <w:lang w:bidi="ar"/>
              </w:rPr>
              <w:t>0</w:t>
            </w:r>
          </w:p>
        </w:tc>
        <w:tc>
          <w:tcPr>
            <w:tcW w:w="2794" w:type="dxa"/>
            <w:tcBorders>
              <w:top w:val="single" w:color="000000" w:sz="4" w:space="0"/>
              <w:left w:val="single" w:color="000000" w:sz="4" w:space="0"/>
              <w:bottom w:val="single" w:color="000000" w:sz="4" w:space="0"/>
              <w:right w:val="single" w:color="000000" w:sz="4" w:space="0"/>
            </w:tcBorders>
            <w:vAlign w:val="center"/>
          </w:tcPr>
          <w:p w14:paraId="45C92C13">
            <w:pPr>
              <w:widowControl/>
              <w:jc w:val="center"/>
              <w:textAlignment w:val="center"/>
              <w:rPr>
                <w:rFonts w:ascii="Times New Roman" w:hAnsi="Times New Roman" w:eastAsia="等线" w:cs="Times New Roman"/>
                <w:color w:val="000000"/>
                <w:kern w:val="0"/>
                <w:sz w:val="24"/>
                <w:szCs w:val="24"/>
                <w:lang w:bidi="ar"/>
              </w:rPr>
            </w:pPr>
            <w:r>
              <w:rPr>
                <w:rFonts w:hint="eastAsia" w:ascii="Times New Roman" w:hAnsi="Times New Roman" w:eastAsia="等线" w:cs="Times New Roman"/>
                <w:color w:val="000000"/>
                <w:kern w:val="0"/>
                <w:sz w:val="24"/>
                <w:szCs w:val="24"/>
                <w:lang w:bidi="ar"/>
              </w:rPr>
              <w:t>3</w:t>
            </w:r>
            <w:r>
              <w:rPr>
                <w:rFonts w:ascii="Times New Roman" w:hAnsi="Times New Roman" w:eastAsia="等线" w:cs="Times New Roman"/>
                <w:color w:val="000000"/>
                <w:kern w:val="0"/>
                <w:sz w:val="24"/>
                <w:szCs w:val="24"/>
                <w:lang w:bidi="ar"/>
              </w:rPr>
              <w:t>0</w:t>
            </w:r>
          </w:p>
        </w:tc>
        <w:tc>
          <w:tcPr>
            <w:tcW w:w="2887" w:type="dxa"/>
            <w:tcBorders>
              <w:top w:val="single" w:color="000000" w:sz="4" w:space="0"/>
              <w:left w:val="single" w:color="000000" w:sz="4" w:space="0"/>
              <w:bottom w:val="single" w:color="000000" w:sz="4" w:space="0"/>
              <w:right w:val="single" w:color="000000" w:sz="4" w:space="0"/>
            </w:tcBorders>
            <w:noWrap/>
            <w:vAlign w:val="center"/>
          </w:tcPr>
          <w:p w14:paraId="51ACB3B0">
            <w:pPr>
              <w:widowControl/>
              <w:jc w:val="center"/>
              <w:textAlignment w:val="center"/>
              <w:rPr>
                <w:rFonts w:ascii="Times New Roman" w:hAnsi="Times New Roman" w:eastAsia="仿宋_GB2312" w:cs="Times New Roman"/>
                <w:color w:val="000000"/>
                <w:kern w:val="0"/>
                <w:sz w:val="24"/>
                <w:szCs w:val="20"/>
              </w:rPr>
            </w:pPr>
            <w:r>
              <w:rPr>
                <w:rFonts w:hint="eastAsia" w:ascii="Times New Roman" w:hAnsi="Times New Roman" w:eastAsia="等线" w:cs="Times New Roman"/>
                <w:color w:val="000000"/>
                <w:kern w:val="0"/>
                <w:sz w:val="24"/>
                <w:szCs w:val="24"/>
                <w:lang w:bidi="ar"/>
              </w:rPr>
              <w:t>0</w:t>
            </w:r>
          </w:p>
        </w:tc>
        <w:tc>
          <w:tcPr>
            <w:tcW w:w="2423" w:type="dxa"/>
            <w:tcBorders>
              <w:top w:val="single" w:color="000000" w:sz="4" w:space="0"/>
              <w:left w:val="single" w:color="000000" w:sz="4" w:space="0"/>
              <w:bottom w:val="single" w:color="000000" w:sz="4" w:space="0"/>
              <w:right w:val="single" w:color="000000" w:sz="4" w:space="0"/>
            </w:tcBorders>
            <w:noWrap/>
            <w:vAlign w:val="center"/>
          </w:tcPr>
          <w:p w14:paraId="69763828">
            <w:pPr>
              <w:widowControl/>
              <w:jc w:val="center"/>
              <w:textAlignment w:val="center"/>
              <w:rPr>
                <w:rFonts w:hint="default" w:ascii="Times New Roman" w:hAnsi="Times New Roman" w:eastAsia="等线" w:cs="Times New Roman"/>
                <w:color w:val="000000"/>
                <w:kern w:val="0"/>
                <w:sz w:val="24"/>
                <w:szCs w:val="20"/>
                <w:lang w:val="en-US" w:eastAsia="zh-CN"/>
              </w:rPr>
            </w:pPr>
            <w:r>
              <w:rPr>
                <w:rFonts w:hint="eastAsia" w:ascii="Times New Roman" w:hAnsi="Times New Roman" w:eastAsia="等线" w:cs="Times New Roman"/>
                <w:color w:val="000000"/>
                <w:kern w:val="0"/>
                <w:sz w:val="24"/>
                <w:szCs w:val="24"/>
                <w:lang w:bidi="ar"/>
              </w:rPr>
              <w:t>60</w:t>
            </w:r>
            <w:r>
              <w:rPr>
                <w:rFonts w:hint="eastAsia" w:ascii="Times New Roman" w:hAnsi="Times New Roman" w:eastAsia="等线" w:cs="Times New Roman"/>
                <w:color w:val="000000"/>
                <w:kern w:val="0"/>
                <w:sz w:val="24"/>
                <w:szCs w:val="24"/>
                <w:lang w:val="en-US" w:eastAsia="zh-CN" w:bidi="ar"/>
              </w:rPr>
              <w:t>00</w:t>
            </w:r>
          </w:p>
        </w:tc>
      </w:tr>
      <w:tr w14:paraId="33981E88">
        <w:tblPrEx>
          <w:tblCellMar>
            <w:top w:w="0" w:type="dxa"/>
            <w:left w:w="108" w:type="dxa"/>
            <w:bottom w:w="0" w:type="dxa"/>
            <w:right w:w="108" w:type="dxa"/>
          </w:tblCellMar>
        </w:tblPrEx>
        <w:trPr>
          <w:trHeight w:val="454" w:hRule="atLeast"/>
        </w:trPr>
        <w:tc>
          <w:tcPr>
            <w:tcW w:w="936" w:type="dxa"/>
            <w:tcBorders>
              <w:top w:val="single" w:color="000000" w:sz="4" w:space="0"/>
              <w:left w:val="single" w:color="000000" w:sz="4" w:space="0"/>
              <w:bottom w:val="single" w:color="000000" w:sz="4" w:space="0"/>
              <w:right w:val="single" w:color="000000" w:sz="4" w:space="0"/>
            </w:tcBorders>
            <w:noWrap/>
            <w:vAlign w:val="center"/>
          </w:tcPr>
          <w:p w14:paraId="1F57C2B2">
            <w:pPr>
              <w:pStyle w:val="72"/>
              <w:rPr>
                <w:rFonts w:ascii="Times New Roman" w:hAnsi="Times New Roman" w:eastAsia="仿宋_GB2312" w:cs="Times New Roman"/>
              </w:rPr>
            </w:pPr>
            <w:r>
              <w:rPr>
                <w:rFonts w:hint="eastAsia" w:ascii="Times New Roman" w:hAnsi="Times New Roman" w:eastAsia="仿宋_GB2312" w:cs="Times New Roman"/>
              </w:rPr>
              <w:t>普宁市</w:t>
            </w:r>
          </w:p>
        </w:tc>
        <w:tc>
          <w:tcPr>
            <w:tcW w:w="2170" w:type="dxa"/>
            <w:tcBorders>
              <w:top w:val="single" w:color="000000" w:sz="4" w:space="0"/>
              <w:left w:val="single" w:color="000000" w:sz="4" w:space="0"/>
              <w:bottom w:val="single" w:color="000000" w:sz="4" w:space="0"/>
              <w:right w:val="single" w:color="000000" w:sz="4" w:space="0"/>
            </w:tcBorders>
            <w:noWrap/>
            <w:vAlign w:val="center"/>
          </w:tcPr>
          <w:p w14:paraId="04D4F053">
            <w:pPr>
              <w:widowControl/>
              <w:jc w:val="center"/>
              <w:textAlignment w:val="center"/>
              <w:rPr>
                <w:rFonts w:ascii="Times New Roman" w:hAnsi="Times New Roman" w:eastAsia="仿宋_GB2312" w:cs="Times New Roman"/>
                <w:color w:val="000000"/>
                <w:kern w:val="0"/>
                <w:sz w:val="24"/>
                <w:szCs w:val="20"/>
              </w:rPr>
            </w:pPr>
            <w:r>
              <w:rPr>
                <w:rFonts w:ascii="Times New Roman" w:hAnsi="Times New Roman" w:eastAsia="等线" w:cs="Times New Roman"/>
                <w:color w:val="000000"/>
                <w:kern w:val="0"/>
                <w:sz w:val="24"/>
                <w:szCs w:val="24"/>
                <w:lang w:bidi="ar"/>
              </w:rPr>
              <w:t>21000</w:t>
            </w:r>
          </w:p>
        </w:tc>
        <w:tc>
          <w:tcPr>
            <w:tcW w:w="2738" w:type="dxa"/>
            <w:tcBorders>
              <w:top w:val="single" w:color="000000" w:sz="4" w:space="0"/>
              <w:left w:val="single" w:color="000000" w:sz="4" w:space="0"/>
              <w:bottom w:val="single" w:color="000000" w:sz="4" w:space="0"/>
              <w:right w:val="single" w:color="000000" w:sz="4" w:space="0"/>
            </w:tcBorders>
            <w:noWrap/>
            <w:vAlign w:val="center"/>
          </w:tcPr>
          <w:p w14:paraId="78144277">
            <w:pPr>
              <w:widowControl/>
              <w:jc w:val="center"/>
              <w:textAlignment w:val="center"/>
              <w:rPr>
                <w:rFonts w:hint="default" w:ascii="Times New Roman" w:hAnsi="Times New Roman" w:eastAsia="等线" w:cs="Times New Roman"/>
                <w:color w:val="000000"/>
                <w:kern w:val="0"/>
                <w:sz w:val="24"/>
                <w:szCs w:val="24"/>
                <w:lang w:val="en-US" w:eastAsia="zh-CN" w:bidi="ar"/>
              </w:rPr>
            </w:pPr>
            <w:r>
              <w:rPr>
                <w:rFonts w:hint="eastAsia" w:ascii="Times New Roman" w:hAnsi="Times New Roman" w:eastAsia="等线" w:cs="Times New Roman"/>
                <w:color w:val="000000"/>
                <w:kern w:val="0"/>
                <w:sz w:val="24"/>
                <w:szCs w:val="24"/>
                <w:lang w:val="en-US" w:eastAsia="zh-CN" w:bidi="ar"/>
              </w:rPr>
              <w:t>100</w:t>
            </w:r>
          </w:p>
        </w:tc>
        <w:tc>
          <w:tcPr>
            <w:tcW w:w="2794" w:type="dxa"/>
            <w:tcBorders>
              <w:top w:val="single" w:color="000000" w:sz="4" w:space="0"/>
              <w:left w:val="single" w:color="000000" w:sz="4" w:space="0"/>
              <w:bottom w:val="single" w:color="000000" w:sz="4" w:space="0"/>
              <w:right w:val="single" w:color="000000" w:sz="4" w:space="0"/>
            </w:tcBorders>
            <w:vAlign w:val="center"/>
          </w:tcPr>
          <w:p w14:paraId="3C46D6C7">
            <w:pPr>
              <w:widowControl/>
              <w:jc w:val="center"/>
              <w:textAlignment w:val="center"/>
              <w:rPr>
                <w:rFonts w:ascii="Times New Roman" w:hAnsi="Times New Roman" w:eastAsia="等线" w:cs="Times New Roman"/>
                <w:color w:val="000000"/>
                <w:kern w:val="0"/>
                <w:sz w:val="24"/>
                <w:szCs w:val="24"/>
                <w:lang w:bidi="ar"/>
              </w:rPr>
            </w:pPr>
            <w:r>
              <w:rPr>
                <w:rFonts w:ascii="Times New Roman" w:hAnsi="Times New Roman" w:eastAsia="等线" w:cs="Times New Roman"/>
                <w:color w:val="000000"/>
                <w:kern w:val="0"/>
                <w:sz w:val="24"/>
                <w:szCs w:val="24"/>
                <w:lang w:bidi="ar"/>
              </w:rPr>
              <w:t>0</w:t>
            </w:r>
          </w:p>
        </w:tc>
        <w:tc>
          <w:tcPr>
            <w:tcW w:w="2887" w:type="dxa"/>
            <w:tcBorders>
              <w:top w:val="single" w:color="000000" w:sz="4" w:space="0"/>
              <w:left w:val="single" w:color="000000" w:sz="4" w:space="0"/>
              <w:bottom w:val="single" w:color="000000" w:sz="4" w:space="0"/>
              <w:right w:val="single" w:color="000000" w:sz="4" w:space="0"/>
            </w:tcBorders>
            <w:noWrap/>
            <w:vAlign w:val="center"/>
          </w:tcPr>
          <w:p w14:paraId="04AA5A67">
            <w:pPr>
              <w:widowControl/>
              <w:jc w:val="center"/>
              <w:textAlignment w:val="center"/>
              <w:rPr>
                <w:rFonts w:hint="default" w:ascii="Times New Roman" w:hAnsi="Times New Roman" w:eastAsia="等线" w:cs="Times New Roman"/>
                <w:color w:val="000000"/>
                <w:kern w:val="0"/>
                <w:sz w:val="24"/>
                <w:szCs w:val="20"/>
                <w:lang w:val="en-US" w:eastAsia="zh-CN"/>
              </w:rPr>
            </w:pPr>
            <w:r>
              <w:rPr>
                <w:rFonts w:hint="eastAsia" w:ascii="Times New Roman" w:hAnsi="Times New Roman" w:eastAsia="等线" w:cs="Times New Roman"/>
                <w:color w:val="000000"/>
                <w:kern w:val="0"/>
                <w:sz w:val="24"/>
                <w:szCs w:val="24"/>
                <w:lang w:val="en-US" w:eastAsia="zh-CN" w:bidi="ar"/>
              </w:rPr>
              <w:t>646</w:t>
            </w:r>
          </w:p>
        </w:tc>
        <w:tc>
          <w:tcPr>
            <w:tcW w:w="2423" w:type="dxa"/>
            <w:tcBorders>
              <w:top w:val="single" w:color="000000" w:sz="4" w:space="0"/>
              <w:left w:val="single" w:color="000000" w:sz="4" w:space="0"/>
              <w:bottom w:val="single" w:color="000000" w:sz="4" w:space="0"/>
              <w:right w:val="single" w:color="000000" w:sz="4" w:space="0"/>
            </w:tcBorders>
            <w:noWrap/>
            <w:vAlign w:val="center"/>
          </w:tcPr>
          <w:p w14:paraId="165AC72F">
            <w:pPr>
              <w:widowControl/>
              <w:jc w:val="center"/>
              <w:textAlignment w:val="center"/>
              <w:rPr>
                <w:rFonts w:hint="default" w:ascii="Times New Roman" w:hAnsi="Times New Roman" w:eastAsia="等线" w:cs="Times New Roman"/>
                <w:color w:val="000000"/>
                <w:kern w:val="0"/>
                <w:sz w:val="24"/>
                <w:szCs w:val="20"/>
                <w:lang w:val="en-US" w:eastAsia="zh-CN"/>
              </w:rPr>
            </w:pPr>
            <w:r>
              <w:rPr>
                <w:rFonts w:hint="eastAsia" w:ascii="Times New Roman" w:hAnsi="Times New Roman" w:eastAsia="等线" w:cs="Times New Roman"/>
                <w:color w:val="000000"/>
                <w:kern w:val="0"/>
                <w:sz w:val="24"/>
                <w:szCs w:val="24"/>
                <w:lang w:val="en-US" w:eastAsia="zh-CN" w:bidi="ar"/>
              </w:rPr>
              <w:t>21746</w:t>
            </w:r>
          </w:p>
        </w:tc>
      </w:tr>
      <w:tr w14:paraId="7BA172CF">
        <w:tblPrEx>
          <w:tblCellMar>
            <w:top w:w="0" w:type="dxa"/>
            <w:left w:w="108" w:type="dxa"/>
            <w:bottom w:w="0" w:type="dxa"/>
            <w:right w:w="108" w:type="dxa"/>
          </w:tblCellMar>
        </w:tblPrEx>
        <w:trPr>
          <w:trHeight w:val="454" w:hRule="atLeast"/>
        </w:trPr>
        <w:tc>
          <w:tcPr>
            <w:tcW w:w="936" w:type="dxa"/>
            <w:tcBorders>
              <w:top w:val="single" w:color="000000" w:sz="4" w:space="0"/>
              <w:left w:val="single" w:color="000000" w:sz="4" w:space="0"/>
              <w:bottom w:val="single" w:color="000000" w:sz="4" w:space="0"/>
              <w:right w:val="single" w:color="000000" w:sz="4" w:space="0"/>
            </w:tcBorders>
            <w:noWrap/>
            <w:vAlign w:val="center"/>
          </w:tcPr>
          <w:p w14:paraId="6DD813AE">
            <w:pPr>
              <w:pStyle w:val="72"/>
              <w:rPr>
                <w:rFonts w:ascii="Times New Roman" w:hAnsi="Times New Roman" w:eastAsia="仿宋_GB2312" w:cs="Times New Roman"/>
              </w:rPr>
            </w:pPr>
            <w:r>
              <w:rPr>
                <w:rFonts w:hint="eastAsia" w:ascii="Times New Roman" w:hAnsi="Times New Roman" w:eastAsia="仿宋_GB2312" w:cs="Times New Roman"/>
              </w:rPr>
              <w:t>揭西县</w:t>
            </w:r>
          </w:p>
        </w:tc>
        <w:tc>
          <w:tcPr>
            <w:tcW w:w="2170" w:type="dxa"/>
            <w:tcBorders>
              <w:top w:val="single" w:color="000000" w:sz="4" w:space="0"/>
              <w:left w:val="single" w:color="000000" w:sz="4" w:space="0"/>
              <w:bottom w:val="single" w:color="000000" w:sz="4" w:space="0"/>
              <w:right w:val="single" w:color="000000" w:sz="4" w:space="0"/>
            </w:tcBorders>
            <w:noWrap/>
            <w:vAlign w:val="center"/>
          </w:tcPr>
          <w:p w14:paraId="1577F6F8">
            <w:pPr>
              <w:widowControl/>
              <w:jc w:val="center"/>
              <w:textAlignment w:val="center"/>
              <w:rPr>
                <w:rFonts w:ascii="Times New Roman" w:hAnsi="Times New Roman" w:eastAsia="仿宋_GB2312" w:cs="Times New Roman"/>
                <w:color w:val="000000"/>
                <w:kern w:val="0"/>
                <w:sz w:val="24"/>
                <w:szCs w:val="20"/>
              </w:rPr>
            </w:pPr>
            <w:r>
              <w:rPr>
                <w:rFonts w:ascii="Times New Roman" w:hAnsi="Times New Roman" w:eastAsia="等线" w:cs="Times New Roman"/>
                <w:color w:val="000000"/>
                <w:kern w:val="0"/>
                <w:sz w:val="24"/>
                <w:szCs w:val="24"/>
                <w:lang w:bidi="ar"/>
              </w:rPr>
              <w:t>3500</w:t>
            </w:r>
          </w:p>
        </w:tc>
        <w:tc>
          <w:tcPr>
            <w:tcW w:w="2738" w:type="dxa"/>
            <w:tcBorders>
              <w:top w:val="single" w:color="000000" w:sz="4" w:space="0"/>
              <w:left w:val="single" w:color="000000" w:sz="4" w:space="0"/>
              <w:bottom w:val="single" w:color="000000" w:sz="4" w:space="0"/>
              <w:right w:val="single" w:color="000000" w:sz="4" w:space="0"/>
            </w:tcBorders>
            <w:noWrap/>
            <w:vAlign w:val="center"/>
          </w:tcPr>
          <w:p w14:paraId="364A4C34">
            <w:pPr>
              <w:widowControl/>
              <w:jc w:val="center"/>
              <w:textAlignment w:val="center"/>
              <w:rPr>
                <w:rFonts w:ascii="Times New Roman" w:hAnsi="Times New Roman" w:eastAsia="仿宋_GB2312" w:cs="Times New Roman"/>
                <w:color w:val="000000"/>
                <w:kern w:val="0"/>
                <w:sz w:val="24"/>
                <w:szCs w:val="24"/>
                <w:lang w:bidi="ar"/>
              </w:rPr>
            </w:pPr>
            <w:r>
              <w:rPr>
                <w:rFonts w:ascii="Times New Roman" w:hAnsi="Times New Roman" w:eastAsia="等线" w:cs="Times New Roman"/>
                <w:color w:val="000000"/>
                <w:kern w:val="0"/>
                <w:sz w:val="24"/>
                <w:szCs w:val="24"/>
                <w:lang w:bidi="ar"/>
              </w:rPr>
              <w:t>0</w:t>
            </w:r>
          </w:p>
        </w:tc>
        <w:tc>
          <w:tcPr>
            <w:tcW w:w="2794" w:type="dxa"/>
            <w:tcBorders>
              <w:top w:val="single" w:color="000000" w:sz="4" w:space="0"/>
              <w:left w:val="single" w:color="000000" w:sz="4" w:space="0"/>
              <w:bottom w:val="single" w:color="000000" w:sz="4" w:space="0"/>
              <w:right w:val="single" w:color="000000" w:sz="4" w:space="0"/>
            </w:tcBorders>
            <w:vAlign w:val="center"/>
          </w:tcPr>
          <w:p w14:paraId="5B5A4500">
            <w:pPr>
              <w:widowControl/>
              <w:jc w:val="center"/>
              <w:textAlignment w:val="center"/>
              <w:rPr>
                <w:rFonts w:ascii="Times New Roman" w:hAnsi="Times New Roman" w:eastAsia="等线" w:cs="Times New Roman"/>
                <w:color w:val="000000"/>
                <w:kern w:val="0"/>
                <w:sz w:val="24"/>
                <w:szCs w:val="24"/>
                <w:lang w:bidi="ar"/>
              </w:rPr>
            </w:pPr>
            <w:r>
              <w:rPr>
                <w:rFonts w:ascii="Times New Roman" w:hAnsi="Times New Roman" w:eastAsia="等线" w:cs="Times New Roman"/>
                <w:color w:val="000000"/>
                <w:kern w:val="0"/>
                <w:sz w:val="24"/>
                <w:szCs w:val="24"/>
                <w:lang w:bidi="ar"/>
              </w:rPr>
              <w:t>0</w:t>
            </w:r>
          </w:p>
        </w:tc>
        <w:tc>
          <w:tcPr>
            <w:tcW w:w="2887" w:type="dxa"/>
            <w:tcBorders>
              <w:top w:val="single" w:color="000000" w:sz="4" w:space="0"/>
              <w:left w:val="single" w:color="000000" w:sz="4" w:space="0"/>
              <w:bottom w:val="single" w:color="000000" w:sz="4" w:space="0"/>
              <w:right w:val="single" w:color="000000" w:sz="4" w:space="0"/>
            </w:tcBorders>
            <w:noWrap/>
            <w:vAlign w:val="center"/>
          </w:tcPr>
          <w:p w14:paraId="3115F03C">
            <w:pPr>
              <w:widowControl/>
              <w:jc w:val="center"/>
              <w:textAlignment w:val="center"/>
              <w:rPr>
                <w:rFonts w:ascii="Times New Roman" w:hAnsi="Times New Roman" w:eastAsia="仿宋_GB2312" w:cs="Times New Roman"/>
                <w:color w:val="000000"/>
                <w:kern w:val="0"/>
                <w:sz w:val="24"/>
                <w:szCs w:val="20"/>
              </w:rPr>
            </w:pPr>
            <w:r>
              <w:rPr>
                <w:rFonts w:ascii="Times New Roman" w:hAnsi="Times New Roman" w:eastAsia="等线" w:cs="Times New Roman"/>
                <w:color w:val="000000"/>
                <w:kern w:val="0"/>
                <w:sz w:val="24"/>
                <w:szCs w:val="24"/>
                <w:lang w:bidi="ar"/>
              </w:rPr>
              <w:t>0</w:t>
            </w:r>
          </w:p>
        </w:tc>
        <w:tc>
          <w:tcPr>
            <w:tcW w:w="2423" w:type="dxa"/>
            <w:tcBorders>
              <w:top w:val="single" w:color="000000" w:sz="4" w:space="0"/>
              <w:left w:val="single" w:color="000000" w:sz="4" w:space="0"/>
              <w:bottom w:val="single" w:color="000000" w:sz="4" w:space="0"/>
              <w:right w:val="single" w:color="000000" w:sz="4" w:space="0"/>
            </w:tcBorders>
            <w:noWrap/>
            <w:vAlign w:val="center"/>
          </w:tcPr>
          <w:p w14:paraId="31AE0278">
            <w:pPr>
              <w:widowControl/>
              <w:jc w:val="center"/>
              <w:textAlignment w:val="center"/>
              <w:rPr>
                <w:rFonts w:ascii="Times New Roman" w:hAnsi="Times New Roman" w:eastAsia="仿宋_GB2312" w:cs="Times New Roman"/>
                <w:color w:val="000000"/>
                <w:kern w:val="0"/>
                <w:sz w:val="24"/>
                <w:szCs w:val="20"/>
              </w:rPr>
            </w:pPr>
            <w:r>
              <w:rPr>
                <w:rFonts w:hint="eastAsia" w:ascii="Times New Roman" w:hAnsi="Times New Roman" w:eastAsia="等线" w:cs="Times New Roman"/>
                <w:color w:val="000000"/>
                <w:kern w:val="0"/>
                <w:sz w:val="24"/>
                <w:szCs w:val="24"/>
                <w:lang w:bidi="ar"/>
              </w:rPr>
              <w:t>3500</w:t>
            </w:r>
          </w:p>
        </w:tc>
      </w:tr>
      <w:tr w14:paraId="39BDD509">
        <w:tblPrEx>
          <w:tblCellMar>
            <w:top w:w="0" w:type="dxa"/>
            <w:left w:w="108" w:type="dxa"/>
            <w:bottom w:w="0" w:type="dxa"/>
            <w:right w:w="108" w:type="dxa"/>
          </w:tblCellMar>
        </w:tblPrEx>
        <w:trPr>
          <w:trHeight w:val="454" w:hRule="atLeast"/>
        </w:trPr>
        <w:tc>
          <w:tcPr>
            <w:tcW w:w="936" w:type="dxa"/>
            <w:tcBorders>
              <w:top w:val="single" w:color="000000" w:sz="4" w:space="0"/>
              <w:left w:val="single" w:color="000000" w:sz="4" w:space="0"/>
              <w:bottom w:val="single" w:color="000000" w:sz="4" w:space="0"/>
              <w:right w:val="single" w:color="000000" w:sz="4" w:space="0"/>
            </w:tcBorders>
            <w:noWrap/>
            <w:vAlign w:val="center"/>
          </w:tcPr>
          <w:p w14:paraId="7BBE5865">
            <w:pPr>
              <w:pStyle w:val="72"/>
              <w:rPr>
                <w:rFonts w:ascii="Times New Roman" w:hAnsi="Times New Roman" w:eastAsia="仿宋_GB2312" w:cs="Times New Roman"/>
              </w:rPr>
            </w:pPr>
            <w:r>
              <w:rPr>
                <w:rFonts w:hint="eastAsia" w:ascii="Times New Roman" w:hAnsi="Times New Roman" w:eastAsia="仿宋_GB2312" w:cs="Times New Roman"/>
              </w:rPr>
              <w:t>惠来县</w:t>
            </w:r>
          </w:p>
        </w:tc>
        <w:tc>
          <w:tcPr>
            <w:tcW w:w="2170" w:type="dxa"/>
            <w:tcBorders>
              <w:top w:val="single" w:color="000000" w:sz="4" w:space="0"/>
              <w:left w:val="single" w:color="000000" w:sz="4" w:space="0"/>
              <w:bottom w:val="single" w:color="000000" w:sz="4" w:space="0"/>
              <w:right w:val="single" w:color="000000" w:sz="4" w:space="0"/>
            </w:tcBorders>
            <w:noWrap/>
            <w:vAlign w:val="center"/>
          </w:tcPr>
          <w:p w14:paraId="50521BCB">
            <w:pPr>
              <w:widowControl/>
              <w:jc w:val="center"/>
              <w:textAlignment w:val="center"/>
              <w:rPr>
                <w:rFonts w:ascii="Times New Roman" w:hAnsi="Times New Roman" w:eastAsia="仿宋_GB2312" w:cs="Times New Roman"/>
                <w:color w:val="000000"/>
                <w:kern w:val="0"/>
                <w:sz w:val="24"/>
                <w:szCs w:val="20"/>
              </w:rPr>
            </w:pPr>
            <w:r>
              <w:rPr>
                <w:rFonts w:ascii="Times New Roman" w:hAnsi="Times New Roman" w:eastAsia="等线" w:cs="Times New Roman"/>
                <w:color w:val="000000"/>
                <w:kern w:val="0"/>
                <w:sz w:val="24"/>
                <w:szCs w:val="24"/>
                <w:lang w:bidi="ar"/>
              </w:rPr>
              <w:t>10000</w:t>
            </w:r>
          </w:p>
        </w:tc>
        <w:tc>
          <w:tcPr>
            <w:tcW w:w="2738" w:type="dxa"/>
            <w:tcBorders>
              <w:top w:val="single" w:color="000000" w:sz="4" w:space="0"/>
              <w:left w:val="single" w:color="000000" w:sz="4" w:space="0"/>
              <w:bottom w:val="single" w:color="000000" w:sz="4" w:space="0"/>
              <w:right w:val="single" w:color="000000" w:sz="4" w:space="0"/>
            </w:tcBorders>
            <w:noWrap/>
            <w:vAlign w:val="center"/>
          </w:tcPr>
          <w:p w14:paraId="79011362">
            <w:pPr>
              <w:widowControl/>
              <w:jc w:val="center"/>
              <w:textAlignment w:val="center"/>
              <w:rPr>
                <w:rFonts w:hint="eastAsia" w:ascii="Times New Roman" w:hAnsi="Times New Roman" w:eastAsia="仿宋_GB2312" w:cs="Times New Roman"/>
                <w:color w:val="000000"/>
                <w:kern w:val="0"/>
                <w:sz w:val="24"/>
                <w:szCs w:val="24"/>
                <w:lang w:eastAsia="zh-CN" w:bidi="ar"/>
              </w:rPr>
            </w:pPr>
            <w:r>
              <w:rPr>
                <w:rFonts w:hint="eastAsia" w:ascii="Times New Roman" w:hAnsi="Times New Roman" w:eastAsia="仿宋_GB2312" w:cs="Times New Roman"/>
                <w:color w:val="000000"/>
                <w:kern w:val="0"/>
                <w:sz w:val="24"/>
                <w:szCs w:val="24"/>
                <w:lang w:val="en-US" w:eastAsia="zh-CN" w:bidi="ar"/>
              </w:rPr>
              <w:t>0</w:t>
            </w:r>
          </w:p>
        </w:tc>
        <w:tc>
          <w:tcPr>
            <w:tcW w:w="2794" w:type="dxa"/>
            <w:tcBorders>
              <w:top w:val="single" w:color="000000" w:sz="4" w:space="0"/>
              <w:left w:val="single" w:color="000000" w:sz="4" w:space="0"/>
              <w:bottom w:val="single" w:color="000000" w:sz="4" w:space="0"/>
              <w:right w:val="single" w:color="000000" w:sz="4" w:space="0"/>
            </w:tcBorders>
            <w:vAlign w:val="center"/>
          </w:tcPr>
          <w:p w14:paraId="3951923C">
            <w:pPr>
              <w:widowControl/>
              <w:jc w:val="center"/>
              <w:textAlignment w:val="center"/>
              <w:rPr>
                <w:rFonts w:ascii="Times New Roman" w:hAnsi="Times New Roman" w:eastAsia="等线" w:cs="Times New Roman"/>
                <w:color w:val="000000"/>
                <w:kern w:val="0"/>
                <w:sz w:val="24"/>
                <w:szCs w:val="24"/>
                <w:lang w:bidi="ar"/>
              </w:rPr>
            </w:pPr>
            <w:r>
              <w:rPr>
                <w:rFonts w:hint="eastAsia" w:ascii="Times New Roman" w:hAnsi="Times New Roman" w:eastAsia="等线" w:cs="Times New Roman"/>
                <w:color w:val="000000"/>
                <w:kern w:val="0"/>
                <w:sz w:val="24"/>
                <w:szCs w:val="24"/>
                <w:lang w:bidi="ar"/>
              </w:rPr>
              <w:t>270</w:t>
            </w:r>
          </w:p>
        </w:tc>
        <w:tc>
          <w:tcPr>
            <w:tcW w:w="2887" w:type="dxa"/>
            <w:tcBorders>
              <w:top w:val="single" w:color="000000" w:sz="4" w:space="0"/>
              <w:left w:val="single" w:color="000000" w:sz="4" w:space="0"/>
              <w:bottom w:val="single" w:color="000000" w:sz="4" w:space="0"/>
              <w:right w:val="single" w:color="000000" w:sz="4" w:space="0"/>
            </w:tcBorders>
            <w:noWrap/>
            <w:vAlign w:val="center"/>
          </w:tcPr>
          <w:p w14:paraId="0963D68D">
            <w:pPr>
              <w:widowControl/>
              <w:jc w:val="center"/>
              <w:textAlignment w:val="center"/>
              <w:rPr>
                <w:rFonts w:hint="default" w:ascii="Times New Roman" w:hAnsi="Times New Roman" w:eastAsia="等线" w:cs="Times New Roman"/>
                <w:color w:val="000000"/>
                <w:kern w:val="0"/>
                <w:sz w:val="24"/>
                <w:szCs w:val="20"/>
                <w:lang w:val="en-US" w:eastAsia="zh-CN"/>
              </w:rPr>
            </w:pPr>
            <w:r>
              <w:rPr>
                <w:rFonts w:hint="eastAsia" w:ascii="Times New Roman" w:hAnsi="Times New Roman" w:eastAsia="等线" w:cs="Times New Roman"/>
                <w:color w:val="000000"/>
                <w:kern w:val="0"/>
                <w:sz w:val="24"/>
                <w:szCs w:val="24"/>
                <w:lang w:val="en-US" w:eastAsia="zh-CN" w:bidi="ar"/>
              </w:rPr>
              <w:t>900</w:t>
            </w:r>
          </w:p>
        </w:tc>
        <w:tc>
          <w:tcPr>
            <w:tcW w:w="2423" w:type="dxa"/>
            <w:tcBorders>
              <w:top w:val="single" w:color="000000" w:sz="4" w:space="0"/>
              <w:left w:val="single" w:color="000000" w:sz="4" w:space="0"/>
              <w:bottom w:val="single" w:color="000000" w:sz="4" w:space="0"/>
              <w:right w:val="single" w:color="000000" w:sz="4" w:space="0"/>
            </w:tcBorders>
            <w:noWrap/>
            <w:vAlign w:val="center"/>
          </w:tcPr>
          <w:p w14:paraId="562A8F07">
            <w:pPr>
              <w:widowControl/>
              <w:jc w:val="center"/>
              <w:textAlignment w:val="center"/>
              <w:rPr>
                <w:rFonts w:hint="default" w:ascii="Times New Roman" w:hAnsi="Times New Roman" w:eastAsia="等线" w:cs="Times New Roman"/>
                <w:color w:val="000000"/>
                <w:kern w:val="0"/>
                <w:sz w:val="24"/>
                <w:szCs w:val="20"/>
                <w:lang w:val="en-US" w:eastAsia="zh-CN"/>
              </w:rPr>
            </w:pPr>
            <w:r>
              <w:rPr>
                <w:rFonts w:hint="eastAsia" w:ascii="Times New Roman" w:hAnsi="Times New Roman" w:eastAsia="等线" w:cs="Times New Roman"/>
                <w:color w:val="000000"/>
                <w:kern w:val="0"/>
                <w:sz w:val="24"/>
                <w:szCs w:val="24"/>
                <w:lang w:val="en-US" w:eastAsia="zh-CN" w:bidi="ar"/>
              </w:rPr>
              <w:t>10900</w:t>
            </w:r>
          </w:p>
        </w:tc>
      </w:tr>
      <w:tr w14:paraId="14A3B363">
        <w:tblPrEx>
          <w:tblCellMar>
            <w:top w:w="0" w:type="dxa"/>
            <w:left w:w="108" w:type="dxa"/>
            <w:bottom w:w="0" w:type="dxa"/>
            <w:right w:w="108" w:type="dxa"/>
          </w:tblCellMar>
        </w:tblPrEx>
        <w:trPr>
          <w:trHeight w:val="454" w:hRule="atLeast"/>
        </w:trPr>
        <w:tc>
          <w:tcPr>
            <w:tcW w:w="936" w:type="dxa"/>
            <w:tcBorders>
              <w:top w:val="single" w:color="000000" w:sz="4" w:space="0"/>
              <w:left w:val="single" w:color="000000" w:sz="4" w:space="0"/>
              <w:bottom w:val="single" w:color="000000" w:sz="4" w:space="0"/>
              <w:right w:val="single" w:color="000000" w:sz="4" w:space="0"/>
            </w:tcBorders>
            <w:noWrap/>
            <w:vAlign w:val="center"/>
          </w:tcPr>
          <w:p w14:paraId="42A29DC6">
            <w:pPr>
              <w:pStyle w:val="72"/>
              <w:rPr>
                <w:rFonts w:ascii="Times New Roman" w:hAnsi="Times New Roman" w:eastAsia="仿宋_GB2312" w:cs="Times New Roman"/>
                <w:b/>
                <w:bCs/>
              </w:rPr>
            </w:pPr>
            <w:r>
              <w:rPr>
                <w:rFonts w:ascii="Times New Roman" w:hAnsi="Times New Roman" w:eastAsia="仿宋_GB2312" w:cs="Times New Roman"/>
                <w:b/>
                <w:bCs/>
              </w:rPr>
              <w:t>全市</w:t>
            </w:r>
          </w:p>
        </w:tc>
        <w:tc>
          <w:tcPr>
            <w:tcW w:w="2170" w:type="dxa"/>
            <w:tcBorders>
              <w:top w:val="single" w:color="000000" w:sz="4" w:space="0"/>
              <w:left w:val="single" w:color="000000" w:sz="4" w:space="0"/>
              <w:bottom w:val="single" w:color="000000" w:sz="4" w:space="0"/>
              <w:right w:val="single" w:color="000000" w:sz="4" w:space="0"/>
            </w:tcBorders>
            <w:noWrap/>
            <w:vAlign w:val="center"/>
          </w:tcPr>
          <w:p w14:paraId="738B9728">
            <w:pPr>
              <w:widowControl/>
              <w:jc w:val="center"/>
              <w:textAlignment w:val="center"/>
              <w:rPr>
                <w:rFonts w:ascii="Times New Roman" w:hAnsi="Times New Roman" w:eastAsia="仿宋_GB2312" w:cs="Times New Roman"/>
                <w:b/>
                <w:bCs/>
                <w:color w:val="000000"/>
                <w:kern w:val="0"/>
                <w:sz w:val="24"/>
                <w:szCs w:val="20"/>
              </w:rPr>
            </w:pPr>
            <w:r>
              <w:rPr>
                <w:rFonts w:hint="eastAsia" w:ascii="Times New Roman" w:hAnsi="Times New Roman" w:eastAsia="等线" w:cs="Times New Roman"/>
                <w:b/>
                <w:bCs/>
                <w:color w:val="000000"/>
                <w:kern w:val="0"/>
                <w:sz w:val="24"/>
                <w:szCs w:val="24"/>
                <w:lang w:bidi="ar"/>
              </w:rPr>
              <w:t>52500</w:t>
            </w:r>
          </w:p>
        </w:tc>
        <w:tc>
          <w:tcPr>
            <w:tcW w:w="2738" w:type="dxa"/>
            <w:tcBorders>
              <w:top w:val="single" w:color="000000" w:sz="4" w:space="0"/>
              <w:left w:val="single" w:color="000000" w:sz="4" w:space="0"/>
              <w:bottom w:val="single" w:color="000000" w:sz="4" w:space="0"/>
              <w:right w:val="single" w:color="000000" w:sz="4" w:space="0"/>
            </w:tcBorders>
            <w:noWrap/>
            <w:vAlign w:val="center"/>
          </w:tcPr>
          <w:p w14:paraId="4D32DEC1">
            <w:pPr>
              <w:widowControl/>
              <w:jc w:val="center"/>
              <w:textAlignment w:val="center"/>
              <w:rPr>
                <w:rFonts w:hint="default" w:ascii="Times New Roman" w:hAnsi="Times New Roman" w:eastAsia="等线" w:cs="Times New Roman"/>
                <w:b/>
                <w:bCs/>
                <w:color w:val="000000"/>
                <w:kern w:val="0"/>
                <w:sz w:val="24"/>
                <w:szCs w:val="24"/>
                <w:lang w:val="en-US" w:eastAsia="zh-CN" w:bidi="ar"/>
              </w:rPr>
            </w:pPr>
            <w:r>
              <w:rPr>
                <w:rFonts w:hint="eastAsia" w:ascii="Times New Roman" w:hAnsi="Times New Roman" w:eastAsia="等线" w:cs="Times New Roman"/>
                <w:b/>
                <w:bCs/>
                <w:color w:val="000000"/>
                <w:kern w:val="0"/>
                <w:sz w:val="24"/>
                <w:szCs w:val="24"/>
                <w:lang w:val="en-US" w:eastAsia="zh-CN" w:bidi="ar"/>
              </w:rPr>
              <w:t>100</w:t>
            </w:r>
          </w:p>
        </w:tc>
        <w:tc>
          <w:tcPr>
            <w:tcW w:w="2794" w:type="dxa"/>
            <w:tcBorders>
              <w:top w:val="single" w:color="000000" w:sz="4" w:space="0"/>
              <w:left w:val="single" w:color="000000" w:sz="4" w:space="0"/>
              <w:bottom w:val="single" w:color="000000" w:sz="4" w:space="0"/>
              <w:right w:val="single" w:color="000000" w:sz="4" w:space="0"/>
            </w:tcBorders>
            <w:vAlign w:val="center"/>
          </w:tcPr>
          <w:p w14:paraId="33986A74">
            <w:pPr>
              <w:widowControl/>
              <w:jc w:val="center"/>
              <w:textAlignment w:val="center"/>
              <w:rPr>
                <w:rFonts w:ascii="Times New Roman" w:hAnsi="Times New Roman" w:eastAsia="等线" w:cs="Times New Roman"/>
                <w:b/>
                <w:bCs/>
                <w:color w:val="000000"/>
                <w:kern w:val="0"/>
                <w:sz w:val="24"/>
                <w:szCs w:val="24"/>
                <w:lang w:bidi="ar"/>
              </w:rPr>
            </w:pPr>
            <w:r>
              <w:rPr>
                <w:rFonts w:hint="eastAsia" w:ascii="Times New Roman" w:hAnsi="Times New Roman" w:eastAsia="等线" w:cs="Times New Roman"/>
                <w:b/>
                <w:bCs/>
                <w:color w:val="000000"/>
                <w:kern w:val="0"/>
                <w:sz w:val="24"/>
                <w:szCs w:val="24"/>
                <w:lang w:bidi="ar"/>
              </w:rPr>
              <w:t>300</w:t>
            </w:r>
          </w:p>
        </w:tc>
        <w:tc>
          <w:tcPr>
            <w:tcW w:w="2887" w:type="dxa"/>
            <w:tcBorders>
              <w:top w:val="single" w:color="000000" w:sz="4" w:space="0"/>
              <w:left w:val="single" w:color="000000" w:sz="4" w:space="0"/>
              <w:bottom w:val="single" w:color="000000" w:sz="4" w:space="0"/>
              <w:right w:val="single" w:color="000000" w:sz="4" w:space="0"/>
            </w:tcBorders>
            <w:noWrap/>
            <w:vAlign w:val="center"/>
          </w:tcPr>
          <w:p w14:paraId="7938C3E5">
            <w:pPr>
              <w:widowControl/>
              <w:jc w:val="center"/>
              <w:textAlignment w:val="center"/>
              <w:rPr>
                <w:rFonts w:hint="default" w:ascii="Times New Roman" w:hAnsi="Times New Roman" w:eastAsia="等线" w:cs="Times New Roman"/>
                <w:b/>
                <w:bCs/>
                <w:color w:val="000000"/>
                <w:kern w:val="0"/>
                <w:sz w:val="24"/>
                <w:szCs w:val="20"/>
                <w:lang w:val="en-US" w:eastAsia="zh-CN"/>
              </w:rPr>
            </w:pPr>
            <w:r>
              <w:rPr>
                <w:rFonts w:hint="eastAsia" w:ascii="Times New Roman" w:hAnsi="Times New Roman" w:eastAsia="等线" w:cs="Times New Roman"/>
                <w:b/>
                <w:bCs/>
                <w:color w:val="000000"/>
                <w:kern w:val="0"/>
                <w:sz w:val="24"/>
                <w:szCs w:val="24"/>
                <w:lang w:val="en-US" w:eastAsia="zh-CN" w:bidi="ar"/>
              </w:rPr>
              <w:t>1546</w:t>
            </w:r>
          </w:p>
        </w:tc>
        <w:tc>
          <w:tcPr>
            <w:tcW w:w="2423" w:type="dxa"/>
            <w:tcBorders>
              <w:top w:val="single" w:color="000000" w:sz="4" w:space="0"/>
              <w:left w:val="single" w:color="000000" w:sz="4" w:space="0"/>
              <w:bottom w:val="single" w:color="000000" w:sz="4" w:space="0"/>
              <w:right w:val="single" w:color="000000" w:sz="4" w:space="0"/>
            </w:tcBorders>
            <w:noWrap/>
            <w:vAlign w:val="center"/>
          </w:tcPr>
          <w:p w14:paraId="11C02DA4">
            <w:pPr>
              <w:widowControl/>
              <w:jc w:val="center"/>
              <w:textAlignment w:val="center"/>
              <w:rPr>
                <w:rFonts w:ascii="Times New Roman" w:hAnsi="Times New Roman" w:eastAsia="仿宋_GB2312" w:cs="Times New Roman"/>
                <w:b/>
                <w:bCs/>
                <w:color w:val="000000"/>
                <w:kern w:val="0"/>
                <w:sz w:val="24"/>
                <w:szCs w:val="20"/>
              </w:rPr>
            </w:pPr>
            <w:r>
              <w:rPr>
                <w:rFonts w:hint="eastAsia" w:ascii="Times New Roman" w:hAnsi="Times New Roman" w:eastAsia="等线" w:cs="Times New Roman"/>
                <w:b/>
                <w:bCs/>
                <w:color w:val="000000"/>
                <w:kern w:val="0"/>
                <w:sz w:val="24"/>
                <w:szCs w:val="24"/>
                <w:lang w:val="en-US" w:eastAsia="zh-CN" w:bidi="ar"/>
              </w:rPr>
              <w:t>54516</w:t>
            </w:r>
          </w:p>
        </w:tc>
      </w:tr>
    </w:tbl>
    <w:p w14:paraId="6725A964">
      <w:pPr>
        <w:pStyle w:val="79"/>
        <w:spacing w:line="240" w:lineRule="auto"/>
        <w:jc w:val="both"/>
        <w:rPr>
          <w:rFonts w:hint="eastAsia" w:ascii="仿宋_GB2312" w:hAnsi="仿宋_GB2312" w:eastAsia="仿宋_GB2312" w:cs="仿宋_GB2312"/>
          <w:spacing w:val="-6"/>
        </w:rPr>
      </w:pPr>
      <w:r>
        <w:rPr>
          <w:rFonts w:hint="eastAsia" w:ascii="仿宋_GB2312" w:hAnsi="仿宋_GB2312" w:eastAsia="仿宋_GB2312" w:cs="仿宋_GB2312"/>
          <w:spacing w:val="-6"/>
        </w:rPr>
        <w:t>注：新建商品住房结合2024年各县（市、区）常住人口规模占全市比重和2025年12月末新建商品住房库存去化周期进行折算分配。保障性住房（含租赁补贴）综合考虑申请和轮候情况进行分配。保障性租赁住房综合考虑产业发展诉求进行分配。</w:t>
      </w:r>
    </w:p>
    <w:p w14:paraId="2AE045A9">
      <w:pPr>
        <w:widowControl/>
        <w:spacing w:line="600" w:lineRule="exact"/>
        <w:jc w:val="center"/>
        <w:textAlignment w:val="center"/>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14:paraId="78DD202F">
      <w:pPr>
        <w:pStyle w:val="79"/>
        <w:spacing w:line="240" w:lineRule="auto"/>
        <w:jc w:val="both"/>
        <w:outlineLvl w:val="0"/>
        <w:rPr>
          <w:rFonts w:hint="default" w:ascii="Times New Roman" w:hAnsi="Times New Roman" w:cs="Times New Roman"/>
          <w:sz w:val="32"/>
          <w:szCs w:val="32"/>
        </w:rPr>
      </w:pPr>
      <w:bookmarkStart w:id="129" w:name="_Toc24449"/>
      <w:bookmarkStart w:id="130" w:name="_Toc214553857"/>
      <w:bookmarkStart w:id="131" w:name="_Toc230790073"/>
      <w:bookmarkStart w:id="132" w:name="_Toc10102"/>
      <w:bookmarkStart w:id="133" w:name="_Toc19546"/>
      <w:r>
        <w:rPr>
          <w:rFonts w:hint="eastAsia" w:cs="Times New Roman"/>
          <w:sz w:val="32"/>
          <w:szCs w:val="32"/>
          <w:lang w:val="en-US" w:eastAsia="zh-CN"/>
        </w:rPr>
        <w:t>附件</w:t>
      </w:r>
      <w:r>
        <w:rPr>
          <w:rFonts w:hint="default" w:ascii="Times New Roman" w:hAnsi="Times New Roman" w:cs="Times New Roman"/>
          <w:sz w:val="32"/>
          <w:szCs w:val="32"/>
        </w:rPr>
        <w:t>3</w:t>
      </w:r>
      <w:r>
        <w:rPr>
          <w:rFonts w:hint="eastAsia" w:cs="Times New Roman"/>
          <w:sz w:val="32"/>
          <w:szCs w:val="32"/>
          <w:lang w:eastAsia="zh-CN"/>
        </w:rPr>
        <w:t>：</w:t>
      </w:r>
      <w:r>
        <w:rPr>
          <w:rFonts w:hint="default" w:ascii="Times New Roman" w:hAnsi="Times New Roman" w:cs="Times New Roman"/>
          <w:sz w:val="32"/>
          <w:szCs w:val="32"/>
        </w:rPr>
        <w:t>揭阳市</w:t>
      </w:r>
      <w:r>
        <w:rPr>
          <w:rFonts w:hint="eastAsia" w:cs="Times New Roman"/>
          <w:sz w:val="32"/>
          <w:szCs w:val="32"/>
          <w:lang w:eastAsia="zh-CN"/>
        </w:rPr>
        <w:t>“</w:t>
      </w:r>
      <w:r>
        <w:rPr>
          <w:rFonts w:hint="default" w:ascii="Times New Roman" w:hAnsi="Times New Roman" w:cs="Times New Roman"/>
          <w:sz w:val="32"/>
          <w:szCs w:val="32"/>
        </w:rPr>
        <w:t>十五五</w:t>
      </w:r>
      <w:r>
        <w:rPr>
          <w:rFonts w:hint="eastAsia" w:cs="Times New Roman"/>
          <w:sz w:val="32"/>
          <w:szCs w:val="32"/>
          <w:lang w:eastAsia="zh-CN"/>
        </w:rPr>
        <w:t>”</w:t>
      </w:r>
      <w:r>
        <w:rPr>
          <w:rFonts w:hint="default" w:ascii="Times New Roman" w:hAnsi="Times New Roman" w:cs="Times New Roman"/>
          <w:sz w:val="32"/>
          <w:szCs w:val="32"/>
        </w:rPr>
        <w:t>住房供应时序目标</w:t>
      </w:r>
      <w:bookmarkEnd w:id="129"/>
      <w:bookmarkEnd w:id="130"/>
      <w:bookmarkEnd w:id="131"/>
      <w:bookmarkEnd w:id="132"/>
      <w:bookmarkEnd w:id="133"/>
    </w:p>
    <w:p w14:paraId="5628A954">
      <w:pPr>
        <w:pStyle w:val="78"/>
        <w:jc w:val="right"/>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单位：套（间）、户</w:t>
      </w:r>
    </w:p>
    <w:tbl>
      <w:tblPr>
        <w:tblStyle w:val="27"/>
        <w:tblW w:w="139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4"/>
        <w:gridCol w:w="2175"/>
        <w:gridCol w:w="2737"/>
        <w:gridCol w:w="2719"/>
        <w:gridCol w:w="2963"/>
        <w:gridCol w:w="2310"/>
      </w:tblGrid>
      <w:tr w14:paraId="64C77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trPr>
        <w:tc>
          <w:tcPr>
            <w:tcW w:w="1044" w:type="dxa"/>
            <w:noWrap/>
            <w:vAlign w:val="center"/>
          </w:tcPr>
          <w:p w14:paraId="70F4D7E6">
            <w:pPr>
              <w:pStyle w:val="73"/>
              <w:jc w:val="center"/>
              <w:textAlignment w:val="center"/>
              <w:rPr>
                <w:rFonts w:hint="default" w:ascii="Times New Roman" w:hAnsi="Times New Roman" w:eastAsia="仿宋_GB2312" w:cs="Times New Roman"/>
                <w:b/>
                <w:bCs/>
              </w:rPr>
            </w:pPr>
            <w:bookmarkStart w:id="134" w:name="_Hlk70539169"/>
            <w:r>
              <w:rPr>
                <w:rFonts w:ascii="Times New Roman" w:hAnsi="Times New Roman" w:eastAsia="仿宋_GB2312" w:cs="Times New Roman"/>
                <w:b/>
                <w:bCs/>
              </w:rPr>
              <w:t>年份</w:t>
            </w:r>
          </w:p>
        </w:tc>
        <w:tc>
          <w:tcPr>
            <w:tcW w:w="2175" w:type="dxa"/>
            <w:noWrap/>
            <w:vAlign w:val="center"/>
          </w:tcPr>
          <w:p w14:paraId="7C0B9154">
            <w:pPr>
              <w:pStyle w:val="73"/>
              <w:jc w:val="center"/>
              <w:textAlignment w:val="center"/>
              <w:rPr>
                <w:rFonts w:hint="default" w:ascii="Times New Roman" w:hAnsi="Times New Roman" w:eastAsia="仿宋_GB2312" w:cs="Times New Roman"/>
                <w:b/>
                <w:bCs/>
              </w:rPr>
            </w:pPr>
            <w:r>
              <w:rPr>
                <w:rFonts w:ascii="Times New Roman" w:hAnsi="Times New Roman" w:eastAsia="仿宋_GB2312" w:cs="Times New Roman"/>
                <w:b/>
                <w:bCs/>
              </w:rPr>
              <w:t>新建商品住房（套）</w:t>
            </w:r>
          </w:p>
        </w:tc>
        <w:tc>
          <w:tcPr>
            <w:tcW w:w="2737" w:type="dxa"/>
            <w:vAlign w:val="center"/>
          </w:tcPr>
          <w:p w14:paraId="62D3509B">
            <w:pPr>
              <w:pStyle w:val="73"/>
              <w:jc w:val="center"/>
              <w:textAlignment w:val="center"/>
              <w:rPr>
                <w:rFonts w:hint="default" w:ascii="Times New Roman" w:hAnsi="Times New Roman" w:eastAsia="仿宋_GB2312" w:cs="Times New Roman"/>
                <w:b/>
                <w:bCs/>
              </w:rPr>
            </w:pPr>
            <w:r>
              <w:rPr>
                <w:rFonts w:ascii="Times New Roman" w:hAnsi="Times New Roman" w:eastAsia="仿宋_GB2312" w:cs="Times New Roman"/>
                <w:b/>
                <w:bCs/>
              </w:rPr>
              <w:t>供应公共租赁住房</w:t>
            </w:r>
            <w:r>
              <w:rPr>
                <w:rFonts w:hint="default" w:ascii="Times New Roman" w:hAnsi="Times New Roman" w:eastAsia="仿宋_GB2312" w:cs="Times New Roman"/>
                <w:b/>
                <w:bCs/>
              </w:rPr>
              <w:t>（套）</w:t>
            </w:r>
          </w:p>
        </w:tc>
        <w:tc>
          <w:tcPr>
            <w:tcW w:w="2719" w:type="dxa"/>
            <w:vAlign w:val="center"/>
          </w:tcPr>
          <w:p w14:paraId="1C4D9569">
            <w:pPr>
              <w:pStyle w:val="73"/>
              <w:jc w:val="center"/>
              <w:textAlignment w:val="center"/>
              <w:rPr>
                <w:rFonts w:hint="default" w:ascii="Times New Roman" w:hAnsi="Times New Roman" w:eastAsia="仿宋_GB2312" w:cs="Times New Roman"/>
                <w:b/>
                <w:bCs/>
              </w:rPr>
            </w:pPr>
            <w:r>
              <w:rPr>
                <w:rFonts w:ascii="Times New Roman" w:hAnsi="Times New Roman" w:eastAsia="仿宋_GB2312" w:cs="Times New Roman"/>
                <w:b/>
                <w:bCs/>
              </w:rPr>
              <w:t>新增发放租赁补贴（户）</w:t>
            </w:r>
          </w:p>
        </w:tc>
        <w:tc>
          <w:tcPr>
            <w:tcW w:w="2963" w:type="dxa"/>
            <w:tcBorders>
              <w:bottom w:val="single" w:color="auto" w:sz="4" w:space="0"/>
            </w:tcBorders>
            <w:noWrap/>
            <w:vAlign w:val="center"/>
          </w:tcPr>
          <w:p w14:paraId="67699AF5">
            <w:pPr>
              <w:pStyle w:val="73"/>
              <w:jc w:val="center"/>
              <w:textAlignment w:val="center"/>
              <w:rPr>
                <w:rFonts w:hint="default" w:ascii="Times New Roman" w:hAnsi="Times New Roman" w:eastAsia="仿宋_GB2312" w:cs="Times New Roman"/>
                <w:b/>
                <w:bCs/>
              </w:rPr>
            </w:pPr>
            <w:r>
              <w:rPr>
                <w:rFonts w:ascii="Times New Roman" w:hAnsi="Times New Roman" w:eastAsia="仿宋_GB2312" w:cs="Times New Roman"/>
                <w:b/>
                <w:bCs/>
              </w:rPr>
              <w:t>新增筹集保障性租赁住房</w:t>
            </w:r>
          </w:p>
          <w:p w14:paraId="596AA396">
            <w:pPr>
              <w:pStyle w:val="73"/>
              <w:jc w:val="center"/>
              <w:textAlignment w:val="center"/>
              <w:rPr>
                <w:rFonts w:hint="default" w:ascii="Times New Roman" w:hAnsi="Times New Roman" w:eastAsia="仿宋_GB2312" w:cs="Times New Roman"/>
                <w:b/>
                <w:bCs/>
              </w:rPr>
            </w:pPr>
            <w:r>
              <w:rPr>
                <w:rFonts w:hint="default" w:ascii="Times New Roman" w:hAnsi="Times New Roman" w:eastAsia="仿宋_GB2312" w:cs="Times New Roman"/>
                <w:b/>
                <w:bCs/>
              </w:rPr>
              <w:t>（</w:t>
            </w:r>
            <w:r>
              <w:rPr>
                <w:rFonts w:ascii="Times New Roman" w:hAnsi="Times New Roman" w:eastAsia="仿宋_GB2312" w:cs="Times New Roman"/>
                <w:b/>
                <w:bCs/>
              </w:rPr>
              <w:t>套、间</w:t>
            </w:r>
            <w:r>
              <w:rPr>
                <w:rFonts w:hint="default" w:ascii="Times New Roman" w:hAnsi="Times New Roman" w:eastAsia="仿宋_GB2312" w:cs="Times New Roman"/>
                <w:b/>
                <w:bCs/>
              </w:rPr>
              <w:t>）</w:t>
            </w:r>
          </w:p>
        </w:tc>
        <w:tc>
          <w:tcPr>
            <w:tcW w:w="2310" w:type="dxa"/>
            <w:tcBorders>
              <w:bottom w:val="single" w:color="auto" w:sz="4" w:space="0"/>
            </w:tcBorders>
            <w:noWrap/>
            <w:vAlign w:val="center"/>
          </w:tcPr>
          <w:p w14:paraId="4D41FFFF">
            <w:pPr>
              <w:pStyle w:val="73"/>
              <w:jc w:val="center"/>
              <w:textAlignment w:val="center"/>
              <w:rPr>
                <w:rFonts w:hint="default" w:ascii="Times New Roman" w:hAnsi="Times New Roman" w:eastAsia="仿宋_GB2312" w:cs="Times New Roman"/>
                <w:b/>
                <w:bCs/>
              </w:rPr>
            </w:pPr>
            <w:r>
              <w:rPr>
                <w:rFonts w:hint="eastAsia" w:ascii="Times New Roman" w:hAnsi="Times New Roman" w:eastAsia="仿宋_GB2312" w:cs="Times New Roman"/>
                <w:b/>
                <w:bCs/>
                <w:lang w:val="en-US" w:eastAsia="zh-CN"/>
              </w:rPr>
              <w:t>住房供应</w:t>
            </w:r>
            <w:r>
              <w:rPr>
                <w:rFonts w:hint="default" w:ascii="Times New Roman" w:hAnsi="Times New Roman" w:eastAsia="仿宋_GB2312" w:cs="Times New Roman"/>
                <w:b/>
                <w:bCs/>
              </w:rPr>
              <w:t>合计</w:t>
            </w:r>
          </w:p>
          <w:p w14:paraId="426982B0">
            <w:pPr>
              <w:pStyle w:val="73"/>
              <w:jc w:val="center"/>
              <w:textAlignment w:val="center"/>
              <w:rPr>
                <w:rFonts w:hint="default" w:ascii="Times New Roman" w:hAnsi="Times New Roman" w:eastAsia="仿宋_GB2312" w:cs="Times New Roman"/>
                <w:b/>
                <w:bCs/>
              </w:rPr>
            </w:pPr>
            <w:r>
              <w:rPr>
                <w:rFonts w:hint="default" w:ascii="Times New Roman" w:hAnsi="Times New Roman" w:eastAsia="仿宋_GB2312" w:cs="Times New Roman"/>
                <w:b/>
                <w:bCs/>
              </w:rPr>
              <w:t>（套</w:t>
            </w:r>
            <w:r>
              <w:rPr>
                <w:rFonts w:ascii="Times New Roman" w:hAnsi="Times New Roman" w:eastAsia="仿宋_GB2312" w:cs="Times New Roman"/>
                <w:b/>
                <w:bCs/>
              </w:rPr>
              <w:t>、间</w:t>
            </w:r>
            <w:r>
              <w:rPr>
                <w:rFonts w:hint="default" w:ascii="Times New Roman" w:hAnsi="Times New Roman" w:eastAsia="仿宋_GB2312" w:cs="Times New Roman"/>
                <w:b/>
                <w:bCs/>
              </w:rPr>
              <w:t>）</w:t>
            </w:r>
          </w:p>
        </w:tc>
      </w:tr>
      <w:tr w14:paraId="3C8C4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44" w:type="dxa"/>
            <w:noWrap/>
            <w:vAlign w:val="center"/>
          </w:tcPr>
          <w:p w14:paraId="52836D09">
            <w:pPr>
              <w:pStyle w:val="72"/>
              <w:rPr>
                <w:rFonts w:ascii="Times New Roman" w:hAnsi="Times New Roman" w:eastAsia="仿宋_GB2312" w:cs="Times New Roman"/>
                <w:color w:val="auto"/>
              </w:rPr>
            </w:pPr>
            <w:r>
              <w:rPr>
                <w:rFonts w:ascii="Times New Roman" w:hAnsi="Times New Roman" w:eastAsia="仿宋_GB2312" w:cs="Times New Roman"/>
                <w:color w:val="auto"/>
              </w:rPr>
              <w:t>2026年</w:t>
            </w:r>
          </w:p>
        </w:tc>
        <w:tc>
          <w:tcPr>
            <w:tcW w:w="2175" w:type="dxa"/>
            <w:noWrap/>
            <w:vAlign w:val="center"/>
          </w:tcPr>
          <w:p w14:paraId="16FAC0DF">
            <w:pPr>
              <w:widowControl/>
              <w:jc w:val="center"/>
              <w:textAlignment w:val="center"/>
              <w:rPr>
                <w:rFonts w:ascii="Times New Roman" w:hAnsi="Times New Roman" w:eastAsia="仿宋_GB2312" w:cs="Times New Roman"/>
              </w:rPr>
            </w:pPr>
            <w:r>
              <w:rPr>
                <w:rFonts w:ascii="Times New Roman" w:hAnsi="Times New Roman" w:eastAsia="等线" w:cs="Times New Roman"/>
                <w:color w:val="000000"/>
                <w:kern w:val="0"/>
                <w:sz w:val="24"/>
                <w:szCs w:val="24"/>
                <w:lang w:bidi="ar"/>
              </w:rPr>
              <w:t>8500</w:t>
            </w:r>
          </w:p>
        </w:tc>
        <w:tc>
          <w:tcPr>
            <w:tcW w:w="2737" w:type="dxa"/>
            <w:vAlign w:val="center"/>
          </w:tcPr>
          <w:p w14:paraId="2CC5F33E">
            <w:pPr>
              <w:widowControl/>
              <w:jc w:val="center"/>
              <w:textAlignment w:val="center"/>
              <w:rPr>
                <w:rFonts w:hint="default" w:ascii="Times New Roman" w:hAnsi="Times New Roman" w:eastAsia="等线" w:cs="Times New Roman"/>
                <w:color w:val="000000"/>
                <w:kern w:val="0"/>
                <w:sz w:val="24"/>
                <w:szCs w:val="24"/>
                <w:lang w:val="en-US" w:eastAsia="zh-CN" w:bidi="ar"/>
              </w:rPr>
            </w:pPr>
            <w:r>
              <w:rPr>
                <w:rFonts w:hint="eastAsia" w:ascii="Times New Roman" w:hAnsi="Times New Roman" w:eastAsia="等线" w:cs="Times New Roman"/>
                <w:color w:val="000000"/>
                <w:kern w:val="0"/>
                <w:sz w:val="24"/>
                <w:szCs w:val="24"/>
                <w:lang w:val="en-US" w:eastAsia="zh-CN" w:bidi="ar"/>
              </w:rPr>
              <w:t>100</w:t>
            </w:r>
          </w:p>
        </w:tc>
        <w:tc>
          <w:tcPr>
            <w:tcW w:w="2719" w:type="dxa"/>
            <w:vAlign w:val="center"/>
          </w:tcPr>
          <w:p w14:paraId="41116F42">
            <w:pPr>
              <w:widowControl/>
              <w:jc w:val="center"/>
              <w:textAlignment w:val="center"/>
              <w:rPr>
                <w:rFonts w:ascii="Times New Roman" w:hAnsi="Times New Roman" w:eastAsia="等线" w:cs="Times New Roman"/>
              </w:rPr>
            </w:pPr>
            <w:r>
              <w:rPr>
                <w:rFonts w:hint="eastAsia" w:ascii="Times New Roman" w:hAnsi="Times New Roman" w:eastAsia="等线" w:cs="Times New Roman"/>
                <w:color w:val="000000"/>
                <w:kern w:val="0"/>
                <w:sz w:val="24"/>
                <w:szCs w:val="24"/>
                <w:lang w:bidi="ar"/>
              </w:rPr>
              <w:t>60</w:t>
            </w:r>
          </w:p>
        </w:tc>
        <w:tc>
          <w:tcPr>
            <w:tcW w:w="2963" w:type="dxa"/>
            <w:tcBorders>
              <w:top w:val="single" w:color="auto" w:sz="4" w:space="0"/>
              <w:left w:val="nil"/>
              <w:bottom w:val="single" w:color="auto" w:sz="4" w:space="0"/>
              <w:right w:val="single" w:color="auto" w:sz="4" w:space="0"/>
            </w:tcBorders>
            <w:noWrap/>
            <w:vAlign w:val="center"/>
          </w:tcPr>
          <w:p w14:paraId="54E619BB">
            <w:pPr>
              <w:widowControl/>
              <w:jc w:val="center"/>
              <w:textAlignment w:val="center"/>
              <w:rPr>
                <w:rFonts w:ascii="Times New Roman" w:hAnsi="Times New Roman" w:eastAsia="等线" w:cs="Times New Roman"/>
              </w:rPr>
            </w:pPr>
            <w:r>
              <w:rPr>
                <w:rFonts w:hint="eastAsia" w:ascii="Times New Roman" w:hAnsi="Times New Roman" w:eastAsia="等线" w:cs="Times New Roman"/>
                <w:color w:val="000000"/>
                <w:kern w:val="0"/>
                <w:sz w:val="24"/>
                <w:szCs w:val="24"/>
                <w:lang w:bidi="ar"/>
              </w:rPr>
              <w:t>0</w:t>
            </w:r>
          </w:p>
        </w:tc>
        <w:tc>
          <w:tcPr>
            <w:tcW w:w="2310" w:type="dxa"/>
            <w:tcBorders>
              <w:top w:val="single" w:color="auto" w:sz="4" w:space="0"/>
              <w:left w:val="nil"/>
              <w:bottom w:val="single" w:color="auto" w:sz="4" w:space="0"/>
              <w:right w:val="single" w:color="auto" w:sz="4" w:space="0"/>
            </w:tcBorders>
            <w:noWrap/>
            <w:vAlign w:val="center"/>
          </w:tcPr>
          <w:p w14:paraId="1A760436">
            <w:pPr>
              <w:widowControl/>
              <w:jc w:val="center"/>
              <w:textAlignment w:val="center"/>
              <w:rPr>
                <w:rFonts w:ascii="Times New Roman" w:hAnsi="Times New Roman" w:eastAsia="等线" w:cs="Times New Roman"/>
                <w:b w:val="0"/>
                <w:bCs w:val="0"/>
                <w:color w:val="000000"/>
                <w:kern w:val="0"/>
                <w:sz w:val="24"/>
                <w:szCs w:val="24"/>
                <w:lang w:bidi="ar"/>
              </w:rPr>
            </w:pPr>
            <w:r>
              <w:rPr>
                <w:rFonts w:hint="eastAsia" w:ascii="Times New Roman" w:hAnsi="Times New Roman" w:eastAsia="等线" w:cs="Times New Roman"/>
                <w:b w:val="0"/>
                <w:bCs w:val="0"/>
                <w:color w:val="000000"/>
                <w:kern w:val="0"/>
                <w:sz w:val="24"/>
                <w:szCs w:val="24"/>
                <w:lang w:val="en-US" w:eastAsia="zh-CN" w:bidi="ar"/>
              </w:rPr>
              <w:t>8600</w:t>
            </w:r>
          </w:p>
        </w:tc>
      </w:tr>
      <w:tr w14:paraId="53995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44" w:type="dxa"/>
            <w:noWrap/>
            <w:vAlign w:val="center"/>
          </w:tcPr>
          <w:p w14:paraId="6C8B1FCF">
            <w:pPr>
              <w:pStyle w:val="72"/>
              <w:rPr>
                <w:rFonts w:ascii="Times New Roman" w:hAnsi="Times New Roman" w:eastAsia="仿宋_GB2312" w:cs="Times New Roman"/>
                <w:color w:val="auto"/>
              </w:rPr>
            </w:pPr>
            <w:r>
              <w:rPr>
                <w:rFonts w:ascii="Times New Roman" w:hAnsi="Times New Roman" w:eastAsia="仿宋_GB2312" w:cs="Times New Roman"/>
                <w:color w:val="auto"/>
              </w:rPr>
              <w:t>2027年</w:t>
            </w:r>
          </w:p>
        </w:tc>
        <w:tc>
          <w:tcPr>
            <w:tcW w:w="2175" w:type="dxa"/>
            <w:noWrap/>
            <w:vAlign w:val="center"/>
          </w:tcPr>
          <w:p w14:paraId="30503D3D">
            <w:pPr>
              <w:widowControl/>
              <w:jc w:val="center"/>
              <w:textAlignment w:val="center"/>
              <w:rPr>
                <w:rFonts w:ascii="Times New Roman" w:hAnsi="Times New Roman" w:eastAsia="仿宋_GB2312" w:cs="Times New Roman"/>
              </w:rPr>
            </w:pPr>
            <w:r>
              <w:rPr>
                <w:rFonts w:ascii="Times New Roman" w:hAnsi="Times New Roman" w:eastAsia="等线" w:cs="Times New Roman"/>
                <w:color w:val="000000"/>
                <w:kern w:val="0"/>
                <w:sz w:val="24"/>
                <w:szCs w:val="24"/>
                <w:lang w:bidi="ar"/>
              </w:rPr>
              <w:t>9000</w:t>
            </w:r>
          </w:p>
        </w:tc>
        <w:tc>
          <w:tcPr>
            <w:tcW w:w="2737" w:type="dxa"/>
            <w:vAlign w:val="center"/>
          </w:tcPr>
          <w:p w14:paraId="114A1C83">
            <w:pPr>
              <w:widowControl/>
              <w:jc w:val="center"/>
              <w:textAlignment w:val="center"/>
              <w:rPr>
                <w:rFonts w:ascii="Times New Roman" w:hAnsi="Times New Roman" w:eastAsia="等线" w:cs="Times New Roman"/>
                <w:color w:val="000000"/>
                <w:kern w:val="0"/>
                <w:sz w:val="24"/>
                <w:szCs w:val="24"/>
                <w:lang w:bidi="ar"/>
              </w:rPr>
            </w:pPr>
            <w:r>
              <w:rPr>
                <w:rFonts w:hint="eastAsia" w:ascii="Times New Roman" w:hAnsi="Times New Roman" w:eastAsia="等线" w:cs="Times New Roman"/>
                <w:color w:val="000000"/>
                <w:kern w:val="0"/>
                <w:sz w:val="24"/>
                <w:szCs w:val="24"/>
                <w:lang w:bidi="ar"/>
              </w:rPr>
              <w:t>0</w:t>
            </w:r>
          </w:p>
        </w:tc>
        <w:tc>
          <w:tcPr>
            <w:tcW w:w="2719" w:type="dxa"/>
            <w:vAlign w:val="center"/>
          </w:tcPr>
          <w:p w14:paraId="63348EC7">
            <w:pPr>
              <w:widowControl/>
              <w:jc w:val="center"/>
              <w:textAlignment w:val="center"/>
              <w:rPr>
                <w:rFonts w:ascii="Times New Roman" w:hAnsi="Times New Roman" w:eastAsia="等线" w:cs="Times New Roman"/>
              </w:rPr>
            </w:pPr>
            <w:r>
              <w:rPr>
                <w:rFonts w:hint="eastAsia" w:ascii="Times New Roman" w:hAnsi="Times New Roman" w:eastAsia="等线" w:cs="Times New Roman"/>
                <w:color w:val="000000"/>
                <w:kern w:val="0"/>
                <w:sz w:val="24"/>
                <w:szCs w:val="24"/>
                <w:lang w:bidi="ar"/>
              </w:rPr>
              <w:t>60</w:t>
            </w:r>
          </w:p>
        </w:tc>
        <w:tc>
          <w:tcPr>
            <w:tcW w:w="2963" w:type="dxa"/>
            <w:tcBorders>
              <w:top w:val="single" w:color="auto" w:sz="4" w:space="0"/>
              <w:left w:val="nil"/>
              <w:bottom w:val="single" w:color="auto" w:sz="4" w:space="0"/>
              <w:right w:val="single" w:color="auto" w:sz="4" w:space="0"/>
            </w:tcBorders>
            <w:noWrap/>
            <w:vAlign w:val="center"/>
          </w:tcPr>
          <w:p w14:paraId="7256432E">
            <w:pPr>
              <w:widowControl/>
              <w:jc w:val="center"/>
              <w:textAlignment w:val="center"/>
              <w:rPr>
                <w:rFonts w:hint="default" w:ascii="Times New Roman" w:hAnsi="Times New Roman" w:eastAsia="等线" w:cs="Times New Roman"/>
                <w:lang w:val="en-US" w:eastAsia="zh-CN"/>
              </w:rPr>
            </w:pPr>
            <w:r>
              <w:rPr>
                <w:rFonts w:hint="eastAsia" w:ascii="Times New Roman" w:hAnsi="Times New Roman" w:eastAsia="等线" w:cs="Times New Roman"/>
                <w:color w:val="000000"/>
                <w:kern w:val="0"/>
                <w:sz w:val="24"/>
                <w:szCs w:val="24"/>
                <w:lang w:val="en-US" w:eastAsia="zh-CN" w:bidi="ar"/>
              </w:rPr>
              <w:t>646</w:t>
            </w:r>
          </w:p>
        </w:tc>
        <w:tc>
          <w:tcPr>
            <w:tcW w:w="2310" w:type="dxa"/>
            <w:tcBorders>
              <w:top w:val="single" w:color="auto" w:sz="4" w:space="0"/>
              <w:left w:val="nil"/>
              <w:bottom w:val="single" w:color="auto" w:sz="4" w:space="0"/>
              <w:right w:val="single" w:color="auto" w:sz="4" w:space="0"/>
            </w:tcBorders>
            <w:noWrap/>
            <w:vAlign w:val="center"/>
          </w:tcPr>
          <w:p w14:paraId="725C2236">
            <w:pPr>
              <w:widowControl/>
              <w:jc w:val="center"/>
              <w:textAlignment w:val="center"/>
              <w:rPr>
                <w:rFonts w:ascii="Times New Roman" w:hAnsi="Times New Roman" w:eastAsia="等线" w:cs="Times New Roman"/>
                <w:b w:val="0"/>
                <w:bCs w:val="0"/>
                <w:color w:val="000000"/>
                <w:kern w:val="0"/>
                <w:sz w:val="24"/>
                <w:szCs w:val="24"/>
                <w:lang w:bidi="ar"/>
              </w:rPr>
            </w:pPr>
            <w:r>
              <w:rPr>
                <w:rFonts w:hint="eastAsia" w:ascii="Times New Roman" w:hAnsi="Times New Roman" w:eastAsia="等线" w:cs="Times New Roman"/>
                <w:b w:val="0"/>
                <w:bCs w:val="0"/>
                <w:color w:val="000000"/>
                <w:kern w:val="0"/>
                <w:sz w:val="24"/>
                <w:szCs w:val="24"/>
                <w:lang w:val="en-US" w:eastAsia="zh-CN" w:bidi="ar"/>
              </w:rPr>
              <w:t>9646</w:t>
            </w:r>
          </w:p>
        </w:tc>
      </w:tr>
      <w:tr w14:paraId="2D90B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44" w:type="dxa"/>
            <w:noWrap/>
            <w:vAlign w:val="center"/>
          </w:tcPr>
          <w:p w14:paraId="3DB9792E">
            <w:pPr>
              <w:pStyle w:val="72"/>
              <w:rPr>
                <w:rFonts w:ascii="Times New Roman" w:hAnsi="Times New Roman" w:eastAsia="仿宋_GB2312" w:cs="Times New Roman"/>
                <w:color w:val="auto"/>
              </w:rPr>
            </w:pPr>
            <w:r>
              <w:rPr>
                <w:rFonts w:ascii="Times New Roman" w:hAnsi="Times New Roman" w:eastAsia="仿宋_GB2312" w:cs="Times New Roman"/>
                <w:color w:val="auto"/>
              </w:rPr>
              <w:t>2028年</w:t>
            </w:r>
          </w:p>
        </w:tc>
        <w:tc>
          <w:tcPr>
            <w:tcW w:w="2175" w:type="dxa"/>
            <w:noWrap/>
            <w:vAlign w:val="center"/>
          </w:tcPr>
          <w:p w14:paraId="0F6AA17F">
            <w:pPr>
              <w:widowControl/>
              <w:jc w:val="center"/>
              <w:textAlignment w:val="center"/>
              <w:rPr>
                <w:rFonts w:ascii="Times New Roman" w:hAnsi="Times New Roman" w:eastAsia="仿宋_GB2312" w:cs="Times New Roman"/>
              </w:rPr>
            </w:pPr>
            <w:r>
              <w:rPr>
                <w:rFonts w:ascii="Times New Roman" w:hAnsi="Times New Roman" w:eastAsia="等线" w:cs="Times New Roman"/>
                <w:color w:val="000000"/>
                <w:kern w:val="0"/>
                <w:sz w:val="24"/>
                <w:szCs w:val="24"/>
                <w:lang w:bidi="ar"/>
              </w:rPr>
              <w:t>11000</w:t>
            </w:r>
          </w:p>
        </w:tc>
        <w:tc>
          <w:tcPr>
            <w:tcW w:w="2737" w:type="dxa"/>
            <w:vAlign w:val="center"/>
          </w:tcPr>
          <w:p w14:paraId="08C23911">
            <w:pPr>
              <w:widowControl/>
              <w:jc w:val="center"/>
              <w:textAlignment w:val="center"/>
              <w:rPr>
                <w:rFonts w:ascii="Times New Roman" w:hAnsi="Times New Roman" w:eastAsia="等线" w:cs="Times New Roman"/>
                <w:color w:val="000000"/>
                <w:kern w:val="0"/>
                <w:sz w:val="24"/>
                <w:szCs w:val="24"/>
                <w:lang w:bidi="ar"/>
              </w:rPr>
            </w:pPr>
            <w:r>
              <w:rPr>
                <w:rFonts w:hint="eastAsia" w:ascii="Times New Roman" w:hAnsi="Times New Roman" w:eastAsia="等线" w:cs="Times New Roman"/>
                <w:color w:val="000000"/>
                <w:kern w:val="0"/>
                <w:sz w:val="24"/>
                <w:szCs w:val="24"/>
                <w:lang w:bidi="ar"/>
              </w:rPr>
              <w:t>0</w:t>
            </w:r>
          </w:p>
        </w:tc>
        <w:tc>
          <w:tcPr>
            <w:tcW w:w="2719" w:type="dxa"/>
            <w:vAlign w:val="center"/>
          </w:tcPr>
          <w:p w14:paraId="1E13EFEF">
            <w:pPr>
              <w:widowControl/>
              <w:jc w:val="center"/>
              <w:textAlignment w:val="center"/>
              <w:rPr>
                <w:rFonts w:ascii="Times New Roman" w:hAnsi="Times New Roman" w:eastAsia="等线" w:cs="Times New Roman"/>
              </w:rPr>
            </w:pPr>
            <w:r>
              <w:rPr>
                <w:rFonts w:hint="eastAsia" w:ascii="Times New Roman" w:hAnsi="Times New Roman" w:eastAsia="等线" w:cs="Times New Roman"/>
                <w:color w:val="000000"/>
                <w:kern w:val="0"/>
                <w:sz w:val="24"/>
                <w:szCs w:val="24"/>
                <w:lang w:bidi="ar"/>
              </w:rPr>
              <w:t>60</w:t>
            </w:r>
          </w:p>
        </w:tc>
        <w:tc>
          <w:tcPr>
            <w:tcW w:w="2963" w:type="dxa"/>
            <w:tcBorders>
              <w:top w:val="single" w:color="auto" w:sz="4" w:space="0"/>
              <w:left w:val="nil"/>
              <w:bottom w:val="single" w:color="auto" w:sz="4" w:space="0"/>
              <w:right w:val="single" w:color="auto" w:sz="4" w:space="0"/>
            </w:tcBorders>
            <w:noWrap/>
            <w:vAlign w:val="center"/>
          </w:tcPr>
          <w:p w14:paraId="7DE8647C">
            <w:pPr>
              <w:widowControl/>
              <w:jc w:val="center"/>
              <w:textAlignment w:val="center"/>
              <w:rPr>
                <w:rFonts w:ascii="Times New Roman" w:hAnsi="Times New Roman" w:eastAsia="等线" w:cs="Times New Roman"/>
              </w:rPr>
            </w:pPr>
            <w:r>
              <w:rPr>
                <w:rFonts w:hint="eastAsia" w:ascii="Times New Roman" w:hAnsi="Times New Roman" w:eastAsia="等线" w:cs="Times New Roman"/>
                <w:color w:val="000000"/>
                <w:kern w:val="0"/>
                <w:sz w:val="24"/>
                <w:szCs w:val="24"/>
                <w:lang w:val="en-US" w:eastAsia="zh-CN" w:bidi="ar"/>
              </w:rPr>
              <w:t>900</w:t>
            </w:r>
          </w:p>
        </w:tc>
        <w:tc>
          <w:tcPr>
            <w:tcW w:w="2310" w:type="dxa"/>
            <w:tcBorders>
              <w:top w:val="single" w:color="auto" w:sz="4" w:space="0"/>
              <w:left w:val="nil"/>
              <w:bottom w:val="single" w:color="auto" w:sz="4" w:space="0"/>
              <w:right w:val="single" w:color="auto" w:sz="4" w:space="0"/>
            </w:tcBorders>
            <w:noWrap/>
            <w:vAlign w:val="center"/>
          </w:tcPr>
          <w:p w14:paraId="5763DFE2">
            <w:pPr>
              <w:widowControl/>
              <w:jc w:val="center"/>
              <w:textAlignment w:val="center"/>
              <w:rPr>
                <w:rFonts w:ascii="Times New Roman" w:hAnsi="Times New Roman" w:eastAsia="等线" w:cs="Times New Roman"/>
                <w:b w:val="0"/>
                <w:bCs w:val="0"/>
                <w:color w:val="000000"/>
                <w:kern w:val="0"/>
                <w:sz w:val="24"/>
                <w:szCs w:val="24"/>
                <w:lang w:bidi="ar"/>
              </w:rPr>
            </w:pPr>
            <w:r>
              <w:rPr>
                <w:rFonts w:hint="eastAsia" w:ascii="Times New Roman" w:hAnsi="Times New Roman" w:eastAsia="等线" w:cs="Times New Roman"/>
                <w:b w:val="0"/>
                <w:bCs w:val="0"/>
                <w:color w:val="000000"/>
                <w:kern w:val="0"/>
                <w:sz w:val="24"/>
                <w:szCs w:val="24"/>
                <w:lang w:val="en-US" w:eastAsia="zh-CN" w:bidi="ar"/>
              </w:rPr>
              <w:t>11900</w:t>
            </w:r>
          </w:p>
        </w:tc>
      </w:tr>
      <w:tr w14:paraId="38B19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44" w:type="dxa"/>
            <w:noWrap/>
            <w:vAlign w:val="center"/>
          </w:tcPr>
          <w:p w14:paraId="24DEFB89">
            <w:pPr>
              <w:pStyle w:val="72"/>
              <w:rPr>
                <w:rFonts w:ascii="Times New Roman" w:hAnsi="Times New Roman" w:eastAsia="仿宋_GB2312" w:cs="Times New Roman"/>
                <w:color w:val="auto"/>
              </w:rPr>
            </w:pPr>
            <w:r>
              <w:rPr>
                <w:rFonts w:ascii="Times New Roman" w:hAnsi="Times New Roman" w:eastAsia="仿宋_GB2312" w:cs="Times New Roman"/>
                <w:color w:val="auto"/>
              </w:rPr>
              <w:t>2029年</w:t>
            </w:r>
          </w:p>
        </w:tc>
        <w:tc>
          <w:tcPr>
            <w:tcW w:w="2175" w:type="dxa"/>
            <w:noWrap/>
            <w:vAlign w:val="center"/>
          </w:tcPr>
          <w:p w14:paraId="1964744A">
            <w:pPr>
              <w:widowControl/>
              <w:jc w:val="center"/>
              <w:textAlignment w:val="center"/>
              <w:rPr>
                <w:rFonts w:ascii="Times New Roman" w:hAnsi="Times New Roman" w:eastAsia="仿宋_GB2312" w:cs="Times New Roman"/>
              </w:rPr>
            </w:pPr>
            <w:r>
              <w:rPr>
                <w:rFonts w:ascii="Times New Roman" w:hAnsi="Times New Roman" w:eastAsia="等线" w:cs="Times New Roman"/>
                <w:color w:val="000000"/>
                <w:kern w:val="0"/>
                <w:sz w:val="24"/>
                <w:szCs w:val="24"/>
                <w:lang w:bidi="ar"/>
              </w:rPr>
              <w:t>11500</w:t>
            </w:r>
          </w:p>
        </w:tc>
        <w:tc>
          <w:tcPr>
            <w:tcW w:w="2737" w:type="dxa"/>
            <w:vAlign w:val="center"/>
          </w:tcPr>
          <w:p w14:paraId="3DCDF33B">
            <w:pPr>
              <w:widowControl/>
              <w:jc w:val="center"/>
              <w:textAlignment w:val="center"/>
              <w:rPr>
                <w:rFonts w:ascii="Times New Roman" w:hAnsi="Times New Roman" w:eastAsia="等线" w:cs="Times New Roman"/>
                <w:color w:val="000000"/>
                <w:kern w:val="0"/>
                <w:sz w:val="24"/>
                <w:szCs w:val="24"/>
                <w:lang w:bidi="ar"/>
              </w:rPr>
            </w:pPr>
            <w:r>
              <w:rPr>
                <w:rFonts w:hint="eastAsia" w:ascii="Times New Roman" w:hAnsi="Times New Roman" w:eastAsia="等线" w:cs="Times New Roman"/>
                <w:color w:val="000000"/>
                <w:kern w:val="0"/>
                <w:sz w:val="24"/>
                <w:szCs w:val="24"/>
                <w:lang w:bidi="ar"/>
              </w:rPr>
              <w:t>0</w:t>
            </w:r>
          </w:p>
        </w:tc>
        <w:tc>
          <w:tcPr>
            <w:tcW w:w="2719" w:type="dxa"/>
            <w:vAlign w:val="center"/>
          </w:tcPr>
          <w:p w14:paraId="20F8E8B1">
            <w:pPr>
              <w:widowControl/>
              <w:jc w:val="center"/>
              <w:textAlignment w:val="center"/>
              <w:rPr>
                <w:rFonts w:ascii="Times New Roman" w:hAnsi="Times New Roman" w:eastAsia="等线" w:cs="Times New Roman"/>
              </w:rPr>
            </w:pPr>
            <w:r>
              <w:rPr>
                <w:rFonts w:hint="eastAsia" w:ascii="Times New Roman" w:hAnsi="Times New Roman" w:eastAsia="等线" w:cs="Times New Roman"/>
                <w:color w:val="000000"/>
                <w:kern w:val="0"/>
                <w:sz w:val="24"/>
                <w:szCs w:val="24"/>
                <w:lang w:bidi="ar"/>
              </w:rPr>
              <w:t>60</w:t>
            </w:r>
          </w:p>
        </w:tc>
        <w:tc>
          <w:tcPr>
            <w:tcW w:w="2963" w:type="dxa"/>
            <w:tcBorders>
              <w:top w:val="single" w:color="auto" w:sz="4" w:space="0"/>
              <w:left w:val="nil"/>
              <w:bottom w:val="single" w:color="auto" w:sz="4" w:space="0"/>
              <w:right w:val="single" w:color="auto" w:sz="4" w:space="0"/>
            </w:tcBorders>
            <w:noWrap/>
            <w:vAlign w:val="center"/>
          </w:tcPr>
          <w:p w14:paraId="08038201">
            <w:pPr>
              <w:widowControl/>
              <w:jc w:val="center"/>
              <w:textAlignment w:val="center"/>
              <w:rPr>
                <w:rFonts w:ascii="Times New Roman" w:hAnsi="Times New Roman" w:eastAsia="等线" w:cs="Times New Roman"/>
              </w:rPr>
            </w:pPr>
            <w:r>
              <w:rPr>
                <w:rFonts w:hint="eastAsia" w:ascii="Times New Roman" w:hAnsi="Times New Roman" w:eastAsia="等线" w:cs="Times New Roman"/>
                <w:color w:val="000000"/>
                <w:kern w:val="0"/>
                <w:sz w:val="24"/>
                <w:szCs w:val="24"/>
                <w:lang w:bidi="ar"/>
              </w:rPr>
              <w:t>0</w:t>
            </w:r>
          </w:p>
        </w:tc>
        <w:tc>
          <w:tcPr>
            <w:tcW w:w="2310" w:type="dxa"/>
            <w:tcBorders>
              <w:top w:val="single" w:color="auto" w:sz="4" w:space="0"/>
              <w:left w:val="nil"/>
              <w:bottom w:val="single" w:color="auto" w:sz="4" w:space="0"/>
              <w:right w:val="single" w:color="auto" w:sz="4" w:space="0"/>
            </w:tcBorders>
            <w:noWrap/>
            <w:vAlign w:val="center"/>
          </w:tcPr>
          <w:p w14:paraId="099F2095">
            <w:pPr>
              <w:widowControl/>
              <w:jc w:val="center"/>
              <w:textAlignment w:val="center"/>
              <w:rPr>
                <w:rFonts w:ascii="Times New Roman" w:hAnsi="Times New Roman" w:eastAsia="等线" w:cs="Times New Roman"/>
                <w:b w:val="0"/>
                <w:bCs w:val="0"/>
                <w:color w:val="000000"/>
                <w:kern w:val="0"/>
                <w:sz w:val="24"/>
                <w:szCs w:val="24"/>
                <w:lang w:bidi="ar"/>
              </w:rPr>
            </w:pPr>
            <w:r>
              <w:rPr>
                <w:rFonts w:hint="eastAsia" w:ascii="Times New Roman" w:hAnsi="Times New Roman" w:eastAsia="等线" w:cs="Times New Roman"/>
                <w:b w:val="0"/>
                <w:bCs w:val="0"/>
                <w:color w:val="000000"/>
                <w:kern w:val="0"/>
                <w:sz w:val="24"/>
                <w:szCs w:val="24"/>
                <w:lang w:val="en-US" w:eastAsia="zh-CN" w:bidi="ar"/>
              </w:rPr>
              <w:t>11500</w:t>
            </w:r>
          </w:p>
        </w:tc>
      </w:tr>
      <w:tr w14:paraId="41D5FA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44" w:type="dxa"/>
            <w:tcBorders>
              <w:bottom w:val="single" w:color="auto" w:sz="4" w:space="0"/>
            </w:tcBorders>
            <w:noWrap/>
            <w:vAlign w:val="center"/>
          </w:tcPr>
          <w:p w14:paraId="108C2D19">
            <w:pPr>
              <w:pStyle w:val="72"/>
              <w:rPr>
                <w:rFonts w:ascii="Times New Roman" w:hAnsi="Times New Roman" w:eastAsia="仿宋_GB2312" w:cs="Times New Roman"/>
                <w:color w:val="auto"/>
              </w:rPr>
            </w:pPr>
            <w:r>
              <w:rPr>
                <w:rFonts w:ascii="Times New Roman" w:hAnsi="Times New Roman" w:eastAsia="仿宋_GB2312" w:cs="Times New Roman"/>
                <w:color w:val="auto"/>
              </w:rPr>
              <w:t>2030年</w:t>
            </w:r>
          </w:p>
        </w:tc>
        <w:tc>
          <w:tcPr>
            <w:tcW w:w="2175" w:type="dxa"/>
            <w:tcBorders>
              <w:bottom w:val="single" w:color="auto" w:sz="4" w:space="0"/>
            </w:tcBorders>
            <w:noWrap/>
            <w:vAlign w:val="center"/>
          </w:tcPr>
          <w:p w14:paraId="6CAAD944">
            <w:pPr>
              <w:widowControl/>
              <w:jc w:val="center"/>
              <w:textAlignment w:val="center"/>
              <w:rPr>
                <w:rFonts w:ascii="Times New Roman" w:hAnsi="Times New Roman" w:eastAsia="仿宋_GB2312" w:cs="Times New Roman"/>
              </w:rPr>
            </w:pPr>
            <w:r>
              <w:rPr>
                <w:rFonts w:ascii="Times New Roman" w:hAnsi="Times New Roman" w:eastAsia="等线" w:cs="Times New Roman"/>
                <w:color w:val="000000"/>
                <w:kern w:val="0"/>
                <w:sz w:val="24"/>
                <w:szCs w:val="24"/>
                <w:lang w:bidi="ar"/>
              </w:rPr>
              <w:t>12500</w:t>
            </w:r>
          </w:p>
        </w:tc>
        <w:tc>
          <w:tcPr>
            <w:tcW w:w="2737" w:type="dxa"/>
            <w:tcBorders>
              <w:bottom w:val="single" w:color="auto" w:sz="4" w:space="0"/>
            </w:tcBorders>
            <w:vAlign w:val="center"/>
          </w:tcPr>
          <w:p w14:paraId="715E06F4">
            <w:pPr>
              <w:widowControl/>
              <w:jc w:val="center"/>
              <w:textAlignment w:val="center"/>
              <w:rPr>
                <w:rFonts w:ascii="Times New Roman" w:hAnsi="Times New Roman" w:eastAsia="等线" w:cs="Times New Roman"/>
                <w:color w:val="000000"/>
                <w:kern w:val="0"/>
                <w:sz w:val="24"/>
                <w:szCs w:val="24"/>
                <w:lang w:bidi="ar"/>
              </w:rPr>
            </w:pPr>
            <w:r>
              <w:rPr>
                <w:rFonts w:hint="eastAsia" w:ascii="Times New Roman" w:hAnsi="Times New Roman" w:eastAsia="等线" w:cs="Times New Roman"/>
                <w:color w:val="000000"/>
                <w:kern w:val="0"/>
                <w:sz w:val="24"/>
                <w:szCs w:val="24"/>
                <w:lang w:bidi="ar"/>
              </w:rPr>
              <w:t>0</w:t>
            </w:r>
          </w:p>
        </w:tc>
        <w:tc>
          <w:tcPr>
            <w:tcW w:w="2719" w:type="dxa"/>
            <w:tcBorders>
              <w:bottom w:val="single" w:color="auto" w:sz="4" w:space="0"/>
            </w:tcBorders>
            <w:vAlign w:val="center"/>
          </w:tcPr>
          <w:p w14:paraId="3F3DA538">
            <w:pPr>
              <w:widowControl/>
              <w:jc w:val="center"/>
              <w:textAlignment w:val="center"/>
              <w:rPr>
                <w:rFonts w:ascii="Times New Roman" w:hAnsi="Times New Roman" w:eastAsia="等线" w:cs="Times New Roman"/>
              </w:rPr>
            </w:pPr>
            <w:r>
              <w:rPr>
                <w:rFonts w:hint="eastAsia" w:ascii="Times New Roman" w:hAnsi="Times New Roman" w:eastAsia="等线" w:cs="Times New Roman"/>
                <w:color w:val="000000"/>
                <w:kern w:val="0"/>
                <w:sz w:val="24"/>
                <w:szCs w:val="24"/>
                <w:lang w:bidi="ar"/>
              </w:rPr>
              <w:t>60</w:t>
            </w:r>
          </w:p>
        </w:tc>
        <w:tc>
          <w:tcPr>
            <w:tcW w:w="2963" w:type="dxa"/>
            <w:tcBorders>
              <w:top w:val="single" w:color="auto" w:sz="4" w:space="0"/>
              <w:left w:val="nil"/>
              <w:bottom w:val="single" w:color="auto" w:sz="4" w:space="0"/>
              <w:right w:val="single" w:color="auto" w:sz="4" w:space="0"/>
            </w:tcBorders>
            <w:noWrap/>
            <w:vAlign w:val="center"/>
          </w:tcPr>
          <w:p w14:paraId="3AF82272">
            <w:pPr>
              <w:widowControl/>
              <w:jc w:val="center"/>
              <w:textAlignment w:val="center"/>
              <w:rPr>
                <w:rFonts w:ascii="Times New Roman" w:hAnsi="Times New Roman" w:eastAsia="等线" w:cs="Times New Roman"/>
              </w:rPr>
            </w:pPr>
            <w:r>
              <w:rPr>
                <w:rFonts w:hint="eastAsia" w:ascii="Times New Roman" w:hAnsi="Times New Roman" w:eastAsia="等线" w:cs="Times New Roman"/>
                <w:color w:val="000000"/>
                <w:kern w:val="0"/>
                <w:sz w:val="24"/>
                <w:szCs w:val="24"/>
                <w:lang w:bidi="ar"/>
              </w:rPr>
              <w:t>0</w:t>
            </w:r>
          </w:p>
        </w:tc>
        <w:tc>
          <w:tcPr>
            <w:tcW w:w="2310" w:type="dxa"/>
            <w:tcBorders>
              <w:top w:val="single" w:color="auto" w:sz="4" w:space="0"/>
              <w:left w:val="nil"/>
              <w:bottom w:val="single" w:color="auto" w:sz="4" w:space="0"/>
              <w:right w:val="single" w:color="auto" w:sz="4" w:space="0"/>
            </w:tcBorders>
            <w:noWrap/>
            <w:vAlign w:val="center"/>
          </w:tcPr>
          <w:p w14:paraId="5C4E45BB">
            <w:pPr>
              <w:widowControl/>
              <w:jc w:val="center"/>
              <w:textAlignment w:val="center"/>
              <w:rPr>
                <w:rFonts w:ascii="Times New Roman" w:hAnsi="Times New Roman" w:eastAsia="等线" w:cs="Times New Roman"/>
                <w:b w:val="0"/>
                <w:bCs w:val="0"/>
                <w:color w:val="000000"/>
                <w:kern w:val="0"/>
                <w:sz w:val="24"/>
                <w:szCs w:val="24"/>
                <w:lang w:bidi="ar"/>
              </w:rPr>
            </w:pPr>
            <w:r>
              <w:rPr>
                <w:rFonts w:hint="eastAsia" w:ascii="Times New Roman" w:hAnsi="Times New Roman" w:eastAsia="等线" w:cs="Times New Roman"/>
                <w:b w:val="0"/>
                <w:bCs w:val="0"/>
                <w:color w:val="000000"/>
                <w:kern w:val="0"/>
                <w:sz w:val="24"/>
                <w:szCs w:val="24"/>
                <w:lang w:val="en-US" w:eastAsia="zh-CN" w:bidi="ar"/>
              </w:rPr>
              <w:t>12500</w:t>
            </w:r>
          </w:p>
        </w:tc>
      </w:tr>
      <w:tr w14:paraId="66A07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044" w:type="dxa"/>
            <w:tcBorders>
              <w:bottom w:val="single" w:color="auto" w:sz="4" w:space="0"/>
            </w:tcBorders>
            <w:noWrap/>
            <w:vAlign w:val="center"/>
          </w:tcPr>
          <w:p w14:paraId="48F29D0C">
            <w:pPr>
              <w:pStyle w:val="72"/>
              <w:rPr>
                <w:rFonts w:ascii="Times New Roman" w:hAnsi="Times New Roman" w:eastAsia="仿宋_GB2312" w:cs="Times New Roman"/>
                <w:b/>
                <w:bCs/>
                <w:color w:val="auto"/>
              </w:rPr>
            </w:pPr>
            <w:r>
              <w:rPr>
                <w:rFonts w:ascii="Times New Roman" w:hAnsi="Times New Roman" w:eastAsia="仿宋_GB2312" w:cs="Times New Roman"/>
                <w:b/>
                <w:bCs/>
                <w:color w:val="auto"/>
              </w:rPr>
              <w:t>合计</w:t>
            </w:r>
          </w:p>
        </w:tc>
        <w:tc>
          <w:tcPr>
            <w:tcW w:w="2175" w:type="dxa"/>
            <w:tcBorders>
              <w:bottom w:val="single" w:color="auto" w:sz="4" w:space="0"/>
            </w:tcBorders>
            <w:noWrap/>
            <w:vAlign w:val="center"/>
          </w:tcPr>
          <w:p w14:paraId="1E7FB858">
            <w:pPr>
              <w:widowControl/>
              <w:jc w:val="center"/>
              <w:textAlignment w:val="center"/>
              <w:rPr>
                <w:rFonts w:ascii="Times New Roman" w:hAnsi="Times New Roman" w:eastAsia="仿宋_GB2312" w:cs="Times New Roman"/>
                <w:b/>
                <w:bCs/>
              </w:rPr>
            </w:pPr>
            <w:r>
              <w:rPr>
                <w:rFonts w:ascii="Times New Roman" w:hAnsi="Times New Roman" w:eastAsia="等线" w:cs="Times New Roman"/>
                <w:b/>
                <w:bCs/>
                <w:color w:val="000000"/>
                <w:kern w:val="0"/>
                <w:sz w:val="24"/>
                <w:szCs w:val="24"/>
                <w:lang w:bidi="ar"/>
              </w:rPr>
              <w:t>52500</w:t>
            </w:r>
          </w:p>
        </w:tc>
        <w:tc>
          <w:tcPr>
            <w:tcW w:w="2737" w:type="dxa"/>
            <w:tcBorders>
              <w:bottom w:val="single" w:color="auto" w:sz="4" w:space="0"/>
            </w:tcBorders>
            <w:vAlign w:val="center"/>
          </w:tcPr>
          <w:p w14:paraId="24CFB96C">
            <w:pPr>
              <w:widowControl/>
              <w:jc w:val="center"/>
              <w:textAlignment w:val="center"/>
              <w:rPr>
                <w:rFonts w:ascii="Times New Roman" w:hAnsi="Times New Roman" w:eastAsia="等线" w:cs="Times New Roman"/>
                <w:b/>
                <w:bCs/>
                <w:color w:val="000000"/>
                <w:kern w:val="0"/>
                <w:sz w:val="24"/>
                <w:szCs w:val="24"/>
                <w:lang w:bidi="ar"/>
              </w:rPr>
            </w:pPr>
            <w:r>
              <w:rPr>
                <w:rFonts w:hint="eastAsia" w:ascii="Times New Roman" w:hAnsi="Times New Roman" w:eastAsia="等线" w:cs="Times New Roman"/>
                <w:b/>
                <w:bCs/>
                <w:color w:val="000000"/>
                <w:kern w:val="0"/>
                <w:sz w:val="24"/>
                <w:szCs w:val="24"/>
                <w:lang w:val="en-US" w:eastAsia="zh-CN" w:bidi="ar"/>
              </w:rPr>
              <w:t>100</w:t>
            </w:r>
          </w:p>
        </w:tc>
        <w:tc>
          <w:tcPr>
            <w:tcW w:w="2719" w:type="dxa"/>
            <w:tcBorders>
              <w:bottom w:val="single" w:color="auto" w:sz="4" w:space="0"/>
            </w:tcBorders>
            <w:vAlign w:val="center"/>
          </w:tcPr>
          <w:p w14:paraId="50093994">
            <w:pPr>
              <w:widowControl/>
              <w:jc w:val="center"/>
              <w:textAlignment w:val="center"/>
              <w:rPr>
                <w:rFonts w:ascii="Times New Roman" w:hAnsi="Times New Roman" w:eastAsia="等线" w:cs="Times New Roman"/>
                <w:b/>
                <w:bCs/>
              </w:rPr>
            </w:pPr>
            <w:r>
              <w:rPr>
                <w:rFonts w:hint="eastAsia" w:ascii="Times New Roman" w:hAnsi="Times New Roman" w:eastAsia="等线" w:cs="Times New Roman"/>
                <w:b/>
                <w:bCs/>
                <w:color w:val="000000"/>
                <w:kern w:val="0"/>
                <w:sz w:val="24"/>
                <w:szCs w:val="24"/>
                <w:lang w:bidi="ar"/>
              </w:rPr>
              <w:t>300</w:t>
            </w:r>
          </w:p>
        </w:tc>
        <w:tc>
          <w:tcPr>
            <w:tcW w:w="2963" w:type="dxa"/>
            <w:tcBorders>
              <w:top w:val="single" w:color="auto" w:sz="4" w:space="0"/>
              <w:left w:val="nil"/>
              <w:bottom w:val="single" w:color="auto" w:sz="4" w:space="0"/>
              <w:right w:val="single" w:color="auto" w:sz="4" w:space="0"/>
            </w:tcBorders>
            <w:noWrap/>
            <w:vAlign w:val="center"/>
          </w:tcPr>
          <w:p w14:paraId="0CF2B856">
            <w:pPr>
              <w:widowControl/>
              <w:jc w:val="center"/>
              <w:textAlignment w:val="center"/>
              <w:rPr>
                <w:rFonts w:ascii="Times New Roman" w:hAnsi="Times New Roman" w:eastAsia="仿宋_GB2312" w:cs="Times New Roman"/>
                <w:b/>
                <w:bCs/>
              </w:rPr>
            </w:pPr>
            <w:r>
              <w:rPr>
                <w:rFonts w:hint="eastAsia" w:ascii="Times New Roman" w:hAnsi="Times New Roman" w:eastAsia="等线" w:cs="Times New Roman"/>
                <w:b/>
                <w:bCs/>
                <w:color w:val="000000"/>
                <w:kern w:val="0"/>
                <w:sz w:val="24"/>
                <w:szCs w:val="24"/>
                <w:lang w:val="en-US" w:eastAsia="zh-CN" w:bidi="ar"/>
              </w:rPr>
              <w:t>1546</w:t>
            </w:r>
          </w:p>
        </w:tc>
        <w:tc>
          <w:tcPr>
            <w:tcW w:w="2310" w:type="dxa"/>
            <w:tcBorders>
              <w:top w:val="single" w:color="auto" w:sz="4" w:space="0"/>
              <w:left w:val="nil"/>
              <w:bottom w:val="single" w:color="auto" w:sz="4" w:space="0"/>
              <w:right w:val="single" w:color="auto" w:sz="4" w:space="0"/>
            </w:tcBorders>
            <w:noWrap/>
            <w:vAlign w:val="center"/>
          </w:tcPr>
          <w:p w14:paraId="56967F5A">
            <w:pPr>
              <w:widowControl/>
              <w:jc w:val="center"/>
              <w:textAlignment w:val="center"/>
              <w:rPr>
                <w:rFonts w:hint="default" w:ascii="Times New Roman" w:hAnsi="Times New Roman" w:eastAsia="等线" w:cs="Times New Roman"/>
                <w:b/>
                <w:bCs/>
                <w:color w:val="000000"/>
                <w:kern w:val="0"/>
                <w:sz w:val="24"/>
                <w:szCs w:val="24"/>
                <w:lang w:val="en-US" w:eastAsia="zh-CN" w:bidi="ar"/>
              </w:rPr>
            </w:pPr>
            <w:r>
              <w:rPr>
                <w:rFonts w:hint="eastAsia" w:ascii="Times New Roman" w:hAnsi="Times New Roman" w:eastAsia="等线" w:cs="Times New Roman"/>
                <w:b/>
                <w:bCs/>
                <w:color w:val="000000"/>
                <w:kern w:val="0"/>
                <w:sz w:val="24"/>
                <w:szCs w:val="24"/>
                <w:lang w:val="en-US" w:eastAsia="zh-CN" w:bidi="ar"/>
              </w:rPr>
              <w:t>54516</w:t>
            </w:r>
          </w:p>
        </w:tc>
      </w:tr>
      <w:bookmarkEnd w:id="134"/>
    </w:tbl>
    <w:p w14:paraId="3C7FC731">
      <w:pPr>
        <w:spacing w:line="600" w:lineRule="exact"/>
        <w:rPr>
          <w:rFonts w:ascii="Times New Roman" w:hAnsi="Times New Roman" w:eastAsia="仿宋_GB2312" w:cs="Times New Roman"/>
          <w:sz w:val="32"/>
          <w:szCs w:val="32"/>
        </w:rPr>
      </w:pPr>
      <w:r>
        <w:rPr>
          <w:rFonts w:hint="eastAsia" w:ascii="仿宋_GB2312" w:hAnsi="仿宋_GB2312" w:eastAsia="仿宋_GB2312" w:cs="仿宋_GB2312"/>
          <w:sz w:val="24"/>
          <w:szCs w:val="36"/>
        </w:rPr>
        <w:t>注：新建商品住房按照对房地产销售面积止跌回稳态势的预判进行分配。保障性租赁住房综合考虑“十四五”期间筹建情况和产业发展诉求进行折算。</w:t>
      </w:r>
    </w:p>
    <w:sectPr>
      <w:pgSz w:w="16838" w:h="11906" w:orient="landscape"/>
      <w:pgMar w:top="1800" w:right="1440" w:bottom="1800" w:left="1440" w:header="720" w:footer="720"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方正小标宋简体">
    <w:panose1 w:val="00000600000000000000"/>
    <w:charset w:val="86"/>
    <w:family w:val="script"/>
    <w:pitch w:val="default"/>
    <w:sig w:usb0="800002BF" w:usb1="184F6CF8" w:usb2="00000012" w:usb3="00000000" w:csb0="00160001" w:csb1="1203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F43337">
    <w:pPr>
      <w:pStyle w:val="18"/>
      <w:rPr>
        <w:rFonts w:ascii="Times New Roman" w:hAnsi="Times New Roman" w:cs="Times New Roman"/>
        <w:sz w:val="21"/>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44ADC8">
    <w:pPr>
      <w:pStyle w:val="18"/>
      <w:jc w:val="center"/>
      <w:rPr>
        <w:rFonts w:ascii="Times New Roman" w:hAnsi="Times New Roman" w:cs="Times New Roman"/>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1905</wp:posOffset>
              </wp:positionV>
              <wp:extent cx="4064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4064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rFonts w:ascii="Times New Roman" w:hAnsi="Times New Roman" w:cs="Times New Roman"/>
                            </w:rPr>
                            <w:id w:val="147469307"/>
                          </w:sdtPr>
                          <w:sdtEndPr>
                            <w:rPr>
                              <w:rFonts w:ascii="Times New Roman" w:hAnsi="Times New Roman" w:eastAsia="宋体" w:cs="Times New Roman"/>
                              <w:sz w:val="28"/>
                              <w:szCs w:val="28"/>
                            </w:rPr>
                          </w:sdtEndPr>
                          <w:sdtContent>
                            <w:p w14:paraId="7879C321">
                              <w:pPr>
                                <w:pStyle w:val="18"/>
                                <w:jc w:val="center"/>
                                <w:rPr>
                                  <w:rFonts w:hint="eastAsia"/>
                                </w:rPr>
                              </w:pPr>
                              <w:r>
                                <w:rPr>
                                  <w:rFonts w:ascii="Times New Roman" w:hAnsi="Times New Roman" w:eastAsia="宋体" w:cs="Times New Roman"/>
                                  <w:sz w:val="28"/>
                                  <w:szCs w:val="28"/>
                                </w:rPr>
                                <w:fldChar w:fldCharType="begin"/>
                              </w:r>
                              <w:r>
                                <w:rPr>
                                  <w:rFonts w:ascii="Times New Roman" w:hAnsi="Times New Roman" w:eastAsia="宋体" w:cs="Times New Roman"/>
                                  <w:sz w:val="28"/>
                                  <w:szCs w:val="28"/>
                                </w:rPr>
                                <w:instrText xml:space="preserve">PAGE   \* MERGEFORMAT</w:instrText>
                              </w:r>
                              <w:r>
                                <w:rPr>
                                  <w:rFonts w:ascii="Times New Roman" w:hAnsi="Times New Roman" w:eastAsia="宋体" w:cs="Times New Roman"/>
                                  <w:sz w:val="28"/>
                                  <w:szCs w:val="28"/>
                                </w:rPr>
                                <w:fldChar w:fldCharType="separate"/>
                              </w:r>
                              <w:r>
                                <w:rPr>
                                  <w:rFonts w:ascii="Times New Roman" w:hAnsi="Times New Roman" w:eastAsia="宋体" w:cs="Times New Roman"/>
                                  <w:sz w:val="28"/>
                                  <w:szCs w:val="28"/>
                                  <w:lang w:val="zh-CN"/>
                                </w:rPr>
                                <w:t>2</w:t>
                              </w:r>
                              <w:r>
                                <w:rPr>
                                  <w:rFonts w:ascii="Times New Roman" w:hAnsi="Times New Roman" w:eastAsia="宋体" w:cs="Times New Roman"/>
                                  <w:sz w:val="28"/>
                                  <w:szCs w:val="28"/>
                                </w:rPr>
                                <w:fldChar w:fldCharType="end"/>
                              </w:r>
                            </w:p>
                          </w:sdtContent>
                        </w:sdt>
                      </w:txbxContent>
                    </wps:txbx>
                    <wps:bodyPr rot="0" spcFirstLastPara="0" vertOverflow="overflow" horzOverflow="overflow" vert="horz" wrap="square" lIns="0" tIns="0" rIns="0" bIns="0" numCol="1" spcCol="0" rtlCol="0" fromWordArt="0" anchor="ctr" anchorCtr="0" forceAA="0" compatLnSpc="1">
                      <a:spAutoFit/>
                    </wps:bodyPr>
                  </wps:wsp>
                </a:graphicData>
              </a:graphic>
            </wp:anchor>
          </w:drawing>
        </mc:Choice>
        <mc:Fallback>
          <w:pict>
            <v:shape id="_x0000_s1026" o:spid="_x0000_s1026" o:spt="202" type="#_x0000_t202" style="position:absolute;left:0pt;margin-top:0.15pt;height:144pt;width:32pt;mso-position-horizontal:inside;mso-position-horizontal-relative:margin;z-index:251659264;v-text-anchor:middle;mso-width-relative:page;mso-height-relative:page;" filled="f" stroked="f" coordsize="21600,21600" o:gfxdata="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KKXrBLUAAAABAEAAA8AAAAAAAAAAQAgAAAAIgAAAGRycy9kb3ducmV2LnhtbFBL&#10;AQIUABQAAAAIAIdO4kBD0I49MwIAAFgEAAAOAAAAAAAAAAEAIAAAACMBAABkcnMvZTJvRG9jLnht&#10;bFBLBQYAAAAABgAGAFkBAADIBQAAAAA=&#10;">
              <v:fill on="f" focussize="0,0"/>
              <v:stroke on="f" weight="0.5pt"/>
              <v:imagedata o:title=""/>
              <o:lock v:ext="edit" aspectratio="f"/>
              <v:textbox inset="0mm,0mm,0mm,0mm" style="mso-fit-shape-to-text:t;">
                <w:txbxContent>
                  <w:sdt>
                    <w:sdtPr>
                      <w:rPr>
                        <w:rFonts w:ascii="Times New Roman" w:hAnsi="Times New Roman" w:cs="Times New Roman"/>
                      </w:rPr>
                      <w:id w:val="147469307"/>
                    </w:sdtPr>
                    <w:sdtEndPr>
                      <w:rPr>
                        <w:rFonts w:ascii="Times New Roman" w:hAnsi="Times New Roman" w:eastAsia="宋体" w:cs="Times New Roman"/>
                        <w:sz w:val="28"/>
                        <w:szCs w:val="28"/>
                      </w:rPr>
                    </w:sdtEndPr>
                    <w:sdtContent>
                      <w:p w14:paraId="7879C321">
                        <w:pPr>
                          <w:pStyle w:val="18"/>
                          <w:jc w:val="center"/>
                          <w:rPr>
                            <w:rFonts w:hint="eastAsia"/>
                          </w:rPr>
                        </w:pPr>
                        <w:r>
                          <w:rPr>
                            <w:rFonts w:ascii="Times New Roman" w:hAnsi="Times New Roman" w:eastAsia="宋体" w:cs="Times New Roman"/>
                            <w:sz w:val="28"/>
                            <w:szCs w:val="28"/>
                          </w:rPr>
                          <w:fldChar w:fldCharType="begin"/>
                        </w:r>
                        <w:r>
                          <w:rPr>
                            <w:rFonts w:ascii="Times New Roman" w:hAnsi="Times New Roman" w:eastAsia="宋体" w:cs="Times New Roman"/>
                            <w:sz w:val="28"/>
                            <w:szCs w:val="28"/>
                          </w:rPr>
                          <w:instrText xml:space="preserve">PAGE   \* MERGEFORMAT</w:instrText>
                        </w:r>
                        <w:r>
                          <w:rPr>
                            <w:rFonts w:ascii="Times New Roman" w:hAnsi="Times New Roman" w:eastAsia="宋体" w:cs="Times New Roman"/>
                            <w:sz w:val="28"/>
                            <w:szCs w:val="28"/>
                          </w:rPr>
                          <w:fldChar w:fldCharType="separate"/>
                        </w:r>
                        <w:r>
                          <w:rPr>
                            <w:rFonts w:ascii="Times New Roman" w:hAnsi="Times New Roman" w:eastAsia="宋体" w:cs="Times New Roman"/>
                            <w:sz w:val="28"/>
                            <w:szCs w:val="28"/>
                            <w:lang w:val="zh-CN"/>
                          </w:rPr>
                          <w:t>2</w:t>
                        </w:r>
                        <w:r>
                          <w:rPr>
                            <w:rFonts w:ascii="Times New Roman" w:hAnsi="Times New Roman" w:eastAsia="宋体" w:cs="Times New Roman"/>
                            <w:sz w:val="28"/>
                            <w:szCs w:val="28"/>
                          </w:rPr>
                          <w:fldChar w:fldCharType="end"/>
                        </w:r>
                      </w:p>
                    </w:sdtContent>
                  </w:sdt>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trackRevisions w:val="1"/>
  <w:documentProtection w:enforcement="0"/>
  <w:defaultTabStop w:val="420"/>
  <w:drawingGridHorizontalSpacing w:val="105"/>
  <w:drawingGridVerticalSpacing w:val="159"/>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F24"/>
    <w:rsid w:val="00001EDA"/>
    <w:rsid w:val="000022C0"/>
    <w:rsid w:val="00002C72"/>
    <w:rsid w:val="00011073"/>
    <w:rsid w:val="0001553F"/>
    <w:rsid w:val="000237AC"/>
    <w:rsid w:val="00024936"/>
    <w:rsid w:val="00025641"/>
    <w:rsid w:val="000315D7"/>
    <w:rsid w:val="00032094"/>
    <w:rsid w:val="000349EB"/>
    <w:rsid w:val="00044EE0"/>
    <w:rsid w:val="00047498"/>
    <w:rsid w:val="000601AB"/>
    <w:rsid w:val="00060705"/>
    <w:rsid w:val="0006666A"/>
    <w:rsid w:val="00070F80"/>
    <w:rsid w:val="000770AC"/>
    <w:rsid w:val="00096F4D"/>
    <w:rsid w:val="000B260A"/>
    <w:rsid w:val="000B337A"/>
    <w:rsid w:val="000C1629"/>
    <w:rsid w:val="000C182C"/>
    <w:rsid w:val="000D0BF6"/>
    <w:rsid w:val="000D21E5"/>
    <w:rsid w:val="000D6A7C"/>
    <w:rsid w:val="000E1F58"/>
    <w:rsid w:val="000E2AD2"/>
    <w:rsid w:val="000E32EA"/>
    <w:rsid w:val="000E3A97"/>
    <w:rsid w:val="000E5CC4"/>
    <w:rsid w:val="000E6E0D"/>
    <w:rsid w:val="000E75AD"/>
    <w:rsid w:val="0010333D"/>
    <w:rsid w:val="00104679"/>
    <w:rsid w:val="001051D4"/>
    <w:rsid w:val="00106353"/>
    <w:rsid w:val="00106F73"/>
    <w:rsid w:val="00122AB7"/>
    <w:rsid w:val="00134995"/>
    <w:rsid w:val="0014013F"/>
    <w:rsid w:val="00140A65"/>
    <w:rsid w:val="001437F2"/>
    <w:rsid w:val="00151D22"/>
    <w:rsid w:val="0015212A"/>
    <w:rsid w:val="00152B7F"/>
    <w:rsid w:val="0015358F"/>
    <w:rsid w:val="001611F0"/>
    <w:rsid w:val="00172B33"/>
    <w:rsid w:val="00173F2D"/>
    <w:rsid w:val="00174D86"/>
    <w:rsid w:val="00185C7B"/>
    <w:rsid w:val="00195758"/>
    <w:rsid w:val="001B0228"/>
    <w:rsid w:val="001B02ED"/>
    <w:rsid w:val="001B43FB"/>
    <w:rsid w:val="001B5A98"/>
    <w:rsid w:val="001B717F"/>
    <w:rsid w:val="001C0BCB"/>
    <w:rsid w:val="001D7E9F"/>
    <w:rsid w:val="001E4230"/>
    <w:rsid w:val="001F1317"/>
    <w:rsid w:val="001F224F"/>
    <w:rsid w:val="001F4FC2"/>
    <w:rsid w:val="001F6667"/>
    <w:rsid w:val="00201189"/>
    <w:rsid w:val="002020B1"/>
    <w:rsid w:val="0020405A"/>
    <w:rsid w:val="00204762"/>
    <w:rsid w:val="00206827"/>
    <w:rsid w:val="00207D35"/>
    <w:rsid w:val="0022125E"/>
    <w:rsid w:val="0022282B"/>
    <w:rsid w:val="00223A85"/>
    <w:rsid w:val="00230AAC"/>
    <w:rsid w:val="002349E8"/>
    <w:rsid w:val="00235B18"/>
    <w:rsid w:val="00240A52"/>
    <w:rsid w:val="00241643"/>
    <w:rsid w:val="00241BC0"/>
    <w:rsid w:val="00246C7F"/>
    <w:rsid w:val="002560ED"/>
    <w:rsid w:val="0025701A"/>
    <w:rsid w:val="002675A2"/>
    <w:rsid w:val="00271760"/>
    <w:rsid w:val="00273FC6"/>
    <w:rsid w:val="0028186A"/>
    <w:rsid w:val="002819DC"/>
    <w:rsid w:val="00281B96"/>
    <w:rsid w:val="002A4012"/>
    <w:rsid w:val="002B1012"/>
    <w:rsid w:val="002B2C2B"/>
    <w:rsid w:val="002B341B"/>
    <w:rsid w:val="002B4C98"/>
    <w:rsid w:val="002B75AB"/>
    <w:rsid w:val="002C1319"/>
    <w:rsid w:val="002D12CE"/>
    <w:rsid w:val="002D7064"/>
    <w:rsid w:val="002E2B47"/>
    <w:rsid w:val="002E6159"/>
    <w:rsid w:val="002E63E2"/>
    <w:rsid w:val="002E6FC0"/>
    <w:rsid w:val="002E7BD4"/>
    <w:rsid w:val="002E7E48"/>
    <w:rsid w:val="003018D2"/>
    <w:rsid w:val="00304296"/>
    <w:rsid w:val="00305175"/>
    <w:rsid w:val="00306AFC"/>
    <w:rsid w:val="0031202E"/>
    <w:rsid w:val="003123AF"/>
    <w:rsid w:val="0031454E"/>
    <w:rsid w:val="003151B8"/>
    <w:rsid w:val="00315FAF"/>
    <w:rsid w:val="003160D8"/>
    <w:rsid w:val="00316F53"/>
    <w:rsid w:val="00317D10"/>
    <w:rsid w:val="00324CBF"/>
    <w:rsid w:val="00330DAD"/>
    <w:rsid w:val="00331489"/>
    <w:rsid w:val="0034121D"/>
    <w:rsid w:val="00343BAB"/>
    <w:rsid w:val="00366499"/>
    <w:rsid w:val="003714BC"/>
    <w:rsid w:val="00371DD1"/>
    <w:rsid w:val="00375C6A"/>
    <w:rsid w:val="003908C6"/>
    <w:rsid w:val="003A0710"/>
    <w:rsid w:val="003A194D"/>
    <w:rsid w:val="003A2DFD"/>
    <w:rsid w:val="003B1890"/>
    <w:rsid w:val="003C022D"/>
    <w:rsid w:val="003C13A5"/>
    <w:rsid w:val="003C13DD"/>
    <w:rsid w:val="003C1950"/>
    <w:rsid w:val="003C4914"/>
    <w:rsid w:val="003D4075"/>
    <w:rsid w:val="003E108F"/>
    <w:rsid w:val="003E5CD0"/>
    <w:rsid w:val="003F52A8"/>
    <w:rsid w:val="003F64A5"/>
    <w:rsid w:val="00406798"/>
    <w:rsid w:val="004143E5"/>
    <w:rsid w:val="004146A5"/>
    <w:rsid w:val="00420424"/>
    <w:rsid w:val="004228CC"/>
    <w:rsid w:val="00426B58"/>
    <w:rsid w:val="004311E7"/>
    <w:rsid w:val="00441D06"/>
    <w:rsid w:val="0045138D"/>
    <w:rsid w:val="00457221"/>
    <w:rsid w:val="00464265"/>
    <w:rsid w:val="0046694F"/>
    <w:rsid w:val="00470A59"/>
    <w:rsid w:val="00471DEA"/>
    <w:rsid w:val="00480E84"/>
    <w:rsid w:val="00482B98"/>
    <w:rsid w:val="00482CF2"/>
    <w:rsid w:val="004931CA"/>
    <w:rsid w:val="004956C4"/>
    <w:rsid w:val="004B45FA"/>
    <w:rsid w:val="004C08B1"/>
    <w:rsid w:val="004C1223"/>
    <w:rsid w:val="004C3CDC"/>
    <w:rsid w:val="004C6ACD"/>
    <w:rsid w:val="004E0809"/>
    <w:rsid w:val="004E2849"/>
    <w:rsid w:val="004E55B4"/>
    <w:rsid w:val="004F6442"/>
    <w:rsid w:val="004F74E0"/>
    <w:rsid w:val="004F7C23"/>
    <w:rsid w:val="005026CF"/>
    <w:rsid w:val="005065F6"/>
    <w:rsid w:val="00515C53"/>
    <w:rsid w:val="005224E4"/>
    <w:rsid w:val="00536044"/>
    <w:rsid w:val="00545B9E"/>
    <w:rsid w:val="0055175C"/>
    <w:rsid w:val="00552480"/>
    <w:rsid w:val="00556234"/>
    <w:rsid w:val="00585784"/>
    <w:rsid w:val="0059681A"/>
    <w:rsid w:val="0059733D"/>
    <w:rsid w:val="005A03A8"/>
    <w:rsid w:val="005A47ED"/>
    <w:rsid w:val="005A499E"/>
    <w:rsid w:val="005A6189"/>
    <w:rsid w:val="005A6455"/>
    <w:rsid w:val="005C5456"/>
    <w:rsid w:val="005D61B3"/>
    <w:rsid w:val="005D649A"/>
    <w:rsid w:val="005E269B"/>
    <w:rsid w:val="005F33ED"/>
    <w:rsid w:val="005F65AB"/>
    <w:rsid w:val="005F72E0"/>
    <w:rsid w:val="0060170E"/>
    <w:rsid w:val="00602278"/>
    <w:rsid w:val="006062F7"/>
    <w:rsid w:val="006069BD"/>
    <w:rsid w:val="00612345"/>
    <w:rsid w:val="00615D99"/>
    <w:rsid w:val="00617718"/>
    <w:rsid w:val="00617A6F"/>
    <w:rsid w:val="00620169"/>
    <w:rsid w:val="006202EE"/>
    <w:rsid w:val="0062307E"/>
    <w:rsid w:val="00623392"/>
    <w:rsid w:val="006242ED"/>
    <w:rsid w:val="0063312E"/>
    <w:rsid w:val="00634DDA"/>
    <w:rsid w:val="00643155"/>
    <w:rsid w:val="00647E30"/>
    <w:rsid w:val="006518EE"/>
    <w:rsid w:val="00651949"/>
    <w:rsid w:val="00654305"/>
    <w:rsid w:val="00655868"/>
    <w:rsid w:val="006572F3"/>
    <w:rsid w:val="00660E8B"/>
    <w:rsid w:val="00662DAE"/>
    <w:rsid w:val="00664583"/>
    <w:rsid w:val="00670C7A"/>
    <w:rsid w:val="006758F6"/>
    <w:rsid w:val="006762F2"/>
    <w:rsid w:val="006767AC"/>
    <w:rsid w:val="00676BDA"/>
    <w:rsid w:val="00685B02"/>
    <w:rsid w:val="00692034"/>
    <w:rsid w:val="00692155"/>
    <w:rsid w:val="006974AC"/>
    <w:rsid w:val="006A155E"/>
    <w:rsid w:val="006A296E"/>
    <w:rsid w:val="006A5BC5"/>
    <w:rsid w:val="006B1A8F"/>
    <w:rsid w:val="006B7EC8"/>
    <w:rsid w:val="006C039B"/>
    <w:rsid w:val="006D1944"/>
    <w:rsid w:val="006E2709"/>
    <w:rsid w:val="006F0A01"/>
    <w:rsid w:val="006F467B"/>
    <w:rsid w:val="006F715F"/>
    <w:rsid w:val="0071130E"/>
    <w:rsid w:val="00727E88"/>
    <w:rsid w:val="00730319"/>
    <w:rsid w:val="007371E4"/>
    <w:rsid w:val="00744B34"/>
    <w:rsid w:val="0074788B"/>
    <w:rsid w:val="00761996"/>
    <w:rsid w:val="00762384"/>
    <w:rsid w:val="00763DE5"/>
    <w:rsid w:val="00771541"/>
    <w:rsid w:val="00771EA3"/>
    <w:rsid w:val="00781088"/>
    <w:rsid w:val="00782933"/>
    <w:rsid w:val="00783936"/>
    <w:rsid w:val="007B1E72"/>
    <w:rsid w:val="007B3312"/>
    <w:rsid w:val="007B3FB8"/>
    <w:rsid w:val="007B4A56"/>
    <w:rsid w:val="007C1691"/>
    <w:rsid w:val="007C213A"/>
    <w:rsid w:val="007C7246"/>
    <w:rsid w:val="007D128B"/>
    <w:rsid w:val="007D4042"/>
    <w:rsid w:val="007D77EA"/>
    <w:rsid w:val="007E47C0"/>
    <w:rsid w:val="007F13D7"/>
    <w:rsid w:val="007F1A08"/>
    <w:rsid w:val="007F1E80"/>
    <w:rsid w:val="007F39BF"/>
    <w:rsid w:val="007F3E30"/>
    <w:rsid w:val="007F4796"/>
    <w:rsid w:val="008103BB"/>
    <w:rsid w:val="00811891"/>
    <w:rsid w:val="0081190D"/>
    <w:rsid w:val="00821A44"/>
    <w:rsid w:val="0083153F"/>
    <w:rsid w:val="00832605"/>
    <w:rsid w:val="008331BA"/>
    <w:rsid w:val="008550B7"/>
    <w:rsid w:val="00855510"/>
    <w:rsid w:val="0087049D"/>
    <w:rsid w:val="008749AC"/>
    <w:rsid w:val="00890B35"/>
    <w:rsid w:val="008933B7"/>
    <w:rsid w:val="00896FBD"/>
    <w:rsid w:val="008A1ABE"/>
    <w:rsid w:val="008A5916"/>
    <w:rsid w:val="008A7938"/>
    <w:rsid w:val="008B4583"/>
    <w:rsid w:val="008B6458"/>
    <w:rsid w:val="008C20C8"/>
    <w:rsid w:val="008C2D63"/>
    <w:rsid w:val="008D3DC9"/>
    <w:rsid w:val="008E2522"/>
    <w:rsid w:val="008E2E85"/>
    <w:rsid w:val="008E7795"/>
    <w:rsid w:val="008E7D49"/>
    <w:rsid w:val="008E7FB2"/>
    <w:rsid w:val="00903A03"/>
    <w:rsid w:val="00904E4A"/>
    <w:rsid w:val="0090532A"/>
    <w:rsid w:val="0091254E"/>
    <w:rsid w:val="00916BF5"/>
    <w:rsid w:val="00925DAB"/>
    <w:rsid w:val="0093104B"/>
    <w:rsid w:val="009364B7"/>
    <w:rsid w:val="00944747"/>
    <w:rsid w:val="0094686B"/>
    <w:rsid w:val="00952657"/>
    <w:rsid w:val="00953EC7"/>
    <w:rsid w:val="009555DC"/>
    <w:rsid w:val="009607D3"/>
    <w:rsid w:val="0096709B"/>
    <w:rsid w:val="009700F6"/>
    <w:rsid w:val="0097443D"/>
    <w:rsid w:val="00974748"/>
    <w:rsid w:val="0098192F"/>
    <w:rsid w:val="0098591A"/>
    <w:rsid w:val="00994571"/>
    <w:rsid w:val="009973D6"/>
    <w:rsid w:val="009978E8"/>
    <w:rsid w:val="009A0AA6"/>
    <w:rsid w:val="009A6C7E"/>
    <w:rsid w:val="009A70B0"/>
    <w:rsid w:val="009B6346"/>
    <w:rsid w:val="009C2634"/>
    <w:rsid w:val="009D5A70"/>
    <w:rsid w:val="009E14F6"/>
    <w:rsid w:val="009F001D"/>
    <w:rsid w:val="009F5A77"/>
    <w:rsid w:val="00A0017C"/>
    <w:rsid w:val="00A03FE9"/>
    <w:rsid w:val="00A048E3"/>
    <w:rsid w:val="00A14A58"/>
    <w:rsid w:val="00A228C5"/>
    <w:rsid w:val="00A23532"/>
    <w:rsid w:val="00A27638"/>
    <w:rsid w:val="00A32062"/>
    <w:rsid w:val="00A33716"/>
    <w:rsid w:val="00A369C6"/>
    <w:rsid w:val="00A4005D"/>
    <w:rsid w:val="00A42832"/>
    <w:rsid w:val="00A43236"/>
    <w:rsid w:val="00A443DE"/>
    <w:rsid w:val="00A62D4C"/>
    <w:rsid w:val="00A66CFF"/>
    <w:rsid w:val="00A700A4"/>
    <w:rsid w:val="00A81EF5"/>
    <w:rsid w:val="00A94A5E"/>
    <w:rsid w:val="00A96994"/>
    <w:rsid w:val="00AA0234"/>
    <w:rsid w:val="00AA167C"/>
    <w:rsid w:val="00AA2F78"/>
    <w:rsid w:val="00AA4DD3"/>
    <w:rsid w:val="00AA6525"/>
    <w:rsid w:val="00AB56EE"/>
    <w:rsid w:val="00AB72AF"/>
    <w:rsid w:val="00AC2306"/>
    <w:rsid w:val="00AD6EDB"/>
    <w:rsid w:val="00AE29AF"/>
    <w:rsid w:val="00AE34DD"/>
    <w:rsid w:val="00AE6086"/>
    <w:rsid w:val="00B12BB3"/>
    <w:rsid w:val="00B12FA9"/>
    <w:rsid w:val="00B13197"/>
    <w:rsid w:val="00B158E6"/>
    <w:rsid w:val="00B230EF"/>
    <w:rsid w:val="00B24152"/>
    <w:rsid w:val="00B26C44"/>
    <w:rsid w:val="00B53CB9"/>
    <w:rsid w:val="00B61E50"/>
    <w:rsid w:val="00B62E49"/>
    <w:rsid w:val="00B64239"/>
    <w:rsid w:val="00B70F24"/>
    <w:rsid w:val="00B73CDC"/>
    <w:rsid w:val="00B7710B"/>
    <w:rsid w:val="00B80782"/>
    <w:rsid w:val="00B82996"/>
    <w:rsid w:val="00B845F5"/>
    <w:rsid w:val="00B86B1E"/>
    <w:rsid w:val="00B925CC"/>
    <w:rsid w:val="00BA2D5C"/>
    <w:rsid w:val="00BA5935"/>
    <w:rsid w:val="00BA5FA7"/>
    <w:rsid w:val="00BB0EE3"/>
    <w:rsid w:val="00BB28DF"/>
    <w:rsid w:val="00BB3850"/>
    <w:rsid w:val="00BB3BC7"/>
    <w:rsid w:val="00BB7098"/>
    <w:rsid w:val="00BC14B8"/>
    <w:rsid w:val="00BC30BA"/>
    <w:rsid w:val="00BD19D2"/>
    <w:rsid w:val="00BE2B55"/>
    <w:rsid w:val="00BE2D9B"/>
    <w:rsid w:val="00BE4717"/>
    <w:rsid w:val="00BF4B43"/>
    <w:rsid w:val="00C12BB3"/>
    <w:rsid w:val="00C16A84"/>
    <w:rsid w:val="00C173FA"/>
    <w:rsid w:val="00C206C0"/>
    <w:rsid w:val="00C22BF0"/>
    <w:rsid w:val="00C262E3"/>
    <w:rsid w:val="00C35569"/>
    <w:rsid w:val="00C35E2E"/>
    <w:rsid w:val="00C51CAB"/>
    <w:rsid w:val="00C57335"/>
    <w:rsid w:val="00C6088A"/>
    <w:rsid w:val="00C62D3E"/>
    <w:rsid w:val="00C77C3B"/>
    <w:rsid w:val="00C8249E"/>
    <w:rsid w:val="00C91893"/>
    <w:rsid w:val="00C97835"/>
    <w:rsid w:val="00CA32C3"/>
    <w:rsid w:val="00CA4C87"/>
    <w:rsid w:val="00CA5886"/>
    <w:rsid w:val="00CB294D"/>
    <w:rsid w:val="00CB32C2"/>
    <w:rsid w:val="00CB7DC5"/>
    <w:rsid w:val="00CC1C0B"/>
    <w:rsid w:val="00CC5621"/>
    <w:rsid w:val="00CD143F"/>
    <w:rsid w:val="00CD32E8"/>
    <w:rsid w:val="00CD332C"/>
    <w:rsid w:val="00CD78F7"/>
    <w:rsid w:val="00CE10E4"/>
    <w:rsid w:val="00CE13D6"/>
    <w:rsid w:val="00CE2085"/>
    <w:rsid w:val="00CE3F9F"/>
    <w:rsid w:val="00CE686F"/>
    <w:rsid w:val="00CE7B70"/>
    <w:rsid w:val="00D01C7E"/>
    <w:rsid w:val="00D028EE"/>
    <w:rsid w:val="00D06CA9"/>
    <w:rsid w:val="00D071BC"/>
    <w:rsid w:val="00D21F39"/>
    <w:rsid w:val="00D26B99"/>
    <w:rsid w:val="00D2758A"/>
    <w:rsid w:val="00D32780"/>
    <w:rsid w:val="00D44815"/>
    <w:rsid w:val="00D4707C"/>
    <w:rsid w:val="00D47D80"/>
    <w:rsid w:val="00D47F40"/>
    <w:rsid w:val="00D517DA"/>
    <w:rsid w:val="00D52384"/>
    <w:rsid w:val="00D61611"/>
    <w:rsid w:val="00D62BDC"/>
    <w:rsid w:val="00D634ED"/>
    <w:rsid w:val="00D639D2"/>
    <w:rsid w:val="00D643CE"/>
    <w:rsid w:val="00D64C39"/>
    <w:rsid w:val="00D650DC"/>
    <w:rsid w:val="00D756B3"/>
    <w:rsid w:val="00D8041D"/>
    <w:rsid w:val="00D9128E"/>
    <w:rsid w:val="00D932C3"/>
    <w:rsid w:val="00DA28A2"/>
    <w:rsid w:val="00DB365B"/>
    <w:rsid w:val="00DE538F"/>
    <w:rsid w:val="00DE57D1"/>
    <w:rsid w:val="00DE77E0"/>
    <w:rsid w:val="00E10569"/>
    <w:rsid w:val="00E20AAE"/>
    <w:rsid w:val="00E25A88"/>
    <w:rsid w:val="00E25F7A"/>
    <w:rsid w:val="00E352B2"/>
    <w:rsid w:val="00E373B9"/>
    <w:rsid w:val="00E43295"/>
    <w:rsid w:val="00E46EF0"/>
    <w:rsid w:val="00E500B4"/>
    <w:rsid w:val="00E5111C"/>
    <w:rsid w:val="00E56A61"/>
    <w:rsid w:val="00E616B4"/>
    <w:rsid w:val="00E70FA9"/>
    <w:rsid w:val="00E7659F"/>
    <w:rsid w:val="00E77F82"/>
    <w:rsid w:val="00E8095E"/>
    <w:rsid w:val="00E95771"/>
    <w:rsid w:val="00EA4336"/>
    <w:rsid w:val="00EA5196"/>
    <w:rsid w:val="00EA6E40"/>
    <w:rsid w:val="00EB0A43"/>
    <w:rsid w:val="00EB141F"/>
    <w:rsid w:val="00EB5988"/>
    <w:rsid w:val="00EB5AA6"/>
    <w:rsid w:val="00EB6C3A"/>
    <w:rsid w:val="00EB6C7F"/>
    <w:rsid w:val="00EC14E3"/>
    <w:rsid w:val="00EC32DF"/>
    <w:rsid w:val="00EC4E23"/>
    <w:rsid w:val="00EC77DB"/>
    <w:rsid w:val="00EC7AF9"/>
    <w:rsid w:val="00ED2B62"/>
    <w:rsid w:val="00ED6941"/>
    <w:rsid w:val="00EE1A74"/>
    <w:rsid w:val="00EE5852"/>
    <w:rsid w:val="00EE7B75"/>
    <w:rsid w:val="00EF0BD7"/>
    <w:rsid w:val="00EF365E"/>
    <w:rsid w:val="00F1293B"/>
    <w:rsid w:val="00F13879"/>
    <w:rsid w:val="00F1790C"/>
    <w:rsid w:val="00F22FCD"/>
    <w:rsid w:val="00F244EF"/>
    <w:rsid w:val="00F310F9"/>
    <w:rsid w:val="00F3783C"/>
    <w:rsid w:val="00F46BE4"/>
    <w:rsid w:val="00F503AD"/>
    <w:rsid w:val="00F50F7F"/>
    <w:rsid w:val="00F564B3"/>
    <w:rsid w:val="00F60B96"/>
    <w:rsid w:val="00F60E11"/>
    <w:rsid w:val="00F625C6"/>
    <w:rsid w:val="00F650A2"/>
    <w:rsid w:val="00F70B34"/>
    <w:rsid w:val="00F737BE"/>
    <w:rsid w:val="00F742F8"/>
    <w:rsid w:val="00F77A68"/>
    <w:rsid w:val="00F80E42"/>
    <w:rsid w:val="00F81494"/>
    <w:rsid w:val="00F87870"/>
    <w:rsid w:val="00F918AF"/>
    <w:rsid w:val="00F94B19"/>
    <w:rsid w:val="00F97B06"/>
    <w:rsid w:val="00F97CD4"/>
    <w:rsid w:val="00FA396C"/>
    <w:rsid w:val="00FA5BD4"/>
    <w:rsid w:val="00FB413D"/>
    <w:rsid w:val="00FB5EC5"/>
    <w:rsid w:val="00FC18E0"/>
    <w:rsid w:val="00FD2EF5"/>
    <w:rsid w:val="00FE4919"/>
    <w:rsid w:val="00FF282A"/>
    <w:rsid w:val="00FF3E1D"/>
    <w:rsid w:val="013144B8"/>
    <w:rsid w:val="01BE7323"/>
    <w:rsid w:val="01C8059B"/>
    <w:rsid w:val="01D90CF6"/>
    <w:rsid w:val="020B6A0C"/>
    <w:rsid w:val="02832A46"/>
    <w:rsid w:val="028A0E54"/>
    <w:rsid w:val="02DD1A2B"/>
    <w:rsid w:val="03A543C5"/>
    <w:rsid w:val="03AA5DB1"/>
    <w:rsid w:val="03F17B3A"/>
    <w:rsid w:val="03FA7046"/>
    <w:rsid w:val="04903B99"/>
    <w:rsid w:val="04AE6738"/>
    <w:rsid w:val="04EB5745"/>
    <w:rsid w:val="050E411D"/>
    <w:rsid w:val="057D5E79"/>
    <w:rsid w:val="05E47764"/>
    <w:rsid w:val="06016321"/>
    <w:rsid w:val="06C21C4B"/>
    <w:rsid w:val="06E710CA"/>
    <w:rsid w:val="07836D5F"/>
    <w:rsid w:val="0876673A"/>
    <w:rsid w:val="097F61EC"/>
    <w:rsid w:val="099C2971"/>
    <w:rsid w:val="09C20EE7"/>
    <w:rsid w:val="0ADA060B"/>
    <w:rsid w:val="0AFF4C34"/>
    <w:rsid w:val="0C0F1AD7"/>
    <w:rsid w:val="0C9D51A9"/>
    <w:rsid w:val="0D8256A8"/>
    <w:rsid w:val="0D931037"/>
    <w:rsid w:val="0DBD0C42"/>
    <w:rsid w:val="0DC9777B"/>
    <w:rsid w:val="0E5139F9"/>
    <w:rsid w:val="0E567261"/>
    <w:rsid w:val="0E686F94"/>
    <w:rsid w:val="0EA112D0"/>
    <w:rsid w:val="0ED91C40"/>
    <w:rsid w:val="0F86584A"/>
    <w:rsid w:val="0FA062BA"/>
    <w:rsid w:val="0FEFD1D4"/>
    <w:rsid w:val="118C291C"/>
    <w:rsid w:val="11AD4A1E"/>
    <w:rsid w:val="11B07A5C"/>
    <w:rsid w:val="11C20769"/>
    <w:rsid w:val="12095D2F"/>
    <w:rsid w:val="125D4587"/>
    <w:rsid w:val="12B32B77"/>
    <w:rsid w:val="12DD1CFF"/>
    <w:rsid w:val="133925D9"/>
    <w:rsid w:val="13632A7F"/>
    <w:rsid w:val="144D4C62"/>
    <w:rsid w:val="155838BF"/>
    <w:rsid w:val="158F3058"/>
    <w:rsid w:val="16F9D713"/>
    <w:rsid w:val="17231F21"/>
    <w:rsid w:val="172779EC"/>
    <w:rsid w:val="17E30B5F"/>
    <w:rsid w:val="183B1C04"/>
    <w:rsid w:val="18A768A2"/>
    <w:rsid w:val="18CB7D04"/>
    <w:rsid w:val="18E92A80"/>
    <w:rsid w:val="18F70FBB"/>
    <w:rsid w:val="18FC0A05"/>
    <w:rsid w:val="19CA0B03"/>
    <w:rsid w:val="1A6E3163"/>
    <w:rsid w:val="1AC533EC"/>
    <w:rsid w:val="1AD75285"/>
    <w:rsid w:val="1BA86144"/>
    <w:rsid w:val="1C5C619A"/>
    <w:rsid w:val="1CA17B16"/>
    <w:rsid w:val="1CD13F56"/>
    <w:rsid w:val="1D4C1A1A"/>
    <w:rsid w:val="1DBD1371"/>
    <w:rsid w:val="1DDF314D"/>
    <w:rsid w:val="1E4A3806"/>
    <w:rsid w:val="1E851C76"/>
    <w:rsid w:val="1EC542A8"/>
    <w:rsid w:val="1EECA469"/>
    <w:rsid w:val="1F59095F"/>
    <w:rsid w:val="1F8E5CC7"/>
    <w:rsid w:val="1FBB4A9E"/>
    <w:rsid w:val="1FD55B0C"/>
    <w:rsid w:val="20074C2F"/>
    <w:rsid w:val="206662F2"/>
    <w:rsid w:val="20D4387A"/>
    <w:rsid w:val="213046AB"/>
    <w:rsid w:val="214473ED"/>
    <w:rsid w:val="24194B61"/>
    <w:rsid w:val="242213FF"/>
    <w:rsid w:val="24416AE1"/>
    <w:rsid w:val="24BA7F43"/>
    <w:rsid w:val="25130D30"/>
    <w:rsid w:val="25AD056D"/>
    <w:rsid w:val="26E97F59"/>
    <w:rsid w:val="27275F62"/>
    <w:rsid w:val="2778394C"/>
    <w:rsid w:val="27962024"/>
    <w:rsid w:val="27BC53F0"/>
    <w:rsid w:val="280128F8"/>
    <w:rsid w:val="28740FEB"/>
    <w:rsid w:val="28B430AA"/>
    <w:rsid w:val="291F73DA"/>
    <w:rsid w:val="292D69B8"/>
    <w:rsid w:val="293A0798"/>
    <w:rsid w:val="29CB05BD"/>
    <w:rsid w:val="2A0B4F4C"/>
    <w:rsid w:val="2A9547AF"/>
    <w:rsid w:val="2AC37189"/>
    <w:rsid w:val="2B013C59"/>
    <w:rsid w:val="2B6561C7"/>
    <w:rsid w:val="2BED37C5"/>
    <w:rsid w:val="2CF51B26"/>
    <w:rsid w:val="2D323B71"/>
    <w:rsid w:val="2D4F15F3"/>
    <w:rsid w:val="2D594220"/>
    <w:rsid w:val="2DA31D38"/>
    <w:rsid w:val="2E7F6B01"/>
    <w:rsid w:val="2EAA3A90"/>
    <w:rsid w:val="2F32A20E"/>
    <w:rsid w:val="2F4E5CF5"/>
    <w:rsid w:val="2F6F3FA5"/>
    <w:rsid w:val="3059019D"/>
    <w:rsid w:val="30925931"/>
    <w:rsid w:val="30D7105B"/>
    <w:rsid w:val="31055B72"/>
    <w:rsid w:val="32412252"/>
    <w:rsid w:val="32675777"/>
    <w:rsid w:val="326A2A2B"/>
    <w:rsid w:val="327014F8"/>
    <w:rsid w:val="3276317E"/>
    <w:rsid w:val="32A55E35"/>
    <w:rsid w:val="32DF6D62"/>
    <w:rsid w:val="32F566AF"/>
    <w:rsid w:val="33B76E22"/>
    <w:rsid w:val="34D80E6B"/>
    <w:rsid w:val="34DE0487"/>
    <w:rsid w:val="34EA69B4"/>
    <w:rsid w:val="356917A4"/>
    <w:rsid w:val="365442FF"/>
    <w:rsid w:val="36A209E6"/>
    <w:rsid w:val="36BE3069"/>
    <w:rsid w:val="36F14DBE"/>
    <w:rsid w:val="376B2C40"/>
    <w:rsid w:val="37DD15AA"/>
    <w:rsid w:val="37FA5FD7"/>
    <w:rsid w:val="38482EC7"/>
    <w:rsid w:val="38651CCB"/>
    <w:rsid w:val="39050DB8"/>
    <w:rsid w:val="391159AF"/>
    <w:rsid w:val="3A054990"/>
    <w:rsid w:val="3A074E84"/>
    <w:rsid w:val="3A2A3DC5"/>
    <w:rsid w:val="3A68164F"/>
    <w:rsid w:val="3A7E5897"/>
    <w:rsid w:val="3A8D7F62"/>
    <w:rsid w:val="3B8E32E7"/>
    <w:rsid w:val="3C1946D8"/>
    <w:rsid w:val="3C1E7CDF"/>
    <w:rsid w:val="3CB15FCA"/>
    <w:rsid w:val="3CBB7049"/>
    <w:rsid w:val="3CEF6007"/>
    <w:rsid w:val="3CF90606"/>
    <w:rsid w:val="3D1B75AF"/>
    <w:rsid w:val="3D2B4786"/>
    <w:rsid w:val="3DA617B3"/>
    <w:rsid w:val="3DAD3BEE"/>
    <w:rsid w:val="3DF433C6"/>
    <w:rsid w:val="3DF74E08"/>
    <w:rsid w:val="3E15115B"/>
    <w:rsid w:val="3E6A7C28"/>
    <w:rsid w:val="3F9F398F"/>
    <w:rsid w:val="3FBA9F5B"/>
    <w:rsid w:val="3FCB7E25"/>
    <w:rsid w:val="3FE931E1"/>
    <w:rsid w:val="401A5433"/>
    <w:rsid w:val="40860A30"/>
    <w:rsid w:val="40C04C4A"/>
    <w:rsid w:val="41A24117"/>
    <w:rsid w:val="41B86AC6"/>
    <w:rsid w:val="423E39B5"/>
    <w:rsid w:val="42B2161E"/>
    <w:rsid w:val="42B74B72"/>
    <w:rsid w:val="43DB28C0"/>
    <w:rsid w:val="44627A06"/>
    <w:rsid w:val="449E3E03"/>
    <w:rsid w:val="45381096"/>
    <w:rsid w:val="45564399"/>
    <w:rsid w:val="45D9162C"/>
    <w:rsid w:val="46505248"/>
    <w:rsid w:val="46845A12"/>
    <w:rsid w:val="46DF4757"/>
    <w:rsid w:val="470438CA"/>
    <w:rsid w:val="4746716B"/>
    <w:rsid w:val="47E25CC5"/>
    <w:rsid w:val="48561630"/>
    <w:rsid w:val="48697C53"/>
    <w:rsid w:val="48F76E74"/>
    <w:rsid w:val="49C05065"/>
    <w:rsid w:val="49DA528B"/>
    <w:rsid w:val="49ED681F"/>
    <w:rsid w:val="4A2F0579"/>
    <w:rsid w:val="4A565917"/>
    <w:rsid w:val="4A5D0A54"/>
    <w:rsid w:val="4AC73363"/>
    <w:rsid w:val="4B00798C"/>
    <w:rsid w:val="4B616322"/>
    <w:rsid w:val="4B9366F7"/>
    <w:rsid w:val="4BCD76D7"/>
    <w:rsid w:val="4C5E0AB3"/>
    <w:rsid w:val="4C8F6EBF"/>
    <w:rsid w:val="4CA010CC"/>
    <w:rsid w:val="4CA24568"/>
    <w:rsid w:val="4CA41CD0"/>
    <w:rsid w:val="4DA10B4E"/>
    <w:rsid w:val="4E056A63"/>
    <w:rsid w:val="4E167AE3"/>
    <w:rsid w:val="4F2157BD"/>
    <w:rsid w:val="4F3D5491"/>
    <w:rsid w:val="4F9F38BD"/>
    <w:rsid w:val="4FB76A38"/>
    <w:rsid w:val="4FD107E1"/>
    <w:rsid w:val="507623B4"/>
    <w:rsid w:val="50886B55"/>
    <w:rsid w:val="50BA42F9"/>
    <w:rsid w:val="50CA4969"/>
    <w:rsid w:val="51137FEC"/>
    <w:rsid w:val="512978E2"/>
    <w:rsid w:val="51870AAC"/>
    <w:rsid w:val="51963AAE"/>
    <w:rsid w:val="51A70ED5"/>
    <w:rsid w:val="51CA6063"/>
    <w:rsid w:val="521265C8"/>
    <w:rsid w:val="522E0650"/>
    <w:rsid w:val="526E9B21"/>
    <w:rsid w:val="52CB0DE9"/>
    <w:rsid w:val="533C6F52"/>
    <w:rsid w:val="53407165"/>
    <w:rsid w:val="53633101"/>
    <w:rsid w:val="536536CD"/>
    <w:rsid w:val="53735019"/>
    <w:rsid w:val="543E21F2"/>
    <w:rsid w:val="54562589"/>
    <w:rsid w:val="55546EF7"/>
    <w:rsid w:val="557B392D"/>
    <w:rsid w:val="55A471C6"/>
    <w:rsid w:val="55B22513"/>
    <w:rsid w:val="55BA31FE"/>
    <w:rsid w:val="55E831BF"/>
    <w:rsid w:val="565D1DDC"/>
    <w:rsid w:val="568F0D62"/>
    <w:rsid w:val="56AD294D"/>
    <w:rsid w:val="56CF0295"/>
    <w:rsid w:val="58367295"/>
    <w:rsid w:val="585958BB"/>
    <w:rsid w:val="585B1260"/>
    <w:rsid w:val="58636815"/>
    <w:rsid w:val="588F6FE2"/>
    <w:rsid w:val="589C4E3D"/>
    <w:rsid w:val="58FB72D6"/>
    <w:rsid w:val="594D6137"/>
    <w:rsid w:val="59B2243E"/>
    <w:rsid w:val="5A672DB9"/>
    <w:rsid w:val="5A696E0D"/>
    <w:rsid w:val="5AD52888"/>
    <w:rsid w:val="5AE26443"/>
    <w:rsid w:val="5AF76DBB"/>
    <w:rsid w:val="5B687259"/>
    <w:rsid w:val="5C133668"/>
    <w:rsid w:val="5C3E278A"/>
    <w:rsid w:val="5C54167E"/>
    <w:rsid w:val="5C5E72C1"/>
    <w:rsid w:val="5C7E649B"/>
    <w:rsid w:val="5C850315"/>
    <w:rsid w:val="5D094B82"/>
    <w:rsid w:val="5DE828D3"/>
    <w:rsid w:val="5DFCDC2D"/>
    <w:rsid w:val="5E6F48A3"/>
    <w:rsid w:val="5EEC4EE2"/>
    <w:rsid w:val="5F1527E7"/>
    <w:rsid w:val="5F296CFF"/>
    <w:rsid w:val="5F2E3272"/>
    <w:rsid w:val="5FB33155"/>
    <w:rsid w:val="5FF3C9A9"/>
    <w:rsid w:val="5FFB5059"/>
    <w:rsid w:val="60564383"/>
    <w:rsid w:val="607406B8"/>
    <w:rsid w:val="60A0180B"/>
    <w:rsid w:val="62105C89"/>
    <w:rsid w:val="62C351CA"/>
    <w:rsid w:val="62DF8043"/>
    <w:rsid w:val="632C78E2"/>
    <w:rsid w:val="63515E93"/>
    <w:rsid w:val="63B66FB1"/>
    <w:rsid w:val="63E871BA"/>
    <w:rsid w:val="63FCA438"/>
    <w:rsid w:val="646E3B0C"/>
    <w:rsid w:val="649317EA"/>
    <w:rsid w:val="64F8164D"/>
    <w:rsid w:val="65200BA4"/>
    <w:rsid w:val="66976D47"/>
    <w:rsid w:val="66D34987"/>
    <w:rsid w:val="66EB443B"/>
    <w:rsid w:val="6716225F"/>
    <w:rsid w:val="674D0433"/>
    <w:rsid w:val="674D05F7"/>
    <w:rsid w:val="67A26B47"/>
    <w:rsid w:val="67F36969"/>
    <w:rsid w:val="682E182A"/>
    <w:rsid w:val="68DC009B"/>
    <w:rsid w:val="68E153FE"/>
    <w:rsid w:val="69607960"/>
    <w:rsid w:val="69A52403"/>
    <w:rsid w:val="69BB0B66"/>
    <w:rsid w:val="69DD52B6"/>
    <w:rsid w:val="69E97114"/>
    <w:rsid w:val="6A1D769E"/>
    <w:rsid w:val="6A212E36"/>
    <w:rsid w:val="6A412964"/>
    <w:rsid w:val="6AB15A99"/>
    <w:rsid w:val="6AB63450"/>
    <w:rsid w:val="6ACA3E49"/>
    <w:rsid w:val="6AE64597"/>
    <w:rsid w:val="6B607F86"/>
    <w:rsid w:val="6B805304"/>
    <w:rsid w:val="6BB32434"/>
    <w:rsid w:val="6C9E6846"/>
    <w:rsid w:val="6CC62031"/>
    <w:rsid w:val="6CCA1142"/>
    <w:rsid w:val="6CD02EB0"/>
    <w:rsid w:val="6D1A412B"/>
    <w:rsid w:val="6D5F8C20"/>
    <w:rsid w:val="6D620ACE"/>
    <w:rsid w:val="6DD24183"/>
    <w:rsid w:val="6DF74884"/>
    <w:rsid w:val="6E03333B"/>
    <w:rsid w:val="6E3F013D"/>
    <w:rsid w:val="6E49630A"/>
    <w:rsid w:val="6E912A5B"/>
    <w:rsid w:val="6F0F45BC"/>
    <w:rsid w:val="6F7C63CD"/>
    <w:rsid w:val="6F8F0D86"/>
    <w:rsid w:val="6F9B664F"/>
    <w:rsid w:val="6FD42CB7"/>
    <w:rsid w:val="702A5F16"/>
    <w:rsid w:val="70357BF9"/>
    <w:rsid w:val="714F5CCD"/>
    <w:rsid w:val="719942C8"/>
    <w:rsid w:val="71BE2000"/>
    <w:rsid w:val="71D773DD"/>
    <w:rsid w:val="71FE7167"/>
    <w:rsid w:val="72356B09"/>
    <w:rsid w:val="72BD698F"/>
    <w:rsid w:val="72F338B1"/>
    <w:rsid w:val="73683C95"/>
    <w:rsid w:val="73EFE68D"/>
    <w:rsid w:val="73F27BAF"/>
    <w:rsid w:val="73F5D2C5"/>
    <w:rsid w:val="74561A4B"/>
    <w:rsid w:val="74681C20"/>
    <w:rsid w:val="749D747B"/>
    <w:rsid w:val="75823A2C"/>
    <w:rsid w:val="75CA0DE4"/>
    <w:rsid w:val="75F61BD9"/>
    <w:rsid w:val="760925E8"/>
    <w:rsid w:val="76812C5C"/>
    <w:rsid w:val="76FB1E6F"/>
    <w:rsid w:val="770056C4"/>
    <w:rsid w:val="77672662"/>
    <w:rsid w:val="778356EE"/>
    <w:rsid w:val="77F70C0A"/>
    <w:rsid w:val="793547C6"/>
    <w:rsid w:val="7984574E"/>
    <w:rsid w:val="79905EA0"/>
    <w:rsid w:val="799D05BD"/>
    <w:rsid w:val="799FF9CF"/>
    <w:rsid w:val="79CFA39A"/>
    <w:rsid w:val="79D02CBB"/>
    <w:rsid w:val="79D0629D"/>
    <w:rsid w:val="79E752EB"/>
    <w:rsid w:val="79F001F6"/>
    <w:rsid w:val="7A304F8E"/>
    <w:rsid w:val="7A547BED"/>
    <w:rsid w:val="7A9860EE"/>
    <w:rsid w:val="7A9E5E01"/>
    <w:rsid w:val="7AB41653"/>
    <w:rsid w:val="7B54DC93"/>
    <w:rsid w:val="7B66200D"/>
    <w:rsid w:val="7B6EFD2A"/>
    <w:rsid w:val="7B737828"/>
    <w:rsid w:val="7BA41FE8"/>
    <w:rsid w:val="7BA7305D"/>
    <w:rsid w:val="7BB86609"/>
    <w:rsid w:val="7C9B7036"/>
    <w:rsid w:val="7D4A280A"/>
    <w:rsid w:val="7D5D2B5C"/>
    <w:rsid w:val="7D7D9A66"/>
    <w:rsid w:val="7DED121F"/>
    <w:rsid w:val="7DFB778A"/>
    <w:rsid w:val="7DFCB07B"/>
    <w:rsid w:val="7DFF8E3C"/>
    <w:rsid w:val="7E0D3F64"/>
    <w:rsid w:val="7E621E65"/>
    <w:rsid w:val="7E7D04BA"/>
    <w:rsid w:val="7E8A5804"/>
    <w:rsid w:val="7EA45F4A"/>
    <w:rsid w:val="7EDE48C9"/>
    <w:rsid w:val="7F71365B"/>
    <w:rsid w:val="7F7FB05F"/>
    <w:rsid w:val="7FBB1475"/>
    <w:rsid w:val="7FBF8971"/>
    <w:rsid w:val="7FFA5BC0"/>
    <w:rsid w:val="7FFE59C2"/>
    <w:rsid w:val="7FFFAFD4"/>
    <w:rsid w:val="7FFFE03B"/>
    <w:rsid w:val="8F777ECF"/>
    <w:rsid w:val="8FE68FDD"/>
    <w:rsid w:val="8FF6F1F5"/>
    <w:rsid w:val="978E920E"/>
    <w:rsid w:val="9BFF9CA5"/>
    <w:rsid w:val="B7F753F6"/>
    <w:rsid w:val="BEC2C6DB"/>
    <w:rsid w:val="BF6F843D"/>
    <w:rsid w:val="BFF83A4E"/>
    <w:rsid w:val="CAD26ABE"/>
    <w:rsid w:val="D9FD17F1"/>
    <w:rsid w:val="DA5A3A8B"/>
    <w:rsid w:val="DBBF1FC9"/>
    <w:rsid w:val="DDBF051F"/>
    <w:rsid w:val="DFBF6AA5"/>
    <w:rsid w:val="E675FF38"/>
    <w:rsid w:val="E7FED57E"/>
    <w:rsid w:val="EDDD4C61"/>
    <w:rsid w:val="EE7FCF3B"/>
    <w:rsid w:val="EEFDE843"/>
    <w:rsid w:val="F4BFD3A3"/>
    <w:rsid w:val="F7D3583B"/>
    <w:rsid w:val="F7EAF568"/>
    <w:rsid w:val="FA4DDA57"/>
    <w:rsid w:val="FBFF9D6C"/>
    <w:rsid w:val="FC631D93"/>
    <w:rsid w:val="FEDFCBDE"/>
    <w:rsid w:val="FF3ED5FA"/>
    <w:rsid w:val="FF6F9CA8"/>
    <w:rsid w:val="FF7B3B24"/>
    <w:rsid w:val="FFBB5E9A"/>
    <w:rsid w:val="FFDD98F0"/>
    <w:rsid w:val="FFDF2F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qFormat="1" w:uiPriority="99" w:semiHidden="0" w:name="Body Text 2"/>
    <w:lsdException w:uiPriority="99" w:name="Body Text 3"/>
    <w:lsdException w:qFormat="1"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3"/>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34"/>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35"/>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36"/>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37"/>
    <w:semiHidden/>
    <w:unhideWhenUsed/>
    <w:qFormat/>
    <w:uiPriority w:val="9"/>
    <w:pPr>
      <w:keepNext/>
      <w:keepLines/>
      <w:spacing w:before="80" w:after="40"/>
      <w:outlineLvl w:val="4"/>
    </w:pPr>
    <w:rPr>
      <w:rFonts w:cstheme="majorBidi"/>
      <w:color w:val="104862" w:themeColor="accent1" w:themeShade="BF"/>
      <w:sz w:val="24"/>
      <w:szCs w:val="24"/>
    </w:rPr>
  </w:style>
  <w:style w:type="paragraph" w:styleId="7">
    <w:name w:val="heading 6"/>
    <w:basedOn w:val="1"/>
    <w:next w:val="1"/>
    <w:link w:val="38"/>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39"/>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40"/>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41"/>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next w:val="12"/>
    <w:qFormat/>
    <w:uiPriority w:val="0"/>
    <w:pPr>
      <w:ind w:firstLine="420" w:firstLineChars="200"/>
    </w:pPr>
    <w:rPr>
      <w:rFonts w:ascii="Calibri" w:hAnsi="Calibri" w:eastAsia="宋体" w:cs="Times New Roman"/>
    </w:rPr>
  </w:style>
  <w:style w:type="paragraph" w:styleId="12">
    <w:name w:val="Body Text"/>
    <w:basedOn w:val="1"/>
    <w:next w:val="13"/>
    <w:qFormat/>
    <w:uiPriority w:val="0"/>
    <w:rPr>
      <w:rFonts w:ascii="宋体" w:hAnsi="宋体" w:cs="宋体"/>
      <w:sz w:val="32"/>
      <w:szCs w:val="32"/>
    </w:rPr>
  </w:style>
  <w:style w:type="paragraph" w:styleId="13">
    <w:name w:val="Body Text 2"/>
    <w:basedOn w:val="1"/>
    <w:unhideWhenUsed/>
    <w:qFormat/>
    <w:uiPriority w:val="99"/>
    <w:pPr>
      <w:spacing w:after="120" w:line="480" w:lineRule="auto"/>
    </w:pPr>
  </w:style>
  <w:style w:type="paragraph" w:styleId="14">
    <w:name w:val="annotation text"/>
    <w:basedOn w:val="1"/>
    <w:link w:val="68"/>
    <w:semiHidden/>
    <w:unhideWhenUsed/>
    <w:qFormat/>
    <w:uiPriority w:val="99"/>
    <w:pPr>
      <w:jc w:val="left"/>
    </w:pPr>
  </w:style>
  <w:style w:type="paragraph" w:styleId="15">
    <w:name w:val="toc 3"/>
    <w:basedOn w:val="1"/>
    <w:next w:val="1"/>
    <w:unhideWhenUsed/>
    <w:qFormat/>
    <w:uiPriority w:val="39"/>
    <w:pPr>
      <w:ind w:left="840" w:leftChars="400"/>
    </w:pPr>
  </w:style>
  <w:style w:type="paragraph" w:styleId="16">
    <w:name w:val="Date"/>
    <w:basedOn w:val="1"/>
    <w:next w:val="1"/>
    <w:link w:val="56"/>
    <w:semiHidden/>
    <w:unhideWhenUsed/>
    <w:qFormat/>
    <w:uiPriority w:val="99"/>
    <w:pPr>
      <w:ind w:left="100" w:leftChars="2500"/>
    </w:pPr>
  </w:style>
  <w:style w:type="paragraph" w:styleId="17">
    <w:name w:val="Body Text Indent 2"/>
    <w:basedOn w:val="1"/>
    <w:link w:val="81"/>
    <w:semiHidden/>
    <w:unhideWhenUsed/>
    <w:qFormat/>
    <w:uiPriority w:val="99"/>
    <w:pPr>
      <w:spacing w:after="120" w:line="480" w:lineRule="auto"/>
      <w:ind w:left="420" w:leftChars="200"/>
    </w:pPr>
  </w:style>
  <w:style w:type="paragraph" w:styleId="18">
    <w:name w:val="footer"/>
    <w:basedOn w:val="1"/>
    <w:link w:val="53"/>
    <w:unhideWhenUsed/>
    <w:qFormat/>
    <w:uiPriority w:val="99"/>
    <w:pPr>
      <w:tabs>
        <w:tab w:val="center" w:pos="4153"/>
        <w:tab w:val="right" w:pos="8306"/>
      </w:tabs>
      <w:snapToGrid w:val="0"/>
      <w:jc w:val="left"/>
    </w:pPr>
    <w:rPr>
      <w:sz w:val="18"/>
      <w:szCs w:val="18"/>
    </w:rPr>
  </w:style>
  <w:style w:type="paragraph" w:styleId="19">
    <w:name w:val="header"/>
    <w:basedOn w:val="1"/>
    <w:link w:val="52"/>
    <w:unhideWhenUsed/>
    <w:qFormat/>
    <w:uiPriority w:val="99"/>
    <w:pPr>
      <w:tabs>
        <w:tab w:val="center" w:pos="4153"/>
        <w:tab w:val="right" w:pos="8306"/>
      </w:tabs>
      <w:snapToGrid w:val="0"/>
      <w:jc w:val="center"/>
    </w:pPr>
    <w:rPr>
      <w:sz w:val="18"/>
      <w:szCs w:val="18"/>
    </w:rPr>
  </w:style>
  <w:style w:type="paragraph" w:styleId="20">
    <w:name w:val="toc 1"/>
    <w:basedOn w:val="1"/>
    <w:next w:val="1"/>
    <w:unhideWhenUsed/>
    <w:qFormat/>
    <w:uiPriority w:val="39"/>
  </w:style>
  <w:style w:type="paragraph" w:styleId="21">
    <w:name w:val="Subtitle"/>
    <w:basedOn w:val="1"/>
    <w:next w:val="1"/>
    <w:link w:val="43"/>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2">
    <w:name w:val="footnote text"/>
    <w:basedOn w:val="1"/>
    <w:link w:val="54"/>
    <w:semiHidden/>
    <w:unhideWhenUsed/>
    <w:qFormat/>
    <w:uiPriority w:val="99"/>
    <w:pPr>
      <w:snapToGrid w:val="0"/>
      <w:jc w:val="left"/>
    </w:pPr>
    <w:rPr>
      <w:sz w:val="18"/>
      <w:szCs w:val="18"/>
    </w:rPr>
  </w:style>
  <w:style w:type="paragraph" w:styleId="23">
    <w:name w:val="toc 2"/>
    <w:basedOn w:val="1"/>
    <w:next w:val="1"/>
    <w:unhideWhenUsed/>
    <w:qFormat/>
    <w:uiPriority w:val="39"/>
    <w:pPr>
      <w:ind w:left="420" w:leftChars="200"/>
    </w:pPr>
  </w:style>
  <w:style w:type="paragraph" w:styleId="24">
    <w:name w:val="Normal (Web)"/>
    <w:basedOn w:val="1"/>
    <w:unhideWhenUsed/>
    <w:qFormat/>
    <w:uiPriority w:val="99"/>
    <w:pPr>
      <w:spacing w:beforeAutospacing="1" w:afterAutospacing="1"/>
      <w:jc w:val="left"/>
    </w:pPr>
    <w:rPr>
      <w:rFonts w:cs="Times New Roman"/>
      <w:kern w:val="0"/>
      <w:sz w:val="24"/>
    </w:rPr>
  </w:style>
  <w:style w:type="paragraph" w:styleId="25">
    <w:name w:val="Title"/>
    <w:basedOn w:val="1"/>
    <w:next w:val="1"/>
    <w:link w:val="42"/>
    <w:qFormat/>
    <w:uiPriority w:val="10"/>
    <w:pPr>
      <w:spacing w:after="80"/>
      <w:contextualSpacing/>
      <w:jc w:val="center"/>
    </w:pPr>
    <w:rPr>
      <w:rFonts w:asciiTheme="majorHAnsi" w:hAnsiTheme="majorHAnsi" w:eastAsiaTheme="majorEastAsia" w:cstheme="majorBidi"/>
      <w:spacing w:val="-10"/>
      <w:kern w:val="28"/>
      <w:sz w:val="56"/>
      <w:szCs w:val="56"/>
    </w:rPr>
  </w:style>
  <w:style w:type="paragraph" w:styleId="26">
    <w:name w:val="annotation subject"/>
    <w:basedOn w:val="14"/>
    <w:next w:val="14"/>
    <w:link w:val="69"/>
    <w:semiHidden/>
    <w:unhideWhenUsed/>
    <w:qFormat/>
    <w:uiPriority w:val="99"/>
    <w:rPr>
      <w:b/>
      <w:bCs/>
    </w:rPr>
  </w:style>
  <w:style w:type="table" w:styleId="28">
    <w:name w:val="Table Grid"/>
    <w:basedOn w:val="27"/>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Hyperlink"/>
    <w:basedOn w:val="29"/>
    <w:unhideWhenUsed/>
    <w:qFormat/>
    <w:uiPriority w:val="99"/>
    <w:rPr>
      <w:color w:val="467886" w:themeColor="hyperlink"/>
      <w:u w:val="single"/>
      <w14:textFill>
        <w14:solidFill>
          <w14:schemeClr w14:val="hlink"/>
        </w14:solidFill>
      </w14:textFill>
    </w:rPr>
  </w:style>
  <w:style w:type="character" w:styleId="31">
    <w:name w:val="annotation reference"/>
    <w:basedOn w:val="29"/>
    <w:semiHidden/>
    <w:unhideWhenUsed/>
    <w:qFormat/>
    <w:uiPriority w:val="99"/>
    <w:rPr>
      <w:sz w:val="21"/>
      <w:szCs w:val="21"/>
    </w:rPr>
  </w:style>
  <w:style w:type="character" w:styleId="32">
    <w:name w:val="footnote reference"/>
    <w:basedOn w:val="29"/>
    <w:semiHidden/>
    <w:unhideWhenUsed/>
    <w:qFormat/>
    <w:uiPriority w:val="99"/>
    <w:rPr>
      <w:vertAlign w:val="superscript"/>
    </w:rPr>
  </w:style>
  <w:style w:type="character" w:customStyle="1" w:styleId="33">
    <w:name w:val="标题 1 字符"/>
    <w:basedOn w:val="29"/>
    <w:link w:val="2"/>
    <w:qFormat/>
    <w:uiPriority w:val="9"/>
    <w:rPr>
      <w:rFonts w:asciiTheme="majorHAnsi" w:hAnsiTheme="majorHAnsi" w:eastAsiaTheme="majorEastAsia" w:cstheme="majorBidi"/>
      <w:color w:val="104862" w:themeColor="accent1" w:themeShade="BF"/>
      <w:sz w:val="48"/>
      <w:szCs w:val="48"/>
    </w:rPr>
  </w:style>
  <w:style w:type="character" w:customStyle="1" w:styleId="34">
    <w:name w:val="标题 2 字符"/>
    <w:basedOn w:val="29"/>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35">
    <w:name w:val="标题 3 字符"/>
    <w:basedOn w:val="29"/>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36">
    <w:name w:val="标题 4 字符"/>
    <w:basedOn w:val="29"/>
    <w:link w:val="5"/>
    <w:semiHidden/>
    <w:qFormat/>
    <w:uiPriority w:val="9"/>
    <w:rPr>
      <w:rFonts w:cstheme="majorBidi"/>
      <w:color w:val="104862" w:themeColor="accent1" w:themeShade="BF"/>
      <w:sz w:val="28"/>
      <w:szCs w:val="28"/>
    </w:rPr>
  </w:style>
  <w:style w:type="character" w:customStyle="1" w:styleId="37">
    <w:name w:val="标题 5 字符"/>
    <w:basedOn w:val="29"/>
    <w:link w:val="6"/>
    <w:semiHidden/>
    <w:qFormat/>
    <w:uiPriority w:val="9"/>
    <w:rPr>
      <w:rFonts w:cstheme="majorBidi"/>
      <w:color w:val="104862" w:themeColor="accent1" w:themeShade="BF"/>
      <w:sz w:val="24"/>
      <w:szCs w:val="24"/>
    </w:rPr>
  </w:style>
  <w:style w:type="character" w:customStyle="1" w:styleId="38">
    <w:name w:val="标题 6 字符"/>
    <w:basedOn w:val="29"/>
    <w:link w:val="7"/>
    <w:semiHidden/>
    <w:qFormat/>
    <w:uiPriority w:val="9"/>
    <w:rPr>
      <w:rFonts w:cstheme="majorBidi"/>
      <w:b/>
      <w:bCs/>
      <w:color w:val="104862" w:themeColor="accent1" w:themeShade="BF"/>
    </w:rPr>
  </w:style>
  <w:style w:type="character" w:customStyle="1" w:styleId="39">
    <w:name w:val="标题 7 字符"/>
    <w:basedOn w:val="29"/>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40">
    <w:name w:val="标题 8 字符"/>
    <w:basedOn w:val="29"/>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41">
    <w:name w:val="标题 9 字符"/>
    <w:basedOn w:val="29"/>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42">
    <w:name w:val="标题 字符"/>
    <w:basedOn w:val="29"/>
    <w:link w:val="25"/>
    <w:qFormat/>
    <w:uiPriority w:val="10"/>
    <w:rPr>
      <w:rFonts w:asciiTheme="majorHAnsi" w:hAnsiTheme="majorHAnsi" w:eastAsiaTheme="majorEastAsia" w:cstheme="majorBidi"/>
      <w:spacing w:val="-10"/>
      <w:kern w:val="28"/>
      <w:sz w:val="56"/>
      <w:szCs w:val="56"/>
    </w:rPr>
  </w:style>
  <w:style w:type="character" w:customStyle="1" w:styleId="43">
    <w:name w:val="副标题 字符"/>
    <w:basedOn w:val="29"/>
    <w:link w:val="21"/>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44">
    <w:name w:val="Quote"/>
    <w:basedOn w:val="1"/>
    <w:next w:val="1"/>
    <w:link w:val="45"/>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45">
    <w:name w:val="引用 字符"/>
    <w:basedOn w:val="29"/>
    <w:link w:val="44"/>
    <w:qFormat/>
    <w:uiPriority w:val="29"/>
    <w:rPr>
      <w:i/>
      <w:iCs/>
      <w:color w:val="404040" w:themeColor="text1" w:themeTint="BF"/>
      <w14:textFill>
        <w14:solidFill>
          <w14:schemeClr w14:val="tx1">
            <w14:lumMod w14:val="75000"/>
            <w14:lumOff w14:val="25000"/>
          </w14:schemeClr>
        </w14:solidFill>
      </w14:textFill>
    </w:rPr>
  </w:style>
  <w:style w:type="paragraph" w:styleId="46">
    <w:name w:val="List Paragraph"/>
    <w:basedOn w:val="1"/>
    <w:qFormat/>
    <w:uiPriority w:val="34"/>
    <w:pPr>
      <w:ind w:left="720"/>
      <w:contextualSpacing/>
    </w:pPr>
  </w:style>
  <w:style w:type="character" w:customStyle="1" w:styleId="47">
    <w:name w:val="明显强调1"/>
    <w:basedOn w:val="29"/>
    <w:qFormat/>
    <w:uiPriority w:val="21"/>
    <w:rPr>
      <w:i/>
      <w:iCs/>
      <w:color w:val="104862" w:themeColor="accent1" w:themeShade="BF"/>
    </w:rPr>
  </w:style>
  <w:style w:type="paragraph" w:styleId="48">
    <w:name w:val="Intense Quote"/>
    <w:basedOn w:val="1"/>
    <w:next w:val="1"/>
    <w:link w:val="49"/>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49">
    <w:name w:val="明显引用 字符"/>
    <w:basedOn w:val="29"/>
    <w:link w:val="48"/>
    <w:qFormat/>
    <w:uiPriority w:val="30"/>
    <w:rPr>
      <w:i/>
      <w:iCs/>
      <w:color w:val="104862" w:themeColor="accent1" w:themeShade="BF"/>
    </w:rPr>
  </w:style>
  <w:style w:type="character" w:customStyle="1" w:styleId="50">
    <w:name w:val="明显参考1"/>
    <w:basedOn w:val="29"/>
    <w:qFormat/>
    <w:uiPriority w:val="32"/>
    <w:rPr>
      <w:b/>
      <w:bCs/>
      <w:smallCaps/>
      <w:color w:val="104862" w:themeColor="accent1" w:themeShade="BF"/>
      <w:spacing w:val="5"/>
    </w:rPr>
  </w:style>
  <w:style w:type="paragraph" w:customStyle="1" w:styleId="51">
    <w:name w:val="表格文字"/>
    <w:basedOn w:val="1"/>
    <w:qFormat/>
    <w:uiPriority w:val="0"/>
    <w:pPr>
      <w:jc w:val="center"/>
    </w:pPr>
    <w:rPr>
      <w:rFonts w:ascii="Times New Roman" w:hAnsi="Times New Roman" w:eastAsia="仿宋_GB2312" w:cs="宋体"/>
      <w:sz w:val="18"/>
    </w:rPr>
  </w:style>
  <w:style w:type="character" w:customStyle="1" w:styleId="52">
    <w:name w:val="页眉 字符"/>
    <w:basedOn w:val="29"/>
    <w:link w:val="19"/>
    <w:qFormat/>
    <w:uiPriority w:val="99"/>
    <w:rPr>
      <w:sz w:val="18"/>
      <w:szCs w:val="18"/>
    </w:rPr>
  </w:style>
  <w:style w:type="character" w:customStyle="1" w:styleId="53">
    <w:name w:val="页脚 字符"/>
    <w:basedOn w:val="29"/>
    <w:link w:val="18"/>
    <w:qFormat/>
    <w:uiPriority w:val="99"/>
    <w:rPr>
      <w:sz w:val="18"/>
      <w:szCs w:val="18"/>
    </w:rPr>
  </w:style>
  <w:style w:type="character" w:customStyle="1" w:styleId="54">
    <w:name w:val="脚注文本 字符"/>
    <w:basedOn w:val="29"/>
    <w:link w:val="22"/>
    <w:semiHidden/>
    <w:qFormat/>
    <w:uiPriority w:val="99"/>
    <w:rPr>
      <w:rFonts w:asciiTheme="minorHAnsi" w:hAnsiTheme="minorHAnsi" w:eastAsiaTheme="minorEastAsia" w:cstheme="minorBidi"/>
      <w:kern w:val="2"/>
      <w:sz w:val="18"/>
      <w:szCs w:val="18"/>
    </w:rPr>
  </w:style>
  <w:style w:type="paragraph" w:customStyle="1" w:styleId="55">
    <w:name w:val="TOC 标题1"/>
    <w:basedOn w:val="2"/>
    <w:next w:val="1"/>
    <w:unhideWhenUsed/>
    <w:qFormat/>
    <w:uiPriority w:val="39"/>
    <w:pPr>
      <w:widowControl/>
      <w:spacing w:before="240" w:after="0" w:line="259" w:lineRule="auto"/>
      <w:jc w:val="left"/>
      <w:outlineLvl w:val="9"/>
    </w:pPr>
    <w:rPr>
      <w:kern w:val="0"/>
      <w:sz w:val="32"/>
      <w:szCs w:val="32"/>
    </w:rPr>
  </w:style>
  <w:style w:type="character" w:customStyle="1" w:styleId="56">
    <w:name w:val="日期 字符"/>
    <w:basedOn w:val="29"/>
    <w:link w:val="16"/>
    <w:semiHidden/>
    <w:qFormat/>
    <w:uiPriority w:val="99"/>
    <w:rPr>
      <w:rFonts w:asciiTheme="minorHAnsi" w:hAnsiTheme="minorHAnsi" w:eastAsiaTheme="minorEastAsia" w:cstheme="minorBidi"/>
      <w:kern w:val="2"/>
      <w:sz w:val="21"/>
      <w:szCs w:val="22"/>
    </w:rPr>
  </w:style>
  <w:style w:type="paragraph" w:customStyle="1" w:styleId="57">
    <w:name w:val="修订1"/>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58">
    <w:name w:val="修订2"/>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59">
    <w:name w:val="修订3"/>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60">
    <w:name w:val="修订4"/>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61">
    <w:name w:val="修订5"/>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62">
    <w:name w:val="修订6"/>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63">
    <w:name w:val="修订7"/>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64">
    <w:name w:val="修订8"/>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65">
    <w:name w:val="修订9"/>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66">
    <w:name w:val="修订10"/>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67">
    <w:name w:val="修订11"/>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68">
    <w:name w:val="批注文字 字符"/>
    <w:basedOn w:val="29"/>
    <w:link w:val="14"/>
    <w:semiHidden/>
    <w:qFormat/>
    <w:uiPriority w:val="99"/>
    <w:rPr>
      <w:rFonts w:asciiTheme="minorHAnsi" w:hAnsiTheme="minorHAnsi" w:eastAsiaTheme="minorEastAsia" w:cstheme="minorBidi"/>
      <w:kern w:val="2"/>
      <w:sz w:val="21"/>
      <w:szCs w:val="22"/>
    </w:rPr>
  </w:style>
  <w:style w:type="character" w:customStyle="1" w:styleId="69">
    <w:name w:val="批注主题 字符"/>
    <w:basedOn w:val="68"/>
    <w:link w:val="26"/>
    <w:semiHidden/>
    <w:qFormat/>
    <w:uiPriority w:val="99"/>
    <w:rPr>
      <w:rFonts w:asciiTheme="minorHAnsi" w:hAnsiTheme="minorHAnsi" w:eastAsiaTheme="minorEastAsia" w:cstheme="minorBidi"/>
      <w:b/>
      <w:bCs/>
      <w:kern w:val="2"/>
      <w:sz w:val="21"/>
      <w:szCs w:val="22"/>
    </w:rPr>
  </w:style>
  <w:style w:type="paragraph" w:customStyle="1" w:styleId="70">
    <w:name w:val="修订12"/>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71">
    <w:name w:val="PlainText"/>
    <w:basedOn w:val="1"/>
    <w:qFormat/>
    <w:uiPriority w:val="0"/>
    <w:pPr>
      <w:widowControl/>
      <w:jc w:val="left"/>
      <w:textAlignment w:val="baseline"/>
    </w:pPr>
    <w:rPr>
      <w:rFonts w:ascii="宋体" w:hAnsi="Courier New" w:cs="宋体"/>
    </w:rPr>
  </w:style>
  <w:style w:type="paragraph" w:customStyle="1" w:styleId="72">
    <w:name w:val="标"/>
    <w:basedOn w:val="1"/>
    <w:qFormat/>
    <w:uiPriority w:val="0"/>
    <w:pPr>
      <w:widowControl/>
      <w:jc w:val="center"/>
      <w:textAlignment w:val="bottom"/>
    </w:pPr>
    <w:rPr>
      <w:color w:val="000000"/>
      <w:kern w:val="0"/>
      <w:sz w:val="24"/>
      <w:szCs w:val="20"/>
    </w:rPr>
  </w:style>
  <w:style w:type="paragraph" w:customStyle="1" w:styleId="73">
    <w:name w:val="来源"/>
    <w:basedOn w:val="1"/>
    <w:qFormat/>
    <w:uiPriority w:val="0"/>
    <w:pPr>
      <w:widowControl/>
      <w:jc w:val="right"/>
    </w:pPr>
    <w:rPr>
      <w:rFonts w:hint="eastAsia" w:cs="仿宋_GB2312"/>
      <w:sz w:val="24"/>
      <w:szCs w:val="32"/>
    </w:rPr>
  </w:style>
  <w:style w:type="paragraph" w:customStyle="1" w:styleId="74">
    <w:name w:val="修订13"/>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75">
    <w:name w:val="修订14"/>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76">
    <w:name w:val="未处理的提及1"/>
    <w:basedOn w:val="29"/>
    <w:semiHidden/>
    <w:unhideWhenUsed/>
    <w:qFormat/>
    <w:uiPriority w:val="99"/>
    <w:rPr>
      <w:color w:val="605E5C"/>
      <w:shd w:val="clear" w:color="auto" w:fill="E1DFDD"/>
    </w:rPr>
  </w:style>
  <w:style w:type="paragraph" w:customStyle="1" w:styleId="77">
    <w:name w:val="表格下方注释"/>
    <w:basedOn w:val="78"/>
    <w:qFormat/>
    <w:uiPriority w:val="0"/>
    <w:pPr>
      <w:ind w:firstLine="0" w:firstLineChars="0"/>
    </w:pPr>
  </w:style>
  <w:style w:type="paragraph" w:customStyle="1" w:styleId="78">
    <w:name w:val="数据来源"/>
    <w:basedOn w:val="22"/>
    <w:qFormat/>
    <w:uiPriority w:val="0"/>
    <w:pPr>
      <w:ind w:firstLine="480" w:firstLineChars="200"/>
    </w:pPr>
    <w:rPr>
      <w:lang w:eastAsia="zh"/>
    </w:rPr>
  </w:style>
  <w:style w:type="paragraph" w:customStyle="1" w:styleId="79">
    <w:name w:val="图表名"/>
    <w:qFormat/>
    <w:uiPriority w:val="0"/>
    <w:pPr>
      <w:widowControl w:val="0"/>
      <w:spacing w:after="160" w:line="278" w:lineRule="auto"/>
      <w:jc w:val="center"/>
    </w:pPr>
    <w:rPr>
      <w:rFonts w:ascii="Times New Roman" w:hAnsi="Times New Roman" w:eastAsia="黑体" w:cs="黑体"/>
      <w:kern w:val="2"/>
      <w:sz w:val="24"/>
      <w:szCs w:val="36"/>
      <w:lang w:val="en-US" w:eastAsia="zh-CN" w:bidi="ar-SA"/>
    </w:rPr>
  </w:style>
  <w:style w:type="paragraph" w:customStyle="1" w:styleId="80">
    <w:name w:val="修订15"/>
    <w:hidden/>
    <w:unhideWhenUsed/>
    <w:qFormat/>
    <w:uiPriority w:val="99"/>
    <w:rPr>
      <w:rFonts w:asciiTheme="minorHAnsi" w:hAnsiTheme="minorHAnsi" w:eastAsiaTheme="minorEastAsia" w:cstheme="minorBidi"/>
      <w:kern w:val="2"/>
      <w:sz w:val="21"/>
      <w:szCs w:val="22"/>
      <w:lang w:val="en-US" w:eastAsia="zh-CN" w:bidi="ar-SA"/>
    </w:rPr>
  </w:style>
  <w:style w:type="character" w:customStyle="1" w:styleId="81">
    <w:name w:val="正文文本缩进 2 字符"/>
    <w:basedOn w:val="29"/>
    <w:link w:val="17"/>
    <w:qFormat/>
    <w:uiPriority w:val="0"/>
    <w:rPr>
      <w:rFonts w:hint="default" w:ascii="Calibri" w:hAnsi="Calibri" w:eastAsia="宋体" w:cs="Times New Roman"/>
      <w:kern w:val="2"/>
      <w:sz w:val="21"/>
      <w:szCs w:val="22"/>
    </w:rPr>
  </w:style>
  <w:style w:type="paragraph" w:customStyle="1" w:styleId="82">
    <w:name w:val="修订16"/>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83">
    <w:name w:val="修订17"/>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84">
    <w:name w:val="Revision"/>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03f1363a-bafb-4dad-a938-7dcecc2c71b5</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2B72EFB4</paraID>
      <start>4</start>
      <end>5</end>
      <status>ignored</status>
      <modifiedWord/>
      <trackRevisions>false</trackRevisions>
    </reviewItem>
    <reviewItem>
      <errorID>71b2bee4-cb61-4702-bb24-b16d54cc32ec</errorID>
      <errorWord>、</errorWord>
      <group>L1_Grammar</group>
      <groupName>语法问题</groupName>
      <ability>L2_Order</ability>
      <abilityName>语序不当</abilityName>
      <candidateList>
        <item>市场风险、</item>
      </candidateList>
      <explain>句子可能没有遵循时空、逻辑顺序，或者介词、关联词等位置不当。</explain>
      <paraID> 7D339F9</paraID>
      <start>55</start>
      <end>61</end>
      <status>modified</status>
      <modifiedWord>市场风险、</modifiedWord>
      <trackRevisions>true</trackRevisions>
    </reviewItem>
    <reviewItem>
      <errorID>5d5fcbba-9e15-4f12-acd1-3c706fa17bf2</errorID>
      <errorWord>年</errorWord>
      <group>L1_Word</group>
      <groupName>字词问题</groupName>
      <ability>L2_Typo</ability>
      <abilityName>字词错误</abilityName>
      <candidateList>
        <item>年以</item>
      </candidateList>
      <explain/>
      <paraID> 7D339F9</paraID>
      <start>263</start>
      <end>266</end>
      <status>modified</status>
      <modifiedWord>年以</modifiedWord>
      <trackRevisions>true</trackRevisions>
    </reviewItem>
    <reviewItem>
      <errorID>466d43d9-cdb2-45fa-bb08-7637f7720c98</errorID>
      <errorWord>截止</errorWord>
      <group>L1_Word</group>
      <groupName>字词问题</groupName>
      <ability>L2_Typo</ability>
      <abilityName>字词错误</abilityName>
      <candidateList>
        <item>截至</item>
      </candidateList>
      <explain>存在发音相同字词的误用。</explain>
      <paraID> 7D339F9</paraID>
      <start>314</start>
      <end>318</end>
      <status>modified</status>
      <modifiedWord>截至</modifiedWord>
      <trackRevisions>true</trackRevisions>
    </reviewItem>
    <reviewItem>
      <errorID>a2623c1d-d121-47d7-9daa-ff4764d2bdae</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364BD527</paraID>
      <start>104</start>
      <end>105</end>
      <status>ignored</status>
      <modifiedWord/>
      <trackRevisions>false</trackRevisions>
    </reviewItem>
    <reviewItem>
      <errorID>d1e672b6-7c63-4209-9f3a-2daab773676c</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6AFEAD17</paraID>
      <start>66</start>
      <end>67</end>
      <status>ignored</status>
      <modifiedWord/>
      <trackRevisions>false</trackRevisions>
    </reviewItem>
    <reviewItem>
      <errorID>51d06ebb-549f-4d71-9f1a-4ff456dd60c3</errorID>
      <errorWord>导</errorWord>
      <group>L1_Word</group>
      <groupName>字词问题</groupName>
      <ability>L2_Typo</ability>
      <abilityName>字词错误</abilityName>
      <candidateList>
        <item>导和</item>
      </candidateList>
      <explain/>
      <paraID>2FAB913D</paraID>
      <start>148</start>
      <end>151</end>
      <status>modified</status>
      <modifiedWord>导和</modifiedWord>
      <trackRevisions>true</trackRevisions>
    </reviewItem>
    <reviewItem>
      <errorID>5fd0a1ff-a17d-4102-b287-f61a778b01c6</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4F81AED2</paraID>
      <start>53</start>
      <end>54</end>
      <status>ignored</status>
      <modifiedWord/>
      <trackRevisions>false</trackRevisions>
    </reviewItem>
    <reviewItem>
      <errorID>b7d98134-3d22-4892-b210-124ac452cbbd</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4F81AED2</paraID>
      <start>120</start>
      <end>121</end>
      <status>ignored</status>
      <modifiedWord/>
      <trackRevisions>false</trackRevisions>
    </reviewItem>
    <reviewItem>
      <errorID>a9957835-06d4-42b7-8c39-f41377c6032c</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16C0A053</paraID>
      <start>75</start>
      <end>76</end>
      <status>ignored</status>
      <modifiedWord/>
      <trackRevisions>false</trackRevisions>
    </reviewItem>
    <reviewItem>
      <errorID>24d64913-9b09-41f4-be6b-3a85b37ffd08</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16C0A053</paraID>
      <start>125</start>
      <end>126</end>
      <status>ignored</status>
      <modifiedWord/>
      <trackRevisions>false</trackRevisions>
    </reviewItem>
    <reviewItem>
      <errorID>97d596aa-a6af-4fcd-a4e4-58ef3ac23c20</errorID>
      <errorWord>，，</errorWord>
      <group>L1_Punc</group>
      <groupName>标点问题</groupName>
      <ability>L2_Punc_CN</ability>
      <abilityName/>
      <candidateList>
        <item>，</item>
      </candidateList>
      <explain/>
      <paraID>5DB66CF3</paraID>
      <start>206</start>
      <end>209</end>
      <status>modified</status>
      <modifiedWord>，</modifiedWord>
      <trackRevisions>true</trackRevisions>
    </reviewItem>
    <reviewItem>
      <errorID>f1472b79-8b04-4802-a7b2-e35b638634f1</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5C3D20D9</paraID>
      <start>121</start>
      <end>122</end>
      <status>ignored</status>
      <modifiedWord/>
      <trackRevisions>false</trackRevisions>
    </reviewItem>
    <reviewItem>
      <errorID>bdbc07ef-1662-47cb-8129-f1d6996d27cb</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5C3D20D9</paraID>
      <start>169</start>
      <end>170</end>
      <status>ignored</status>
      <modifiedWord/>
      <trackRevisions>false</trackRevisions>
    </reviewItem>
    <reviewItem>
      <errorID>8b1fd549-65dc-4480-b255-0adb52d880e1</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1F00F042</paraID>
      <start>185</start>
      <end>186</end>
      <status>ignored</status>
      <modifiedWord/>
      <trackRevisions>false</trackRevisions>
    </reviewItem>
    <reviewItem>
      <errorID>756937a2-1403-4920-a255-779876d794e2</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697AD2D7</paraID>
      <start>128</start>
      <end>129</end>
      <status>ignored</status>
      <modifiedWord/>
      <trackRevisions>false</trackRevisions>
    </reviewItem>
    <reviewItem>
      <errorID>5e85edf9-b688-49db-9995-1944f1cb94b7</errorID>
      <errorWord>集</errorWord>
      <group>L1_Word</group>
      <groupName>字词问题</groupName>
      <ability>L2_Typo</ability>
      <abilityName>字词错误</abilityName>
      <candidateList>
        <item>集和</item>
      </candidateList>
      <explain/>
      <paraID>32645228</paraID>
      <start>179</start>
      <end>180</end>
      <status>ignored</status>
      <modifiedWord/>
      <trackRevisions>false</trackRevisions>
    </reviewItem>
    <reviewItem>
      <errorID>6fc3d346-18a4-453d-8202-16d2a0e297c2</errorID>
      <errorWord>门</errorWord>
      <group>L1_Word</group>
      <groupName>字词问题</groupName>
      <ability>L2_Typo</ability>
      <abilityName>字词错误</abilityName>
      <candidateList>
        <item>门要</item>
      </candidateList>
      <explain/>
      <paraID>6B642A52</paraID>
      <start>4</start>
      <end>7</end>
      <status>modified</status>
      <modifiedWord>门要</modifiedWord>
      <trackRevisions>true</trackRevisions>
    </reviewItem>
    <reviewItem>
      <errorID>e9345529-53b9-4b38-b56d-a1f631da48c9</errorID>
      <errorWord>。。</errorWord>
      <group>L1_Punc</group>
      <groupName>标点问题</groupName>
      <ability>L2_Punc_CN</ability>
      <abilityName/>
      <candidateList>
        <item>。</item>
      </candidateList>
      <explain/>
      <paraID>48FC2E6A</paraID>
      <start>120</start>
      <end>123</end>
      <status>modified</status>
      <modifiedWord>。</modifiedWord>
      <trackRevisions>true</trackRevisions>
    </reviewItem>
    <reviewItem>
      <errorID>a094a0a4-0564-4138-957c-1f682ee8ab02</errorID>
      <errorWord>系统性</errorWord>
      <group>L1_Word</group>
      <groupName>字词问题</groupName>
      <ability>L2_Typo</ability>
      <abilityName>字词错误</abilityName>
      <candidateList>
        <item>系统</item>
      </candidateList>
      <explain>❶〈名〉同类事物按一定的关系组成的整体：～化｜组织～｜灌溉～。❷〈形〉有条理的；有系统的：～学习｜～研究｜资料不够。</explain>
      <paraID>22978FEA</paraID>
      <start>195</start>
      <end>200</end>
      <status>modified</status>
      <modifiedWord>系统</modifiedWord>
      <trackRevisions>true</trackRevisions>
    </reviewItem>
    <reviewItem>
      <errorID>60550bd8-f1cc-4104-b0fa-833cb1b86643</errorID>
      <errorWord>规划规划</errorWord>
      <group>L1_Word</group>
      <groupName>字词问题</groupName>
      <ability>L2_Typo</ability>
      <abilityName>字词错误</abilityName>
      <candidateList>
        <item>规划</item>
      </candidateList>
      <explain>❶〈名〉比较全面的长远的发展计划：制订～｜十年～。❷〈动〉做规划：兴修水利问题，应当全面～。</explain>
      <paraID>1E8EEC20</paraID>
      <start>48</start>
      <end>54</end>
      <status>modified</status>
      <modifiedWord>规划</modifiedWord>
      <trackRevisions>true</trackRevisions>
    </reviewItem>
  </reviewItems>
  <config/>
</contractReview>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D9AD4E3-43B9-4A59-8117-3CAA11B9413C}">
  <ds:schemaRefs/>
</ds:datastoreItem>
</file>

<file path=customXml/itemProps3.xml><?xml version="1.0" encoding="utf-8"?>
<ds:datastoreItem xmlns:ds="http://schemas.openxmlformats.org/officeDocument/2006/customXml" ds:itemID="{8E117BF5-81F9-4955-AC53-F06C26915431}">
  <ds:schemaRefs/>
</ds:datastoreItem>
</file>

<file path=docProps/app.xml><?xml version="1.0" encoding="utf-8"?>
<Properties xmlns="http://schemas.openxmlformats.org/officeDocument/2006/extended-properties" xmlns:vt="http://schemas.openxmlformats.org/officeDocument/2006/docPropsVTypes">
  <Template>Normal</Template>
  <Pages>25</Pages>
  <Words>7626</Words>
  <Characters>8104</Characters>
  <Lines>569</Lines>
  <Paragraphs>461</Paragraphs>
  <TotalTime>0</TotalTime>
  <ScaleCrop>false</ScaleCrop>
  <LinksUpToDate>false</LinksUpToDate>
  <CharactersWithSpaces>8371</CharactersWithSpaces>
  <Application>WPS Office_12.1.0.26936_F1E327BC-269C-435d-A152-05C5408002CA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2025-10-11T03:47:00Z</dcterms:created>
  <dc:creator>admin</dc:creator>
  <cp:lastModifiedBy>！！！</cp:lastModifiedBy>
  <cp:lastPrinted>2025-09-04T07:23:00Z</cp:lastPrinted>
  <dcterms:modified xsi:type="dcterms:W3CDTF">2026-07-29T08:21:52Z</dcterms:modified>
  <cp:revision>63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eyJoZGlkIjoiYThlNmQ0M2I3NDk3ZmY3MjVkYjAwYmYyZWY5YzE1OGYiLCJ1c2VySWQiOiI3NjEzMjMxNjYifQ==</vt:lpwstr>
  </property>
  <property fmtid="{D5CDD505-2E9C-101B-9397-08002B2CF9AE}" pid="3" name="KSOProductBuildVer">
    <vt:lpwstr>2052-12.1.0.26936</vt:lpwstr>
  </property>
  <property fmtid="{D5CDD505-2E9C-101B-9397-08002B2CF9AE}" pid="4" name="ICV">
    <vt:lpwstr>87DE1FC4E5284518B8B534E8C4C733FC_13</vt:lpwstr>
  </property>
</Properties>
</file>