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491F1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小标宋简体" w:cs="Times New Roman"/>
          <w:color w:val="auto"/>
          <w:szCs w:val="44"/>
          <w:highlight w:val="none"/>
          <w:lang w:eastAsia="zh-CN"/>
        </w:rPr>
      </w:pPr>
    </w:p>
    <w:p w14:paraId="61D0D697">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0"/>
        <w:rPr>
          <w:rFonts w:hint="default" w:ascii="Times New Roman" w:hAnsi="Times New Roman" w:eastAsia="方正小标宋简体" w:cs="Times New Roman"/>
          <w:color w:val="auto"/>
          <w:sz w:val="44"/>
          <w:szCs w:val="44"/>
          <w:highlight w:val="none"/>
        </w:rPr>
      </w:pPr>
      <w:bookmarkStart w:id="0" w:name="_Toc29848"/>
      <w:r>
        <w:rPr>
          <w:rFonts w:hint="eastAsia" w:ascii="Times New Roman" w:hAnsi="Times New Roman" w:eastAsia="方正小标宋简体" w:cs="Times New Roman"/>
          <w:color w:val="auto"/>
          <w:sz w:val="44"/>
          <w:szCs w:val="44"/>
          <w:highlight w:val="none"/>
          <w:lang w:eastAsia="zh-CN"/>
        </w:rPr>
        <w:t>揭阳市</w:t>
      </w:r>
      <w:r>
        <w:rPr>
          <w:rFonts w:hint="default" w:ascii="Times New Roman" w:hAnsi="Times New Roman" w:eastAsia="方正小标宋简体" w:cs="Times New Roman"/>
          <w:color w:val="auto"/>
          <w:sz w:val="44"/>
          <w:szCs w:val="44"/>
          <w:highlight w:val="none"/>
        </w:rPr>
        <w:t>市场监管高质量发展“十五五”规划</w:t>
      </w:r>
      <w:bookmarkEnd w:id="0"/>
    </w:p>
    <w:p w14:paraId="3B96868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楷体_GB2312" w:cs="方正小标宋简体"/>
          <w:b w:val="0"/>
          <w:bCs w:val="0"/>
          <w:snapToGrid w:val="0"/>
          <w:color w:val="auto"/>
          <w:kern w:val="0"/>
          <w:sz w:val="32"/>
          <w:szCs w:val="32"/>
          <w:lang w:val="en-US" w:eastAsia="zh-CN"/>
        </w:rPr>
      </w:pPr>
      <w:r>
        <w:rPr>
          <w:rFonts w:hint="eastAsia" w:ascii="方正小标宋简体" w:hAnsi="方正小标宋简体" w:eastAsia="楷体_GB2312" w:cs="方正小标宋简体"/>
          <w:b w:val="0"/>
          <w:bCs w:val="0"/>
          <w:snapToGrid w:val="0"/>
          <w:color w:val="auto"/>
          <w:kern w:val="0"/>
          <w:sz w:val="32"/>
          <w:szCs w:val="32"/>
          <w:lang w:val="en-US" w:eastAsia="zh-CN"/>
        </w:rPr>
        <w:t>（再次公开</w:t>
      </w:r>
      <w:bookmarkStart w:id="35" w:name="_GoBack"/>
      <w:bookmarkEnd w:id="35"/>
      <w:r>
        <w:rPr>
          <w:rFonts w:hint="eastAsia" w:ascii="方正小标宋简体" w:hAnsi="方正小标宋简体" w:eastAsia="楷体_GB2312" w:cs="方正小标宋简体"/>
          <w:b w:val="0"/>
          <w:bCs w:val="0"/>
          <w:snapToGrid w:val="0"/>
          <w:color w:val="auto"/>
          <w:kern w:val="0"/>
          <w:sz w:val="32"/>
          <w:szCs w:val="32"/>
          <w:lang w:val="en-US" w:eastAsia="zh-CN"/>
        </w:rPr>
        <w:t>征求意见稿）</w:t>
      </w:r>
    </w:p>
    <w:p w14:paraId="50A3247B">
      <w:pPr>
        <w:keepNext w:val="0"/>
        <w:keepLines w:val="0"/>
        <w:pageBreakBefore w:val="0"/>
        <w:widowControl w:val="0"/>
        <w:kinsoku/>
        <w:wordWrap/>
        <w:overflowPunct w:val="0"/>
        <w:topLinePunct/>
        <w:autoSpaceDE/>
        <w:autoSpaceDN/>
        <w:bidi w:val="0"/>
        <w:adjustRightInd w:val="0"/>
        <w:snapToGrid w:val="0"/>
        <w:spacing w:line="580" w:lineRule="exact"/>
        <w:jc w:val="both"/>
        <w:textAlignment w:val="top"/>
        <w:rPr>
          <w:rFonts w:hint="eastAsia" w:ascii="黑体" w:hAnsi="黑体" w:eastAsia="黑体" w:cs="黑体"/>
          <w:b w:val="0"/>
          <w:bCs w:val="0"/>
          <w:sz w:val="32"/>
          <w:lang w:eastAsia="zh"/>
        </w:rPr>
      </w:pPr>
    </w:p>
    <w:p w14:paraId="37438039">
      <w:pPr>
        <w:keepNext w:val="0"/>
        <w:keepLines w:val="0"/>
        <w:pageBreakBefore w:val="0"/>
        <w:widowControl w:val="0"/>
        <w:numPr>
          <w:ilvl w:val="0"/>
          <w:numId w:val="1"/>
        </w:numPr>
        <w:kinsoku/>
        <w:wordWrap/>
        <w:overflowPunct w:val="0"/>
        <w:topLinePunct/>
        <w:autoSpaceDE/>
        <w:autoSpaceDN/>
        <w:bidi w:val="0"/>
        <w:adjustRightInd w:val="0"/>
        <w:snapToGrid w:val="0"/>
        <w:spacing w:line="580" w:lineRule="exact"/>
        <w:ind w:left="0" w:leftChars="0" w:firstLine="2880" w:firstLineChars="900"/>
        <w:jc w:val="both"/>
        <w:textAlignment w:val="top"/>
        <w:outlineLvl w:val="0"/>
        <w:rPr>
          <w:rFonts w:hint="eastAsia" w:ascii="黑体" w:hAnsi="黑体" w:eastAsia="黑体" w:cs="黑体"/>
          <w:b w:val="0"/>
          <w:bCs w:val="0"/>
          <w:sz w:val="32"/>
          <w:lang w:eastAsia="zh"/>
        </w:rPr>
      </w:pPr>
      <w:bookmarkStart w:id="1" w:name="_Toc20179"/>
      <w:r>
        <w:rPr>
          <w:rFonts w:hint="eastAsia" w:ascii="黑体" w:hAnsi="黑体" w:eastAsia="黑体" w:cs="黑体"/>
          <w:b w:val="0"/>
          <w:bCs w:val="0"/>
          <w:sz w:val="32"/>
          <w:lang w:eastAsia="zh"/>
        </w:rPr>
        <w:t>规划背景</w:t>
      </w:r>
      <w:bookmarkEnd w:id="1"/>
    </w:p>
    <w:p w14:paraId="43E1ECA1">
      <w:pPr>
        <w:pStyle w:val="11"/>
        <w:keepNext w:val="0"/>
        <w:keepLines w:val="0"/>
        <w:pageBreakBefore w:val="0"/>
        <w:widowControl w:val="0"/>
        <w:kinsoku/>
        <w:wordWrap/>
        <w:bidi w:val="0"/>
        <w:spacing w:line="580" w:lineRule="exact"/>
        <w:ind w:left="0" w:leftChars="0" w:firstLine="0" w:firstLineChars="0"/>
        <w:rPr>
          <w:rFonts w:hint="eastAsia"/>
          <w:lang w:eastAsia="zh"/>
        </w:rPr>
      </w:pPr>
    </w:p>
    <w:p w14:paraId="1BADD5D1">
      <w:pPr>
        <w:keepNext w:val="0"/>
        <w:keepLines w:val="0"/>
        <w:pageBreakBefore w:val="0"/>
        <w:widowControl w:val="0"/>
        <w:numPr>
          <w:ilvl w:val="0"/>
          <w:numId w:val="2"/>
        </w:numPr>
        <w:kinsoku/>
        <w:wordWrap/>
        <w:overflowPunct w:val="0"/>
        <w:topLinePunct/>
        <w:autoSpaceDE/>
        <w:autoSpaceDN/>
        <w:bidi w:val="0"/>
        <w:adjustRightInd w:val="0"/>
        <w:snapToGrid w:val="0"/>
        <w:spacing w:line="580" w:lineRule="exact"/>
        <w:ind w:left="0" w:leftChars="0" w:firstLine="640" w:firstLineChars="200"/>
        <w:jc w:val="both"/>
        <w:textAlignment w:val="top"/>
        <w:outlineLvl w:val="1"/>
        <w:rPr>
          <w:rFonts w:hint="eastAsia" w:ascii="黑体" w:hAnsi="黑体" w:eastAsia="黑体" w:cs="黑体"/>
          <w:b w:val="0"/>
          <w:bCs w:val="0"/>
          <w:sz w:val="32"/>
          <w:lang w:val="en-US" w:eastAsia="zh-CN"/>
        </w:rPr>
      </w:pPr>
      <w:bookmarkStart w:id="2" w:name="_Toc11905"/>
      <w:r>
        <w:rPr>
          <w:rFonts w:hint="eastAsia" w:ascii="黑体" w:hAnsi="黑体" w:eastAsia="黑体" w:cs="黑体"/>
          <w:b w:val="0"/>
          <w:bCs w:val="0"/>
          <w:sz w:val="32"/>
          <w:lang w:val="en-US" w:eastAsia="zh-CN"/>
        </w:rPr>
        <w:t>发展基础</w:t>
      </w:r>
      <w:bookmarkEnd w:id="2"/>
      <w:bookmarkStart w:id="3" w:name="_Toc10122"/>
    </w:p>
    <w:p w14:paraId="3B6A63C8">
      <w:pPr>
        <w:keepNext w:val="0"/>
        <w:keepLines w:val="0"/>
        <w:pageBreakBefore w:val="0"/>
        <w:widowControl w:val="0"/>
        <w:numPr>
          <w:ilvl w:val="0"/>
          <w:numId w:val="0"/>
        </w:numPr>
        <w:kinsoku/>
        <w:wordWrap/>
        <w:overflowPunct w:val="0"/>
        <w:topLinePunct/>
        <w:autoSpaceDE/>
        <w:autoSpaceDN/>
        <w:bidi w:val="0"/>
        <w:adjustRightInd w:val="0"/>
        <w:snapToGrid w:val="0"/>
        <w:spacing w:line="580" w:lineRule="exact"/>
        <w:ind w:firstLine="640" w:firstLineChars="200"/>
        <w:jc w:val="both"/>
        <w:textAlignment w:val="top"/>
        <w:outlineLvl w:val="1"/>
        <w:rPr>
          <w:rFonts w:hint="default" w:ascii="仿宋_GB2312" w:hAnsi="仿宋_GB2312" w:eastAsia="仿宋_GB2312" w:cs="仿宋_GB2312"/>
          <w:b w:val="0"/>
          <w:bCs w:val="0"/>
          <w:snapToGrid w:val="0"/>
          <w:color w:val="auto"/>
          <w:kern w:val="0"/>
          <w:sz w:val="32"/>
          <w:szCs w:val="32"/>
          <w:lang w:val="en-US" w:eastAsia="zh-CN"/>
        </w:rPr>
      </w:pPr>
      <w:r>
        <w:rPr>
          <w:rFonts w:hint="default" w:ascii="仿宋_GB2312" w:hAnsi="仿宋_GB2312" w:eastAsia="仿宋_GB2312" w:cs="仿宋_GB2312"/>
          <w:b w:val="0"/>
          <w:bCs w:val="0"/>
          <w:snapToGrid w:val="0"/>
          <w:color w:val="auto"/>
          <w:kern w:val="0"/>
          <w:sz w:val="32"/>
          <w:szCs w:val="32"/>
          <w:lang w:val="en-US" w:eastAsia="zh-CN"/>
        </w:rPr>
        <w:t>“十四五”时期，全市市场监管部门紧扣市委、市政府工作部署，深入践行“大市场、大质量、大监管”理念，各项工作取得扎实成效。</w:t>
      </w:r>
    </w:p>
    <w:p w14:paraId="69FF1D57">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80" w:lineRule="exact"/>
        <w:ind w:left="0" w:leftChars="0" w:right="0" w:rightChars="0" w:firstLine="640" w:firstLineChars="0"/>
        <w:jc w:val="both"/>
        <w:textAlignment w:val="auto"/>
        <w:outlineLvl w:val="9"/>
        <w:rPr>
          <w:rFonts w:hint="default" w:ascii="仿宋_GB2312" w:hAnsi="仿宋_GB2312" w:eastAsia="仿宋_GB2312" w:cs="仿宋_GB2312"/>
          <w:b w:val="0"/>
          <w:bCs w:val="0"/>
          <w:snapToGrid w:val="0"/>
          <w:color w:val="auto"/>
          <w:kern w:val="0"/>
          <w:sz w:val="32"/>
          <w:szCs w:val="32"/>
          <w:lang w:val="en-US" w:eastAsia="zh-CN"/>
        </w:rPr>
      </w:pPr>
      <w:r>
        <w:rPr>
          <w:rFonts w:hint="default" w:ascii="仿宋_GB2312" w:hAnsi="仿宋_GB2312" w:eastAsia="仿宋_GB2312" w:cs="仿宋_GB2312"/>
          <w:b/>
          <w:bCs/>
          <w:snapToGrid w:val="0"/>
          <w:color w:val="auto"/>
          <w:kern w:val="0"/>
          <w:sz w:val="32"/>
          <w:szCs w:val="32"/>
          <w:lang w:val="en-US" w:eastAsia="zh-CN"/>
        </w:rPr>
        <w:t>营商环境持续优化，</w:t>
      </w:r>
      <w:r>
        <w:rPr>
          <w:rFonts w:hint="default" w:ascii="仿宋_GB2312" w:hAnsi="仿宋_GB2312" w:eastAsia="仿宋_GB2312" w:cs="仿宋_GB2312"/>
          <w:b w:val="0"/>
          <w:bCs w:val="0"/>
          <w:snapToGrid w:val="0"/>
          <w:color w:val="auto"/>
          <w:kern w:val="0"/>
          <w:sz w:val="32"/>
          <w:szCs w:val="32"/>
          <w:lang w:val="en-US" w:eastAsia="zh-CN" w:bidi="ar-SA"/>
        </w:rPr>
        <w:t>深入推进新《</w:t>
      </w:r>
      <w:r>
        <w:rPr>
          <w:rFonts w:hint="default" w:ascii="仿宋_GB2312" w:hAnsi="仿宋_GB2312" w:eastAsia="仿宋_GB2312" w:cs="仿宋_GB2312"/>
          <w:b w:val="0"/>
          <w:bCs w:val="0"/>
          <w:snapToGrid w:val="0"/>
          <w:color w:val="auto"/>
          <w:kern w:val="0"/>
          <w:sz w:val="32"/>
          <w:szCs w:val="32"/>
          <w:lang w:eastAsia="zh-CN" w:bidi="ar-SA"/>
        </w:rPr>
        <w:t>中华人民共和国公司法</w:t>
      </w:r>
      <w:r>
        <w:rPr>
          <w:rFonts w:hint="default" w:ascii="仿宋_GB2312" w:hAnsi="仿宋_GB2312" w:eastAsia="仿宋_GB2312" w:cs="仿宋_GB2312"/>
          <w:b w:val="0"/>
          <w:bCs w:val="0"/>
          <w:snapToGrid w:val="0"/>
          <w:color w:val="auto"/>
          <w:kern w:val="0"/>
          <w:sz w:val="32"/>
          <w:szCs w:val="32"/>
          <w:lang w:val="en-US" w:eastAsia="zh-CN" w:bidi="ar-SA"/>
        </w:rPr>
        <w:t>》落地</w:t>
      </w:r>
      <w:r>
        <w:rPr>
          <w:rFonts w:hint="default" w:ascii="仿宋_GB2312" w:hAnsi="仿宋_GB2312" w:eastAsia="仿宋_GB2312" w:cs="仿宋_GB2312"/>
          <w:b w:val="0"/>
          <w:bCs w:val="0"/>
          <w:snapToGrid w:val="0"/>
          <w:color w:val="auto"/>
          <w:kern w:val="0"/>
          <w:sz w:val="32"/>
          <w:szCs w:val="32"/>
          <w:lang w:val="en-US" w:eastAsia="zh-CN"/>
        </w:rPr>
        <w:t>，深化“一照通行”、经营范围规范化登记等改革，落实企业</w:t>
      </w:r>
      <w:r>
        <w:rPr>
          <w:rFonts w:hint="eastAsia" w:ascii="仿宋_GB2312" w:hAnsi="仿宋_GB2312" w:eastAsia="仿宋_GB2312" w:cs="仿宋_GB2312"/>
          <w:b w:val="0"/>
          <w:bCs w:val="0"/>
          <w:snapToGrid w:val="0"/>
          <w:color w:val="auto"/>
          <w:kern w:val="0"/>
          <w:sz w:val="32"/>
          <w:szCs w:val="32"/>
          <w:lang w:val="en-US" w:eastAsia="zh-CN"/>
        </w:rPr>
        <w:t>新</w:t>
      </w:r>
      <w:r>
        <w:rPr>
          <w:rFonts w:hint="default" w:ascii="仿宋_GB2312" w:hAnsi="仿宋_GB2312" w:eastAsia="仿宋_GB2312" w:cs="仿宋_GB2312"/>
          <w:b w:val="0"/>
          <w:bCs w:val="0"/>
          <w:snapToGrid w:val="0"/>
          <w:color w:val="auto"/>
          <w:kern w:val="0"/>
          <w:sz w:val="32"/>
          <w:szCs w:val="32"/>
          <w:lang w:val="en-US" w:eastAsia="zh-CN"/>
        </w:rPr>
        <w:t>开办</w:t>
      </w:r>
      <w:r>
        <w:rPr>
          <w:rFonts w:hint="eastAsia" w:ascii="仿宋_GB2312" w:hAnsi="仿宋_GB2312" w:eastAsia="仿宋_GB2312" w:cs="仿宋_GB2312"/>
          <w:b w:val="0"/>
          <w:bCs w:val="0"/>
          <w:snapToGrid w:val="0"/>
          <w:color w:val="auto"/>
          <w:kern w:val="0"/>
          <w:sz w:val="32"/>
          <w:szCs w:val="32"/>
          <w:lang w:val="en-US" w:eastAsia="zh-CN"/>
        </w:rPr>
        <w:t>首套</w:t>
      </w:r>
      <w:r>
        <w:rPr>
          <w:rFonts w:hint="default" w:ascii="仿宋_GB2312" w:hAnsi="仿宋_GB2312" w:eastAsia="仿宋_GB2312" w:cs="仿宋_GB2312"/>
          <w:b w:val="0"/>
          <w:bCs w:val="0"/>
          <w:snapToGrid w:val="0"/>
          <w:color w:val="auto"/>
          <w:kern w:val="0"/>
          <w:sz w:val="32"/>
          <w:szCs w:val="32"/>
          <w:lang w:val="en-US" w:eastAsia="zh-CN"/>
        </w:rPr>
        <w:t>免费刻章政策，实施个体工商户分型分类培育，打造“星火贷”</w:t>
      </w:r>
      <w:r>
        <w:rPr>
          <w:rFonts w:hint="eastAsia" w:ascii="仿宋_GB2312" w:hAnsi="仿宋_GB2312" w:eastAsia="仿宋_GB2312" w:cs="仿宋_GB2312"/>
          <w:b w:val="0"/>
          <w:bCs w:val="0"/>
          <w:snapToGrid w:val="0"/>
          <w:color w:val="auto"/>
          <w:kern w:val="0"/>
          <w:sz w:val="32"/>
          <w:szCs w:val="32"/>
          <w:lang w:val="en-US" w:eastAsia="zh-CN"/>
        </w:rPr>
        <w:t>服务品牌</w:t>
      </w:r>
      <w:r>
        <w:rPr>
          <w:rFonts w:hint="default" w:ascii="仿宋_GB2312" w:hAnsi="仿宋_GB2312" w:eastAsia="仿宋_GB2312" w:cs="仿宋_GB2312"/>
          <w:b w:val="0"/>
          <w:bCs w:val="0"/>
          <w:snapToGrid w:val="0"/>
          <w:color w:val="auto"/>
          <w:kern w:val="0"/>
          <w:sz w:val="32"/>
          <w:szCs w:val="32"/>
          <w:lang w:val="en-US" w:eastAsia="zh-CN"/>
        </w:rPr>
        <w:t>。全市新登记经营主体34.43万户、净增17.56万户，期末实有45.13万户，较2020年末增长57.22%。</w:t>
      </w:r>
      <w:r>
        <w:rPr>
          <w:rFonts w:hint="default" w:ascii="仿宋_GB2312" w:hAnsi="仿宋_GB2312" w:eastAsia="仿宋_GB2312" w:cs="仿宋_GB2312"/>
          <w:b/>
          <w:bCs/>
          <w:snapToGrid w:val="0"/>
          <w:color w:val="auto"/>
          <w:kern w:val="0"/>
          <w:sz w:val="32"/>
          <w:szCs w:val="32"/>
          <w:lang w:val="en-US" w:eastAsia="zh-CN"/>
        </w:rPr>
        <w:t>知识产权发展提质增效，</w:t>
      </w:r>
      <w:r>
        <w:rPr>
          <w:rFonts w:hint="default" w:ascii="仿宋_GB2312" w:hAnsi="仿宋_GB2312" w:eastAsia="仿宋_GB2312" w:cs="仿宋_GB2312"/>
          <w:b w:val="0"/>
          <w:bCs w:val="0"/>
          <w:snapToGrid w:val="0"/>
          <w:color w:val="auto"/>
          <w:kern w:val="0"/>
          <w:sz w:val="32"/>
          <w:szCs w:val="32"/>
          <w:lang w:val="en-US" w:eastAsia="zh-CN"/>
        </w:rPr>
        <w:t>建成市县一体化维权服务体系，累计查处侵权假冒案件412宗、专利侵权纠纷66宗，全市有效商标21.87万件、有效发明专利1280件，每万人口发明专利拥有量达2.25件，</w:t>
      </w:r>
      <w:r>
        <w:rPr>
          <w:rFonts w:hint="eastAsia" w:ascii="仿宋_GB2312" w:hAnsi="仿宋_GB2312" w:eastAsia="仿宋_GB2312" w:cs="仿宋_GB2312"/>
          <w:b w:val="0"/>
          <w:bCs w:val="0"/>
          <w:snapToGrid w:val="0"/>
          <w:color w:val="auto"/>
          <w:kern w:val="0"/>
          <w:sz w:val="32"/>
          <w:szCs w:val="32"/>
          <w:lang w:val="en-US" w:eastAsia="zh-CN"/>
        </w:rPr>
        <w:t>办理</w:t>
      </w:r>
      <w:r>
        <w:rPr>
          <w:rFonts w:hint="default" w:ascii="仿宋_GB2312" w:hAnsi="仿宋_GB2312" w:eastAsia="仿宋_GB2312" w:cs="仿宋_GB2312"/>
          <w:b w:val="0"/>
          <w:bCs w:val="0"/>
          <w:snapToGrid w:val="0"/>
          <w:color w:val="auto"/>
          <w:kern w:val="0"/>
          <w:sz w:val="32"/>
          <w:szCs w:val="32"/>
          <w:lang w:val="en-US" w:eastAsia="zh-CN"/>
        </w:rPr>
        <w:t>知识产权质押融资规模达237.21亿元。</w:t>
      </w:r>
      <w:r>
        <w:rPr>
          <w:rFonts w:hint="default" w:ascii="仿宋_GB2312" w:hAnsi="仿宋_GB2312" w:eastAsia="仿宋_GB2312" w:cs="仿宋_GB2312"/>
          <w:b/>
          <w:bCs/>
          <w:snapToGrid w:val="0"/>
          <w:color w:val="auto"/>
          <w:kern w:val="0"/>
          <w:sz w:val="32"/>
          <w:szCs w:val="32"/>
          <w:lang w:val="en-US" w:eastAsia="zh-CN"/>
        </w:rPr>
        <w:t>质量建设水平稳步提升，</w:t>
      </w:r>
      <w:r>
        <w:rPr>
          <w:rFonts w:hint="default" w:ascii="仿宋_GB2312" w:hAnsi="仿宋_GB2312" w:eastAsia="仿宋_GB2312" w:cs="仿宋_GB2312"/>
          <w:b w:val="0"/>
          <w:bCs w:val="0"/>
          <w:snapToGrid w:val="0"/>
          <w:color w:val="auto"/>
          <w:kern w:val="0"/>
          <w:sz w:val="32"/>
          <w:szCs w:val="32"/>
          <w:lang w:val="en-US" w:eastAsia="zh-CN"/>
        </w:rPr>
        <w:t>深入开展企业质量帮扶，累计质量基础设施“一站式”服务企业6717家次、减免检测费用918.2万元，参与各级标准制修订731项。</w:t>
      </w:r>
      <w:r>
        <w:rPr>
          <w:rFonts w:hint="default" w:ascii="仿宋_GB2312" w:hAnsi="仿宋_GB2312" w:eastAsia="仿宋_GB2312" w:cs="仿宋_GB2312"/>
          <w:b/>
          <w:bCs/>
          <w:snapToGrid w:val="0"/>
          <w:color w:val="auto"/>
          <w:kern w:val="0"/>
          <w:sz w:val="32"/>
          <w:szCs w:val="32"/>
          <w:lang w:val="en-US" w:eastAsia="zh-CN"/>
        </w:rPr>
        <w:t>市场秩序持续规范，</w:t>
      </w:r>
      <w:r>
        <w:rPr>
          <w:rFonts w:hint="default" w:ascii="仿宋_GB2312" w:hAnsi="仿宋_GB2312" w:eastAsia="仿宋_GB2312" w:cs="仿宋_GB2312"/>
          <w:b w:val="0"/>
          <w:bCs w:val="0"/>
          <w:snapToGrid w:val="0"/>
          <w:color w:val="auto"/>
          <w:kern w:val="0"/>
          <w:sz w:val="32"/>
          <w:szCs w:val="32"/>
          <w:lang w:val="en-US" w:eastAsia="zh-CN"/>
        </w:rPr>
        <w:t>从严查处各类市场违法案件1.25万宗，罚没1.39亿元，高效处置消费诉求38.89万宗，为群众挽回经济损失6050.36万元。</w:t>
      </w:r>
      <w:r>
        <w:rPr>
          <w:rFonts w:hint="default" w:ascii="仿宋_GB2312" w:hAnsi="仿宋_GB2312" w:eastAsia="仿宋_GB2312" w:cs="仿宋_GB2312"/>
          <w:b/>
          <w:bCs/>
          <w:snapToGrid w:val="0"/>
          <w:color w:val="auto"/>
          <w:kern w:val="0"/>
          <w:sz w:val="32"/>
          <w:szCs w:val="32"/>
          <w:lang w:val="en-US" w:eastAsia="zh-CN"/>
        </w:rPr>
        <w:t>坚决守牢安全底线，</w:t>
      </w:r>
      <w:r>
        <w:rPr>
          <w:rFonts w:hint="default" w:ascii="仿宋_GB2312" w:hAnsi="仿宋_GB2312" w:eastAsia="仿宋_GB2312" w:cs="仿宋_GB2312"/>
          <w:b w:val="0"/>
          <w:bCs w:val="0"/>
          <w:snapToGrid w:val="0"/>
          <w:color w:val="auto"/>
          <w:kern w:val="0"/>
          <w:sz w:val="32"/>
          <w:szCs w:val="32"/>
          <w:lang w:val="en-US" w:eastAsia="zh-CN"/>
        </w:rPr>
        <w:t>全面落实食品安全“两个责任”，常态化开展食品、“两品一械”、</w:t>
      </w:r>
      <w:r>
        <w:rPr>
          <w:rFonts w:hint="eastAsia" w:ascii="仿宋_GB2312" w:hAnsi="仿宋_GB2312" w:eastAsia="仿宋_GB2312" w:cs="仿宋_GB2312"/>
          <w:b w:val="0"/>
          <w:bCs w:val="0"/>
          <w:snapToGrid w:val="0"/>
          <w:color w:val="auto"/>
          <w:kern w:val="0"/>
          <w:sz w:val="32"/>
          <w:szCs w:val="32"/>
          <w:lang w:val="en-US" w:eastAsia="zh-CN"/>
        </w:rPr>
        <w:t>工业产品、</w:t>
      </w:r>
      <w:r>
        <w:rPr>
          <w:rFonts w:hint="default" w:ascii="仿宋_GB2312" w:hAnsi="仿宋_GB2312" w:eastAsia="仿宋_GB2312" w:cs="仿宋_GB2312"/>
          <w:b w:val="0"/>
          <w:bCs w:val="0"/>
          <w:snapToGrid w:val="0"/>
          <w:color w:val="auto"/>
          <w:kern w:val="0"/>
          <w:sz w:val="32"/>
          <w:szCs w:val="32"/>
          <w:lang w:val="en-US" w:eastAsia="zh-CN"/>
        </w:rPr>
        <w:t>特种设备抽检隐患整治，同步健全智慧监管、信用监管体系，推进基层标准化建设，全面提升市场监管综合治理效能。</w:t>
      </w:r>
    </w:p>
    <w:p w14:paraId="20CBB8EA">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80" w:lineRule="exact"/>
        <w:ind w:left="0" w:leftChars="0" w:right="0" w:rightChars="0" w:firstLine="640" w:firstLineChars="0"/>
        <w:jc w:val="both"/>
        <w:textAlignment w:val="auto"/>
        <w:outlineLvl w:val="9"/>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二、发展形势</w:t>
      </w:r>
      <w:bookmarkEnd w:id="3"/>
    </w:p>
    <w:p w14:paraId="2665C05D">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80" w:lineRule="exact"/>
        <w:ind w:left="0" w:leftChars="0" w:right="0" w:rightChars="0" w:firstLine="640" w:firstLineChars="0"/>
        <w:jc w:val="both"/>
        <w:textAlignment w:val="auto"/>
        <w:outlineLvl w:val="9"/>
        <w:rPr>
          <w:rFonts w:hint="default" w:ascii="仿宋_GB2312" w:hAnsi="仿宋_GB2312" w:eastAsia="仿宋_GB2312" w:cs="仿宋_GB2312"/>
          <w:b w:val="0"/>
          <w:bCs w:val="0"/>
          <w:snapToGrid w:val="0"/>
          <w:color w:val="auto"/>
          <w:kern w:val="0"/>
          <w:sz w:val="32"/>
          <w:szCs w:val="32"/>
          <w:lang w:val="en-US" w:eastAsia="zh-CN"/>
        </w:rPr>
      </w:pPr>
      <w:r>
        <w:rPr>
          <w:rFonts w:hint="default" w:ascii="仿宋_GB2312" w:hAnsi="仿宋_GB2312" w:eastAsia="仿宋_GB2312" w:cs="仿宋_GB2312"/>
          <w:b w:val="0"/>
          <w:bCs w:val="0"/>
          <w:snapToGrid w:val="0"/>
          <w:color w:val="auto"/>
          <w:kern w:val="0"/>
          <w:sz w:val="32"/>
          <w:szCs w:val="32"/>
          <w:lang w:val="en-US" w:eastAsia="zh-CN"/>
        </w:rPr>
        <w:t>“十五五”时期是我市市场监管高质量发展夯实基础、全面发力的关键阶段，多重内外形势叠加，对监管工作提出更高标准、全新要求。对外，全球经贸格局深刻变革，贸易壁垒持续增多，我市五金、纺织、食品等外向型产业面临标准、认证、知识产权等多重合规压力，涉外风险防控、国际规则对接能力仍有短板。对内，群众消费需求加速升级，对质量安全、公平交易、权益保障的期待持续提升，食品药品、特种设备、网络消费等领域风险更加隐蔽多元，基层监管能力和应急处置水平有待提质。同时，我市产业集群持续壮大，市场主体稳步增长，数字经济、平台经济、直播电商、预制菜等新业态快速涌现，传统监管模式、智慧监管体系难以适配发展需求，</w:t>
      </w:r>
      <w:r>
        <w:rPr>
          <w:rFonts w:hint="default" w:ascii="仿宋_GB2312" w:hAnsi="仿宋_GB2312" w:eastAsia="仿宋_GB2312" w:cs="仿宋_GB2312"/>
          <w:b w:val="0"/>
          <w:bCs w:val="0"/>
          <w:snapToGrid w:val="0"/>
          <w:color w:val="auto"/>
          <w:kern w:val="0"/>
          <w:sz w:val="32"/>
          <w:szCs w:val="32"/>
          <w:lang w:eastAsia="zh-CN"/>
        </w:rPr>
        <w:t>亟须</w:t>
      </w:r>
      <w:r>
        <w:rPr>
          <w:rFonts w:hint="default" w:ascii="仿宋_GB2312" w:hAnsi="仿宋_GB2312" w:eastAsia="仿宋_GB2312" w:cs="仿宋_GB2312"/>
          <w:b w:val="0"/>
          <w:bCs w:val="0"/>
          <w:snapToGrid w:val="0"/>
          <w:color w:val="auto"/>
          <w:kern w:val="0"/>
          <w:sz w:val="32"/>
          <w:szCs w:val="32"/>
          <w:lang w:val="en-US" w:eastAsia="zh-CN"/>
        </w:rPr>
        <w:t>全面提升监管精准化、智能化、系统化水平。</w:t>
      </w:r>
    </w:p>
    <w:p w14:paraId="749A8489">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80" w:lineRule="exact"/>
        <w:ind w:right="0" w:rightChars="0"/>
        <w:jc w:val="both"/>
        <w:textAlignment w:val="auto"/>
        <w:outlineLvl w:val="9"/>
        <w:rPr>
          <w:rFonts w:hint="eastAsia" w:ascii="仿宋_GB2312" w:hAnsi="仿宋_GB2312" w:eastAsia="仿宋_GB2312" w:cs="仿宋_GB2312"/>
          <w:b w:val="0"/>
          <w:bCs w:val="0"/>
          <w:snapToGrid w:val="0"/>
          <w:color w:val="auto"/>
          <w:kern w:val="0"/>
          <w:sz w:val="32"/>
          <w:szCs w:val="32"/>
          <w:lang w:val="en-US" w:eastAsia="zh-CN"/>
        </w:rPr>
      </w:pPr>
    </w:p>
    <w:p w14:paraId="0B3FDE95">
      <w:pPr>
        <w:keepNext w:val="0"/>
        <w:keepLines w:val="0"/>
        <w:pageBreakBefore w:val="0"/>
        <w:widowControl w:val="0"/>
        <w:numPr>
          <w:ilvl w:val="0"/>
          <w:numId w:val="1"/>
        </w:numPr>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80" w:lineRule="exact"/>
        <w:ind w:left="0" w:leftChars="0" w:right="0" w:rightChars="0" w:firstLine="2880" w:firstLineChars="900"/>
        <w:jc w:val="both"/>
        <w:textAlignment w:val="auto"/>
        <w:outlineLvl w:val="0"/>
        <w:rPr>
          <w:rFonts w:hint="eastAsia" w:ascii="黑体" w:hAnsi="黑体" w:eastAsia="黑体" w:cs="黑体"/>
          <w:b w:val="0"/>
          <w:bCs w:val="0"/>
          <w:sz w:val="32"/>
        </w:rPr>
      </w:pPr>
      <w:bookmarkStart w:id="4" w:name="_Toc2725"/>
      <w:r>
        <w:rPr>
          <w:rFonts w:hint="eastAsia" w:ascii="黑体" w:hAnsi="黑体" w:eastAsia="黑体" w:cs="黑体"/>
          <w:b w:val="0"/>
          <w:bCs w:val="0"/>
          <w:sz w:val="32"/>
        </w:rPr>
        <w:t>总体要求</w:t>
      </w:r>
      <w:bookmarkEnd w:id="4"/>
    </w:p>
    <w:p w14:paraId="00560A90">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tabs>
          <w:tab w:val="left" w:pos="954"/>
          <w:tab w:val="left" w:pos="1902"/>
        </w:tabs>
        <w:kinsoku/>
        <w:wordWrap/>
        <w:overflowPunct w:val="0"/>
        <w:topLinePunct w:val="0"/>
        <w:autoSpaceDE w:val="0"/>
        <w:autoSpaceDN w:val="0"/>
        <w:bidi w:val="0"/>
        <w:adjustRightInd w:val="0"/>
        <w:snapToGrid w:val="0"/>
        <w:spacing w:line="580" w:lineRule="exact"/>
        <w:ind w:right="0" w:rightChars="0"/>
        <w:jc w:val="both"/>
        <w:textAlignment w:val="auto"/>
        <w:outlineLvl w:val="0"/>
        <w:rPr>
          <w:rFonts w:hint="eastAsia" w:ascii="黑体" w:hAnsi="黑体" w:eastAsia="黑体" w:cs="黑体"/>
          <w:b w:val="0"/>
          <w:bCs w:val="0"/>
          <w:sz w:val="32"/>
        </w:rPr>
      </w:pPr>
    </w:p>
    <w:p w14:paraId="2BE3ADA7">
      <w:pPr>
        <w:keepNext w:val="0"/>
        <w:keepLines w:val="0"/>
        <w:pageBreakBefore w:val="0"/>
        <w:widowControl w:val="0"/>
        <w:numPr>
          <w:ilvl w:val="0"/>
          <w:numId w:val="0"/>
        </w:numPr>
        <w:kinsoku/>
        <w:wordWrap/>
        <w:overflowPunct w:val="0"/>
        <w:topLinePunct/>
        <w:autoSpaceDE/>
        <w:autoSpaceDN/>
        <w:bidi w:val="0"/>
        <w:adjustRightInd w:val="0"/>
        <w:snapToGrid w:val="0"/>
        <w:spacing w:line="580" w:lineRule="exact"/>
        <w:ind w:left="420" w:leftChars="200" w:firstLine="320" w:firstLineChars="100"/>
        <w:jc w:val="both"/>
        <w:textAlignment w:val="top"/>
        <w:outlineLvl w:val="1"/>
        <w:rPr>
          <w:rFonts w:hint="eastAsia" w:ascii="黑体" w:hAnsi="黑体" w:eastAsia="黑体" w:cs="黑体"/>
          <w:b w:val="0"/>
          <w:bCs w:val="0"/>
          <w:sz w:val="32"/>
        </w:rPr>
      </w:pPr>
      <w:bookmarkStart w:id="5" w:name="_Toc29534"/>
      <w:r>
        <w:rPr>
          <w:rFonts w:hint="eastAsia" w:ascii="黑体" w:hAnsi="黑体" w:eastAsia="黑体" w:cs="黑体"/>
          <w:b w:val="0"/>
          <w:bCs w:val="0"/>
          <w:sz w:val="32"/>
          <w:lang w:eastAsia="zh-CN"/>
        </w:rPr>
        <w:t>一、</w:t>
      </w:r>
      <w:r>
        <w:rPr>
          <w:rFonts w:hint="eastAsia" w:ascii="黑体" w:hAnsi="黑体" w:eastAsia="黑体" w:cs="黑体"/>
          <w:b w:val="0"/>
          <w:bCs w:val="0"/>
          <w:sz w:val="32"/>
        </w:rPr>
        <w:t>指导思想</w:t>
      </w:r>
      <w:bookmarkEnd w:id="5"/>
    </w:p>
    <w:p w14:paraId="0D574F91">
      <w:pPr>
        <w:pStyle w:val="21"/>
        <w:keepNext w:val="0"/>
        <w:keepLines w:val="0"/>
        <w:pageBreakBefore w:val="0"/>
        <w:widowControl w:val="0"/>
        <w:kinsoku/>
        <w:wordWrap/>
        <w:autoSpaceDE/>
        <w:autoSpaceDN/>
        <w:bidi w:val="0"/>
        <w:adjustRightInd w:val="0"/>
        <w:snapToGrid/>
        <w:spacing w:line="580" w:lineRule="exact"/>
        <w:ind w:firstLine="640"/>
        <w:jc w:val="both"/>
        <w:rPr>
          <w:rFonts w:hint="eastAsia"/>
          <w:lang w:eastAsia="zh-CN"/>
        </w:rPr>
      </w:pPr>
      <w:r>
        <w:rPr>
          <w:rFonts w:hint="eastAsia" w:ascii="Times New Roman" w:hAnsi="Times New Roman" w:eastAsia="仿宋_GB2312" w:cs="黑体"/>
          <w:color w:val="000000"/>
          <w:kern w:val="2"/>
          <w:sz w:val="32"/>
          <w:szCs w:val="32"/>
          <w:highlight w:val="none"/>
          <w:lang w:val="en-US" w:eastAsia="zh-CN" w:bidi="ar-SA"/>
        </w:rPr>
        <w:t>坚持以习近平新时代中国特色社会主义思想为指导，全面贯彻党的二十大和二十届历次全会精神，深入贯彻习近平总书记对广东系列重要讲话和重要指示精神，落实省委</w:t>
      </w:r>
      <w:r>
        <w:rPr>
          <w:rFonts w:hint="eastAsia" w:ascii="仿宋_GB2312" w:hAnsi="仿宋_GB2312" w:eastAsia="仿宋_GB2312" w:cs="仿宋_GB2312"/>
          <w:color w:val="000000"/>
          <w:kern w:val="2"/>
          <w:sz w:val="32"/>
          <w:szCs w:val="32"/>
          <w:highlight w:val="none"/>
          <w:lang w:val="en-US" w:eastAsia="zh-CN" w:bidi="ar-SA"/>
        </w:rPr>
        <w:t>“1310”</w:t>
      </w:r>
      <w:r>
        <w:rPr>
          <w:rFonts w:hint="eastAsia" w:ascii="Times New Roman" w:hAnsi="Times New Roman" w:eastAsia="仿宋_GB2312" w:cs="黑体"/>
          <w:color w:val="000000"/>
          <w:kern w:val="2"/>
          <w:sz w:val="32"/>
          <w:szCs w:val="32"/>
          <w:highlight w:val="none"/>
          <w:lang w:val="en-US" w:eastAsia="zh-CN" w:bidi="ar-SA"/>
        </w:rPr>
        <w:t>具体部署和</w:t>
      </w:r>
      <w:r>
        <w:rPr>
          <w:rFonts w:hint="eastAsia" w:ascii="仿宋_GB2312" w:hAnsi="仿宋_GB2312" w:eastAsia="仿宋_GB2312" w:cs="仿宋_GB2312"/>
          <w:color w:val="000000"/>
          <w:kern w:val="2"/>
          <w:sz w:val="32"/>
          <w:szCs w:val="32"/>
          <w:highlight w:val="none"/>
          <w:lang w:val="en-US" w:eastAsia="zh-CN" w:bidi="ar-SA"/>
        </w:rPr>
        <w:t>市委“1135”</w:t>
      </w:r>
      <w:r>
        <w:rPr>
          <w:rFonts w:hint="eastAsia" w:ascii="Times New Roman" w:hAnsi="Times New Roman" w:eastAsia="仿宋_GB2312" w:cs="黑体"/>
          <w:color w:val="000000"/>
          <w:kern w:val="2"/>
          <w:sz w:val="32"/>
          <w:szCs w:val="32"/>
          <w:highlight w:val="none"/>
          <w:lang w:val="en-US" w:eastAsia="zh-CN" w:bidi="ar-SA"/>
        </w:rPr>
        <w:t>工作思路，紧扣现代化建设要求，聚焦高质量发展主题，统筹效率与公平、活力与秩序、发展与安全，加快构建与粤东高质量发展新增长极相匹配的现代化市场监管体系，切实增强群众获得感、幸福感、安全感，为产业强市、和美揭阳建设提供坚实保障。</w:t>
      </w:r>
    </w:p>
    <w:p w14:paraId="58FB3A45">
      <w:pPr>
        <w:keepNext w:val="0"/>
        <w:keepLines w:val="0"/>
        <w:pageBreakBefore w:val="0"/>
        <w:widowControl w:val="0"/>
        <w:numPr>
          <w:ilvl w:val="0"/>
          <w:numId w:val="3"/>
        </w:numPr>
        <w:kinsoku/>
        <w:wordWrap/>
        <w:overflowPunct w:val="0"/>
        <w:topLinePunct/>
        <w:autoSpaceDE/>
        <w:autoSpaceDN/>
        <w:bidi w:val="0"/>
        <w:adjustRightInd w:val="0"/>
        <w:snapToGrid w:val="0"/>
        <w:spacing w:line="580" w:lineRule="exact"/>
        <w:ind w:left="0" w:leftChars="0" w:firstLine="640" w:firstLineChars="200"/>
        <w:jc w:val="both"/>
        <w:textAlignment w:val="top"/>
        <w:outlineLvl w:val="1"/>
        <w:rPr>
          <w:rFonts w:hint="eastAsia" w:ascii="黑体" w:hAnsi="黑体" w:eastAsia="黑体" w:cs="黑体"/>
          <w:b w:val="0"/>
          <w:bCs w:val="0"/>
          <w:sz w:val="32"/>
        </w:rPr>
      </w:pPr>
      <w:bookmarkStart w:id="6" w:name="_Toc19719"/>
      <w:r>
        <w:rPr>
          <w:rFonts w:hint="eastAsia" w:ascii="黑体" w:hAnsi="黑体" w:eastAsia="黑体" w:cs="黑体"/>
          <w:b w:val="0"/>
          <w:bCs w:val="0"/>
          <w:sz w:val="32"/>
        </w:rPr>
        <w:t>基本原则</w:t>
      </w:r>
      <w:bookmarkEnd w:id="6"/>
    </w:p>
    <w:p w14:paraId="322AE328">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580" w:lineRule="exact"/>
        <w:ind w:right="0" w:rightChars="0" w:firstLine="640" w:firstLineChars="200"/>
        <w:jc w:val="both"/>
        <w:textAlignment w:val="auto"/>
        <w:outlineLvl w:val="9"/>
        <w:rPr>
          <w:rFonts w:hint="eastAsia" w:ascii="Times New Roman" w:hAnsi="Times New Roman" w:eastAsia="仿宋_GB2312" w:cs="黑体"/>
          <w:color w:val="000000"/>
          <w:kern w:val="2"/>
          <w:sz w:val="32"/>
          <w:szCs w:val="32"/>
          <w:highlight w:val="none"/>
          <w:lang w:val="en-US" w:eastAsia="zh-CN" w:bidi="ar-SA"/>
        </w:rPr>
      </w:pPr>
      <w:r>
        <w:rPr>
          <w:rFonts w:hint="default" w:ascii="Times New Roman" w:hAnsi="Times New Roman" w:eastAsia="仿宋_GB2312" w:cs="黑体"/>
          <w:color w:val="000000"/>
          <w:kern w:val="2"/>
          <w:sz w:val="32"/>
          <w:szCs w:val="32"/>
          <w:highlight w:val="none"/>
          <w:lang w:val="en-US" w:eastAsia="zh-CN" w:bidi="ar-SA"/>
        </w:rPr>
        <w:t>——</w:t>
      </w:r>
      <w:r>
        <w:rPr>
          <w:rFonts w:hint="eastAsia" w:ascii="Times New Roman" w:hAnsi="Times New Roman" w:eastAsia="楷体_GB2312" w:cs="Times New Roman"/>
          <w:color w:val="auto"/>
          <w:sz w:val="32"/>
          <w:highlight w:val="none"/>
          <w:lang w:val="en-US" w:eastAsia="zh-CN"/>
        </w:rPr>
        <w:t>坚持监管为民、公平公正。</w:t>
      </w:r>
      <w:r>
        <w:rPr>
          <w:rFonts w:hint="eastAsia" w:ascii="Times New Roman" w:hAnsi="Times New Roman" w:eastAsia="仿宋_GB2312" w:cs="黑体"/>
          <w:color w:val="000000"/>
          <w:kern w:val="2"/>
          <w:sz w:val="32"/>
          <w:szCs w:val="32"/>
          <w:highlight w:val="none"/>
          <w:lang w:val="en-US" w:eastAsia="zh-CN" w:bidi="ar-SA"/>
        </w:rPr>
        <w:t>牢固树立以人民为中心的发展思想，聚焦重点民生领域强化精准监管、优化政务服务、健全消费维权体系，持续提升群众获得感、幸福感、安全感。</w:t>
      </w:r>
    </w:p>
    <w:p w14:paraId="27D4CA95">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580" w:lineRule="exact"/>
        <w:ind w:right="0" w:rightChars="0" w:firstLine="640" w:firstLineChars="200"/>
        <w:jc w:val="both"/>
        <w:textAlignment w:val="auto"/>
        <w:outlineLvl w:val="9"/>
        <w:rPr>
          <w:rFonts w:hint="eastAsia" w:ascii="Times New Roman" w:hAnsi="Times New Roman" w:eastAsia="仿宋_GB2312" w:cs="黑体"/>
          <w:color w:val="000000"/>
          <w:kern w:val="2"/>
          <w:sz w:val="32"/>
          <w:szCs w:val="32"/>
          <w:highlight w:val="none"/>
          <w:lang w:val="en-US" w:eastAsia="zh-CN" w:bidi="ar-SA"/>
        </w:rPr>
      </w:pPr>
      <w:r>
        <w:rPr>
          <w:rFonts w:hint="default" w:ascii="Times New Roman" w:hAnsi="Times New Roman" w:eastAsia="楷体_GB2312" w:cs="Times New Roman"/>
          <w:color w:val="auto"/>
          <w:sz w:val="32"/>
          <w:highlight w:val="none"/>
          <w:lang w:val="en-US" w:eastAsia="zh-CN"/>
        </w:rPr>
        <w:t>——坚持改革创新</w:t>
      </w:r>
      <w:r>
        <w:rPr>
          <w:rFonts w:hint="eastAsia" w:ascii="Times New Roman" w:hAnsi="Times New Roman" w:eastAsia="楷体_GB2312" w:cs="Times New Roman"/>
          <w:color w:val="auto"/>
          <w:sz w:val="32"/>
          <w:highlight w:val="none"/>
          <w:lang w:val="en-US" w:eastAsia="zh-CN"/>
        </w:rPr>
        <w:t>、</w:t>
      </w:r>
      <w:r>
        <w:rPr>
          <w:rFonts w:hint="default" w:ascii="Times New Roman" w:hAnsi="Times New Roman" w:eastAsia="楷体_GB2312" w:cs="Times New Roman"/>
          <w:color w:val="auto"/>
          <w:sz w:val="32"/>
          <w:highlight w:val="none"/>
          <w:lang w:val="en-US" w:eastAsia="zh-CN"/>
        </w:rPr>
        <w:t>提质增效</w:t>
      </w:r>
      <w:r>
        <w:rPr>
          <w:rFonts w:hint="eastAsia" w:ascii="Times New Roman" w:hAnsi="Times New Roman" w:eastAsia="楷体_GB2312" w:cs="Times New Roman"/>
          <w:color w:val="auto"/>
          <w:sz w:val="32"/>
          <w:highlight w:val="none"/>
          <w:lang w:val="en-US" w:eastAsia="zh-CN"/>
        </w:rPr>
        <w:t>。</w:t>
      </w:r>
      <w:r>
        <w:rPr>
          <w:rFonts w:hint="eastAsia" w:ascii="Times New Roman" w:hAnsi="Times New Roman" w:eastAsia="仿宋_GB2312" w:cs="黑体"/>
          <w:color w:val="000000"/>
          <w:kern w:val="2"/>
          <w:sz w:val="32"/>
          <w:szCs w:val="32"/>
          <w:highlight w:val="none"/>
          <w:lang w:val="en-US" w:eastAsia="zh-CN" w:bidi="ar-SA"/>
        </w:rPr>
        <w:t>立足市场发展与监管规律，以改革创新破解监管堵点难点，推动监管理念、制度、技术、模式全方位升级，全面提升市场监管现代化治理水平。</w:t>
      </w:r>
    </w:p>
    <w:p w14:paraId="04AFC582">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580" w:lineRule="exact"/>
        <w:ind w:right="0" w:rightChars="0" w:firstLine="640" w:firstLineChars="200"/>
        <w:jc w:val="both"/>
        <w:textAlignment w:val="auto"/>
        <w:outlineLvl w:val="9"/>
        <w:rPr>
          <w:rFonts w:hint="eastAsia" w:ascii="Times New Roman" w:hAnsi="Times New Roman" w:eastAsia="仿宋_GB2312" w:cs="黑体"/>
          <w:color w:val="000000"/>
          <w:kern w:val="2"/>
          <w:sz w:val="32"/>
          <w:szCs w:val="32"/>
          <w:highlight w:val="none"/>
          <w:lang w:val="en-US" w:eastAsia="zh-CN" w:bidi="ar-SA"/>
        </w:rPr>
      </w:pPr>
      <w:r>
        <w:rPr>
          <w:rFonts w:hint="default" w:ascii="Times New Roman" w:hAnsi="Times New Roman" w:eastAsia="楷体_GB2312" w:cs="Times New Roman"/>
          <w:color w:val="auto"/>
          <w:sz w:val="32"/>
          <w:highlight w:val="none"/>
          <w:lang w:val="en-US" w:eastAsia="zh-CN"/>
        </w:rPr>
        <w:t>——坚持底线</w:t>
      </w:r>
      <w:r>
        <w:rPr>
          <w:rFonts w:hint="eastAsia" w:ascii="Times New Roman" w:hAnsi="Times New Roman" w:eastAsia="楷体_GB2312" w:cs="Times New Roman"/>
          <w:color w:val="auto"/>
          <w:sz w:val="32"/>
          <w:highlight w:val="none"/>
          <w:lang w:val="en-US" w:eastAsia="zh-CN"/>
        </w:rPr>
        <w:t>思维、</w:t>
      </w:r>
      <w:r>
        <w:rPr>
          <w:rFonts w:hint="default" w:ascii="Times New Roman" w:hAnsi="Times New Roman" w:eastAsia="楷体_GB2312" w:cs="Times New Roman"/>
          <w:color w:val="auto"/>
          <w:sz w:val="32"/>
          <w:highlight w:val="none"/>
          <w:lang w:val="en-US" w:eastAsia="zh-CN"/>
        </w:rPr>
        <w:t>保障安全。</w:t>
      </w:r>
      <w:r>
        <w:rPr>
          <w:rFonts w:hint="eastAsia" w:ascii="Times New Roman" w:hAnsi="Times New Roman" w:eastAsia="仿宋_GB2312" w:cs="黑体"/>
          <w:color w:val="000000"/>
          <w:kern w:val="2"/>
          <w:sz w:val="32"/>
          <w:szCs w:val="32"/>
          <w:highlight w:val="none"/>
          <w:lang w:val="en-US" w:eastAsia="zh-CN" w:bidi="ar-SA"/>
        </w:rPr>
        <w:t>健全全领域、全过程安全风险防控体系，从严抓实食品、药品、工业产品、特种设备安全监管，以高水平安全护航高质量发展，实现安全与发展协同共进。</w:t>
      </w:r>
    </w:p>
    <w:p w14:paraId="3416439F">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580" w:lineRule="exact"/>
        <w:ind w:right="0" w:rightChars="0" w:firstLine="640" w:firstLineChars="200"/>
        <w:jc w:val="both"/>
        <w:textAlignment w:val="auto"/>
        <w:outlineLvl w:val="9"/>
        <w:rPr>
          <w:rFonts w:hint="eastAsia" w:ascii="Times New Roman" w:hAnsi="Times New Roman" w:eastAsia="楷体_GB2312" w:cs="Times New Roman"/>
          <w:color w:val="auto"/>
          <w:sz w:val="32"/>
          <w:highlight w:val="none"/>
          <w:lang w:val="en-US" w:eastAsia="zh-CN"/>
        </w:rPr>
      </w:pPr>
      <w:r>
        <w:rPr>
          <w:rFonts w:hint="default" w:ascii="Times New Roman" w:hAnsi="Times New Roman" w:eastAsia="楷体_GB2312" w:cs="Times New Roman"/>
          <w:color w:val="auto"/>
          <w:sz w:val="32"/>
          <w:highlight w:val="none"/>
          <w:lang w:val="en-US" w:eastAsia="zh-CN"/>
        </w:rPr>
        <w:t>——坚持协同融通、综合监管。</w:t>
      </w:r>
      <w:r>
        <w:rPr>
          <w:rFonts w:hint="eastAsia" w:ascii="Times New Roman" w:hAnsi="Times New Roman" w:eastAsia="仿宋_GB2312" w:cs="黑体"/>
          <w:color w:val="000000"/>
          <w:kern w:val="2"/>
          <w:sz w:val="32"/>
          <w:szCs w:val="32"/>
          <w:highlight w:val="none"/>
          <w:lang w:val="en-US" w:eastAsia="zh-CN" w:bidi="ar-SA"/>
        </w:rPr>
        <w:t>树立全链条闭环治理理念，贯通事前事中事后监管，强化科技赋能与智慧监管应用，完善综合监管体系，规范市场主体行为，主动服务全国统一大市场建设</w:t>
      </w:r>
    </w:p>
    <w:p w14:paraId="52016730">
      <w:pPr>
        <w:pStyle w:val="11"/>
        <w:keepNext w:val="0"/>
        <w:keepLines w:val="0"/>
        <w:pageBreakBefore w:val="0"/>
        <w:widowControl w:val="0"/>
        <w:numPr>
          <w:ilvl w:val="0"/>
          <w:numId w:val="0"/>
        </w:numPr>
        <w:kinsoku/>
        <w:wordWrap/>
        <w:bidi w:val="0"/>
        <w:spacing w:line="580" w:lineRule="exact"/>
        <w:ind w:left="420" w:leftChars="200" w:firstLine="320" w:firstLineChars="100"/>
        <w:jc w:val="both"/>
        <w:outlineLvl w:val="1"/>
        <w:rPr>
          <w:rFonts w:hint="eastAsia" w:ascii="黑体" w:hAnsi="黑体" w:eastAsia="黑体" w:cs="黑体"/>
          <w:b w:val="0"/>
          <w:bCs w:val="0"/>
          <w:kern w:val="2"/>
          <w:sz w:val="32"/>
          <w:szCs w:val="24"/>
          <w:lang w:val="en-US" w:eastAsia="zh-CN" w:bidi="ar-SA"/>
        </w:rPr>
      </w:pPr>
      <w:bookmarkStart w:id="7" w:name="_Toc26306"/>
      <w:r>
        <w:rPr>
          <w:rFonts w:hint="eastAsia" w:ascii="黑体" w:hAnsi="黑体" w:eastAsia="黑体" w:cs="黑体"/>
          <w:b w:val="0"/>
          <w:bCs w:val="0"/>
          <w:kern w:val="2"/>
          <w:sz w:val="32"/>
          <w:szCs w:val="24"/>
          <w:lang w:val="en-US" w:eastAsia="zh-CN" w:bidi="ar-SA"/>
        </w:rPr>
        <w:t>三、主要目标</w:t>
      </w:r>
      <w:bookmarkEnd w:id="7"/>
    </w:p>
    <w:p w14:paraId="5BA50ED8">
      <w:pPr>
        <w:keepNext w:val="0"/>
        <w:keepLines w:val="0"/>
        <w:pageBreakBefore w:val="0"/>
        <w:widowControl w:val="0"/>
        <w:kinsoku/>
        <w:wordWrap/>
        <w:bidi w:val="0"/>
        <w:spacing w:line="580" w:lineRule="exact"/>
        <w:ind w:firstLine="640" w:firstLineChars="200"/>
        <w:jc w:val="both"/>
        <w:rPr>
          <w:rFonts w:hint="default" w:ascii="Times New Roman" w:hAnsi="Times New Roman" w:cs="Times New Roman"/>
          <w:color w:val="auto"/>
          <w:highlight w:val="none"/>
          <w:lang w:val="en-US" w:eastAsia="zh-CN"/>
        </w:rPr>
      </w:pPr>
      <w:r>
        <w:rPr>
          <w:rFonts w:hint="eastAsia" w:ascii="Times New Roman" w:hAnsi="Times New Roman" w:eastAsia="仿宋_GB2312" w:cs="黑体"/>
          <w:color w:val="000000"/>
          <w:kern w:val="2"/>
          <w:sz w:val="32"/>
          <w:szCs w:val="32"/>
          <w:highlight w:val="none"/>
          <w:lang w:val="en-US" w:eastAsia="zh-CN" w:bidi="ar-SA"/>
        </w:rPr>
        <w:t>到2030年，全市市场监管高质量发展取得决定性进展，实现“五个更加”发展目标。</w:t>
      </w:r>
      <w:r>
        <w:rPr>
          <w:rFonts w:hint="eastAsia" w:ascii="Times New Roman" w:hAnsi="Times New Roman" w:eastAsia="仿宋_GB2312" w:cs="黑体"/>
          <w:b/>
          <w:bCs/>
          <w:color w:val="000000"/>
          <w:kern w:val="2"/>
          <w:sz w:val="32"/>
          <w:szCs w:val="32"/>
          <w:highlight w:val="none"/>
          <w:lang w:val="en-US" w:eastAsia="zh-CN" w:bidi="ar-SA"/>
        </w:rPr>
        <w:t>市场秩序更规范</w:t>
      </w:r>
      <w:r>
        <w:rPr>
          <w:rFonts w:hint="eastAsia" w:ascii="Times New Roman" w:hAnsi="Times New Roman" w:eastAsia="仿宋_GB2312" w:cs="黑体"/>
          <w:color w:val="000000"/>
          <w:kern w:val="2"/>
          <w:sz w:val="32"/>
          <w:szCs w:val="32"/>
          <w:highlight w:val="none"/>
          <w:lang w:val="en-US" w:eastAsia="zh-CN" w:bidi="ar-SA"/>
        </w:rPr>
        <w:t>，优化新业态监管，完善企业诚信与消费维权体系，改善消费体验。</w:t>
      </w:r>
      <w:r>
        <w:rPr>
          <w:rFonts w:hint="eastAsia" w:ascii="Times New Roman" w:hAnsi="Times New Roman" w:eastAsia="仿宋_GB2312" w:cs="黑体"/>
          <w:b/>
          <w:bCs/>
          <w:color w:val="000000"/>
          <w:kern w:val="2"/>
          <w:sz w:val="32"/>
          <w:szCs w:val="32"/>
          <w:highlight w:val="none"/>
          <w:lang w:val="en-US" w:eastAsia="zh-CN" w:bidi="ar-SA"/>
        </w:rPr>
        <w:t>营商环境更优质</w:t>
      </w:r>
      <w:r>
        <w:rPr>
          <w:rFonts w:hint="eastAsia" w:ascii="Times New Roman" w:hAnsi="Times New Roman" w:eastAsia="仿宋_GB2312" w:cs="黑体"/>
          <w:color w:val="000000"/>
          <w:kern w:val="2"/>
          <w:sz w:val="32"/>
          <w:szCs w:val="32"/>
          <w:highlight w:val="none"/>
          <w:lang w:val="en-US" w:eastAsia="zh-CN" w:bidi="ar-SA"/>
        </w:rPr>
        <w:t>，落实准入负面清单，简化审批、畅通市场进出、破除壁垒，激活经营主体活力。</w:t>
      </w:r>
      <w:r>
        <w:rPr>
          <w:rFonts w:hint="eastAsia" w:ascii="Times New Roman" w:hAnsi="Times New Roman" w:eastAsia="仿宋_GB2312" w:cs="黑体"/>
          <w:b/>
          <w:bCs/>
          <w:color w:val="000000"/>
          <w:kern w:val="2"/>
          <w:sz w:val="32"/>
          <w:szCs w:val="32"/>
          <w:highlight w:val="none"/>
          <w:lang w:val="en-US" w:eastAsia="zh-CN" w:bidi="ar-SA"/>
        </w:rPr>
        <w:t>质量赋能更突出</w:t>
      </w:r>
      <w:r>
        <w:rPr>
          <w:rFonts w:hint="eastAsia" w:ascii="Times New Roman" w:hAnsi="Times New Roman" w:eastAsia="仿宋_GB2312" w:cs="黑体"/>
          <w:color w:val="000000"/>
          <w:kern w:val="2"/>
          <w:sz w:val="32"/>
          <w:szCs w:val="32"/>
          <w:highlight w:val="none"/>
          <w:lang w:val="en-US" w:eastAsia="zh-CN" w:bidi="ar-SA"/>
        </w:rPr>
        <w:t>，深化质量强市建设，夯实质量基础，拔高产品与重点产业质量竞争力。</w:t>
      </w:r>
      <w:r>
        <w:rPr>
          <w:rFonts w:hint="eastAsia" w:ascii="Times New Roman" w:hAnsi="Times New Roman" w:eastAsia="仿宋_GB2312" w:cs="黑体"/>
          <w:b/>
          <w:bCs/>
          <w:color w:val="000000"/>
          <w:kern w:val="2"/>
          <w:sz w:val="32"/>
          <w:szCs w:val="32"/>
          <w:highlight w:val="none"/>
          <w:lang w:val="en-US" w:eastAsia="zh-CN" w:bidi="ar-SA"/>
        </w:rPr>
        <w:t>安全防线更稳固</w:t>
      </w:r>
      <w:r>
        <w:rPr>
          <w:rFonts w:hint="eastAsia" w:ascii="Times New Roman" w:hAnsi="Times New Roman" w:eastAsia="仿宋_GB2312" w:cs="黑体"/>
          <w:color w:val="000000"/>
          <w:kern w:val="2"/>
          <w:sz w:val="32"/>
          <w:szCs w:val="32"/>
          <w:highlight w:val="none"/>
          <w:lang w:val="en-US" w:eastAsia="zh-CN" w:bidi="ar-SA"/>
        </w:rPr>
        <w:t>，搭建全领域风险防控网，严管食品、药品、特种设备、重点工业品，</w:t>
      </w:r>
      <w:r>
        <w:rPr>
          <w:rFonts w:hint="default" w:ascii="Times New Roman" w:hAnsi="Times New Roman" w:eastAsia="仿宋_GB2312" w:cs="黑体"/>
          <w:color w:val="000000"/>
          <w:kern w:val="2"/>
          <w:sz w:val="32"/>
          <w:szCs w:val="32"/>
          <w:highlight w:val="none"/>
          <w:lang w:eastAsia="zh-CN" w:bidi="ar-SA"/>
        </w:rPr>
        <w:t>提升</w:t>
      </w:r>
      <w:r>
        <w:rPr>
          <w:rFonts w:hint="eastAsia" w:ascii="Times New Roman" w:hAnsi="Times New Roman" w:eastAsia="仿宋_GB2312" w:cs="黑体"/>
          <w:color w:val="000000"/>
          <w:kern w:val="2"/>
          <w:sz w:val="32"/>
          <w:szCs w:val="32"/>
          <w:highlight w:val="none"/>
          <w:lang w:val="en-US" w:eastAsia="zh-CN" w:bidi="ar-SA"/>
        </w:rPr>
        <w:t>预警与应急处置水平。</w:t>
      </w:r>
      <w:r>
        <w:rPr>
          <w:rFonts w:hint="eastAsia" w:ascii="Times New Roman" w:hAnsi="Times New Roman" w:eastAsia="仿宋_GB2312" w:cs="黑体"/>
          <w:b/>
          <w:bCs/>
          <w:color w:val="000000"/>
          <w:kern w:val="2"/>
          <w:sz w:val="32"/>
          <w:szCs w:val="32"/>
          <w:highlight w:val="none"/>
          <w:lang w:val="en-US" w:eastAsia="zh-CN" w:bidi="ar-SA"/>
        </w:rPr>
        <w:t>监管效能更高效</w:t>
      </w:r>
      <w:r>
        <w:rPr>
          <w:rFonts w:hint="eastAsia" w:ascii="Times New Roman" w:hAnsi="Times New Roman" w:eastAsia="仿宋_GB2312" w:cs="黑体"/>
          <w:color w:val="000000"/>
          <w:kern w:val="2"/>
          <w:sz w:val="32"/>
          <w:szCs w:val="32"/>
          <w:highlight w:val="none"/>
          <w:lang w:val="en-US" w:eastAsia="zh-CN" w:bidi="ar-SA"/>
        </w:rPr>
        <w:t>，推进监管标准化、规范化、数字化，打造法治、信用、智慧一体监管模式，构建多元共治体系，整体提升市场监管治理水平。</w:t>
      </w:r>
    </w:p>
    <w:tbl>
      <w:tblPr>
        <w:tblStyle w:val="13"/>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29"/>
        <w:gridCol w:w="2886"/>
        <w:gridCol w:w="929"/>
        <w:gridCol w:w="1014"/>
        <w:gridCol w:w="999"/>
        <w:gridCol w:w="1037"/>
      </w:tblGrid>
      <w:tr w14:paraId="1868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blHeader/>
          <w:jc w:val="center"/>
        </w:trPr>
        <w:tc>
          <w:tcPr>
            <w:tcW w:w="8680" w:type="dxa"/>
            <w:gridSpan w:val="7"/>
            <w:tcBorders>
              <w:tl2br w:val="nil"/>
              <w:tr2bl w:val="nil"/>
            </w:tcBorders>
            <w:noWrap w:val="0"/>
            <w:vAlign w:val="center"/>
          </w:tcPr>
          <w:p w14:paraId="1C814180">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黑体" w:cs="Times New Roman"/>
                <w:b w:val="0"/>
                <w:color w:val="auto"/>
                <w:sz w:val="21"/>
                <w:szCs w:val="21"/>
                <w:highlight w:val="none"/>
                <w:lang w:val="en-US" w:eastAsia="zh-CN"/>
              </w:rPr>
            </w:pPr>
            <w:r>
              <w:rPr>
                <w:rFonts w:hint="eastAsia" w:ascii="Times New Roman" w:hAnsi="Times New Roman" w:eastAsia="黑体" w:cs="Times New Roman"/>
                <w:b/>
                <w:bCs/>
                <w:color w:val="auto"/>
                <w:sz w:val="28"/>
                <w:szCs w:val="28"/>
                <w:highlight w:val="none"/>
                <w:lang w:val="en-US" w:eastAsia="zh-CN"/>
              </w:rPr>
              <w:t>揭阳市“</w:t>
            </w:r>
            <w:r>
              <w:rPr>
                <w:rFonts w:hint="default" w:ascii="Times New Roman" w:hAnsi="Times New Roman" w:eastAsia="黑体" w:cs="Times New Roman"/>
                <w:b/>
                <w:bCs/>
                <w:color w:val="auto"/>
                <w:sz w:val="28"/>
                <w:szCs w:val="28"/>
                <w:highlight w:val="none"/>
                <w:lang w:val="en-US" w:eastAsia="zh-CN"/>
              </w:rPr>
              <w:t>十五五</w:t>
            </w:r>
            <w:r>
              <w:rPr>
                <w:rFonts w:hint="eastAsia" w:ascii="Times New Roman" w:hAnsi="Times New Roman" w:eastAsia="黑体" w:cs="Times New Roman"/>
                <w:b/>
                <w:bCs/>
                <w:color w:val="auto"/>
                <w:sz w:val="28"/>
                <w:szCs w:val="28"/>
                <w:highlight w:val="none"/>
                <w:lang w:val="en-US" w:eastAsia="zh-CN"/>
              </w:rPr>
              <w:t>”</w:t>
            </w:r>
            <w:r>
              <w:rPr>
                <w:rFonts w:hint="default" w:ascii="Times New Roman" w:hAnsi="Times New Roman" w:eastAsia="黑体" w:cs="Times New Roman"/>
                <w:b/>
                <w:bCs/>
                <w:color w:val="auto"/>
                <w:sz w:val="28"/>
                <w:szCs w:val="28"/>
                <w:highlight w:val="none"/>
                <w:lang w:val="en-US" w:eastAsia="zh-CN"/>
              </w:rPr>
              <w:t>市场监管主要指标表</w:t>
            </w:r>
          </w:p>
        </w:tc>
      </w:tr>
      <w:tr w14:paraId="47C0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586" w:type="dxa"/>
            <w:vMerge w:val="restart"/>
            <w:tcBorders>
              <w:tl2br w:val="nil"/>
              <w:tr2bl w:val="nil"/>
            </w:tcBorders>
            <w:noWrap w:val="0"/>
            <w:vAlign w:val="center"/>
          </w:tcPr>
          <w:p w14:paraId="485AC1AF">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snapToGrid w:val="0"/>
                <w:color w:val="auto"/>
                <w:kern w:val="0"/>
                <w:sz w:val="24"/>
                <w:szCs w:val="24"/>
                <w:highlight w:val="none"/>
              </w:rPr>
              <w:t>序号</w:t>
            </w:r>
          </w:p>
        </w:tc>
        <w:tc>
          <w:tcPr>
            <w:tcW w:w="4115" w:type="dxa"/>
            <w:gridSpan w:val="2"/>
            <w:vMerge w:val="restart"/>
            <w:tcBorders>
              <w:tl2br w:val="nil"/>
              <w:tr2bl w:val="nil"/>
            </w:tcBorders>
            <w:noWrap w:val="0"/>
            <w:vAlign w:val="center"/>
          </w:tcPr>
          <w:p w14:paraId="2B0CAAF3">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snapToGrid w:val="0"/>
                <w:color w:val="auto"/>
                <w:kern w:val="0"/>
                <w:sz w:val="24"/>
                <w:szCs w:val="24"/>
                <w:highlight w:val="none"/>
              </w:rPr>
              <w:t>主要指标</w:t>
            </w:r>
          </w:p>
        </w:tc>
        <w:tc>
          <w:tcPr>
            <w:tcW w:w="929" w:type="dxa"/>
            <w:vMerge w:val="restart"/>
            <w:tcBorders>
              <w:tl2br w:val="nil"/>
              <w:tr2bl w:val="nil"/>
            </w:tcBorders>
            <w:noWrap w:val="0"/>
            <w:vAlign w:val="center"/>
          </w:tcPr>
          <w:p w14:paraId="4AFF6D75">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snapToGrid w:val="0"/>
                <w:color w:val="auto"/>
                <w:kern w:val="0"/>
                <w:sz w:val="24"/>
                <w:szCs w:val="24"/>
                <w:highlight w:val="none"/>
              </w:rPr>
              <w:t>单位</w:t>
            </w:r>
          </w:p>
        </w:tc>
        <w:tc>
          <w:tcPr>
            <w:tcW w:w="1014" w:type="dxa"/>
            <w:tcBorders>
              <w:tl2br w:val="nil"/>
              <w:tr2bl w:val="nil"/>
            </w:tcBorders>
            <w:noWrap w:val="0"/>
            <w:vAlign w:val="center"/>
          </w:tcPr>
          <w:p w14:paraId="0D57FD95">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b w:val="0"/>
                <w:snapToGrid w:val="0"/>
                <w:color w:val="auto"/>
                <w:kern w:val="0"/>
                <w:sz w:val="24"/>
                <w:szCs w:val="24"/>
                <w:highlight w:val="none"/>
              </w:rPr>
              <w:t>基期值</w:t>
            </w:r>
          </w:p>
        </w:tc>
        <w:tc>
          <w:tcPr>
            <w:tcW w:w="999" w:type="dxa"/>
            <w:tcBorders>
              <w:tl2br w:val="nil"/>
              <w:tr2bl w:val="nil"/>
            </w:tcBorders>
            <w:noWrap w:val="0"/>
            <w:vAlign w:val="center"/>
          </w:tcPr>
          <w:p w14:paraId="0FCDC342">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b w:val="0"/>
                <w:snapToGrid w:val="0"/>
                <w:color w:val="auto"/>
                <w:kern w:val="0"/>
                <w:sz w:val="24"/>
                <w:szCs w:val="24"/>
                <w:highlight w:val="none"/>
              </w:rPr>
              <w:t>规划值</w:t>
            </w:r>
          </w:p>
        </w:tc>
        <w:tc>
          <w:tcPr>
            <w:tcW w:w="1037" w:type="dxa"/>
            <w:vMerge w:val="restart"/>
            <w:tcBorders>
              <w:tl2br w:val="nil"/>
              <w:tr2bl w:val="nil"/>
            </w:tcBorders>
            <w:noWrap w:val="0"/>
            <w:vAlign w:val="center"/>
          </w:tcPr>
          <w:p w14:paraId="453C4360">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eastAsia="zh-CN"/>
              </w:rPr>
            </w:pPr>
            <w:r>
              <w:rPr>
                <w:rFonts w:hint="eastAsia" w:ascii="仿宋_GB2312" w:hAnsi="仿宋_GB2312" w:eastAsia="仿宋_GB2312" w:cs="仿宋_GB2312"/>
                <w:b w:val="0"/>
                <w:snapToGrid w:val="0"/>
                <w:color w:val="auto"/>
                <w:kern w:val="0"/>
                <w:sz w:val="24"/>
                <w:szCs w:val="24"/>
                <w:highlight w:val="none"/>
                <w:lang w:val="en-US" w:eastAsia="zh-CN"/>
              </w:rPr>
              <w:t>备注</w:t>
            </w:r>
          </w:p>
        </w:tc>
      </w:tr>
      <w:tr w14:paraId="5657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586" w:type="dxa"/>
            <w:vMerge w:val="continue"/>
            <w:tcBorders>
              <w:tl2br w:val="nil"/>
              <w:tr2bl w:val="nil"/>
            </w:tcBorders>
            <w:noWrap w:val="0"/>
            <w:vAlign w:val="center"/>
          </w:tcPr>
          <w:p w14:paraId="26495E49">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rPr>
            </w:pPr>
          </w:p>
        </w:tc>
        <w:tc>
          <w:tcPr>
            <w:tcW w:w="4115" w:type="dxa"/>
            <w:gridSpan w:val="2"/>
            <w:vMerge w:val="continue"/>
            <w:tcBorders>
              <w:tl2br w:val="nil"/>
              <w:tr2bl w:val="nil"/>
            </w:tcBorders>
            <w:noWrap w:val="0"/>
            <w:vAlign w:val="center"/>
          </w:tcPr>
          <w:p w14:paraId="64317289">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rPr>
            </w:pPr>
          </w:p>
        </w:tc>
        <w:tc>
          <w:tcPr>
            <w:tcW w:w="929" w:type="dxa"/>
            <w:vMerge w:val="continue"/>
            <w:tcBorders>
              <w:tl2br w:val="nil"/>
              <w:tr2bl w:val="nil"/>
            </w:tcBorders>
            <w:noWrap w:val="0"/>
            <w:vAlign w:val="center"/>
          </w:tcPr>
          <w:p w14:paraId="0C273E7E">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rPr>
            </w:pPr>
          </w:p>
        </w:tc>
        <w:tc>
          <w:tcPr>
            <w:tcW w:w="1014" w:type="dxa"/>
            <w:tcBorders>
              <w:tl2br w:val="nil"/>
              <w:tr2bl w:val="nil"/>
            </w:tcBorders>
            <w:noWrap w:val="0"/>
            <w:vAlign w:val="center"/>
          </w:tcPr>
          <w:p w14:paraId="1CC43E53">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b w:val="0"/>
                <w:snapToGrid w:val="0"/>
                <w:color w:val="auto"/>
                <w:kern w:val="0"/>
                <w:sz w:val="24"/>
                <w:szCs w:val="24"/>
                <w:highlight w:val="none"/>
              </w:rPr>
              <w:t>202</w:t>
            </w:r>
            <w:r>
              <w:rPr>
                <w:rFonts w:hint="eastAsia" w:ascii="仿宋_GB2312" w:hAnsi="仿宋_GB2312" w:eastAsia="仿宋_GB2312" w:cs="仿宋_GB2312"/>
                <w:b w:val="0"/>
                <w:snapToGrid w:val="0"/>
                <w:color w:val="auto"/>
                <w:kern w:val="0"/>
                <w:sz w:val="24"/>
                <w:szCs w:val="24"/>
                <w:highlight w:val="none"/>
                <w:lang w:val="en-US" w:eastAsia="zh-CN"/>
              </w:rPr>
              <w:t>5</w:t>
            </w:r>
            <w:r>
              <w:rPr>
                <w:rFonts w:hint="eastAsia" w:ascii="仿宋_GB2312" w:hAnsi="仿宋_GB2312" w:eastAsia="仿宋_GB2312" w:cs="仿宋_GB2312"/>
                <w:b w:val="0"/>
                <w:snapToGrid w:val="0"/>
                <w:color w:val="auto"/>
                <w:kern w:val="0"/>
                <w:sz w:val="24"/>
                <w:szCs w:val="24"/>
                <w:highlight w:val="none"/>
              </w:rPr>
              <w:t>年</w:t>
            </w:r>
          </w:p>
        </w:tc>
        <w:tc>
          <w:tcPr>
            <w:tcW w:w="999" w:type="dxa"/>
            <w:tcBorders>
              <w:tl2br w:val="nil"/>
              <w:tr2bl w:val="nil"/>
            </w:tcBorders>
            <w:noWrap w:val="0"/>
            <w:vAlign w:val="center"/>
          </w:tcPr>
          <w:p w14:paraId="2B87AC3D">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b w:val="0"/>
                <w:snapToGrid w:val="0"/>
                <w:color w:val="auto"/>
                <w:kern w:val="0"/>
                <w:sz w:val="24"/>
                <w:szCs w:val="24"/>
                <w:highlight w:val="none"/>
              </w:rPr>
              <w:t>20</w:t>
            </w:r>
            <w:r>
              <w:rPr>
                <w:rFonts w:hint="eastAsia" w:ascii="仿宋_GB2312" w:hAnsi="仿宋_GB2312" w:eastAsia="仿宋_GB2312" w:cs="仿宋_GB2312"/>
                <w:b w:val="0"/>
                <w:snapToGrid w:val="0"/>
                <w:color w:val="auto"/>
                <w:kern w:val="0"/>
                <w:sz w:val="24"/>
                <w:szCs w:val="24"/>
                <w:highlight w:val="none"/>
                <w:lang w:val="en-US" w:eastAsia="zh-CN"/>
              </w:rPr>
              <w:t>30</w:t>
            </w:r>
            <w:r>
              <w:rPr>
                <w:rFonts w:hint="eastAsia" w:ascii="仿宋_GB2312" w:hAnsi="仿宋_GB2312" w:eastAsia="仿宋_GB2312" w:cs="仿宋_GB2312"/>
                <w:b w:val="0"/>
                <w:snapToGrid w:val="0"/>
                <w:color w:val="auto"/>
                <w:kern w:val="0"/>
                <w:sz w:val="24"/>
                <w:szCs w:val="24"/>
                <w:highlight w:val="none"/>
              </w:rPr>
              <w:t>年</w:t>
            </w:r>
          </w:p>
        </w:tc>
        <w:tc>
          <w:tcPr>
            <w:tcW w:w="1037" w:type="dxa"/>
            <w:vMerge w:val="continue"/>
            <w:tcBorders>
              <w:tl2br w:val="nil"/>
              <w:tr2bl w:val="nil"/>
            </w:tcBorders>
            <w:noWrap w:val="0"/>
            <w:vAlign w:val="center"/>
          </w:tcPr>
          <w:p w14:paraId="08FD7136">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rPr>
            </w:pPr>
          </w:p>
        </w:tc>
      </w:tr>
      <w:tr w14:paraId="2209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86" w:type="dxa"/>
            <w:tcBorders>
              <w:tl2br w:val="nil"/>
              <w:tr2bl w:val="nil"/>
            </w:tcBorders>
            <w:noWrap w:val="0"/>
            <w:vAlign w:val="center"/>
          </w:tcPr>
          <w:p w14:paraId="7CA8B376">
            <w:pPr>
              <w:keepNext/>
              <w:keepLines w:val="0"/>
              <w:pageBreakBefore w:val="0"/>
              <w:widowControl w:val="0"/>
              <w:numPr>
                <w:ilvl w:val="0"/>
                <w:numId w:val="0"/>
              </w:numPr>
              <w:suppressLineNumbers w:val="0"/>
              <w:kinsoku/>
              <w:wordWrap/>
              <w:topLinePunct w:val="0"/>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2"/>
                <w:sz w:val="24"/>
                <w:szCs w:val="24"/>
                <w:highlight w:val="none"/>
                <w:lang w:val="en-US" w:eastAsia="zh-CN" w:bidi="ar-SA"/>
              </w:rPr>
            </w:pPr>
            <w:r>
              <w:rPr>
                <w:rFonts w:hint="eastAsia" w:ascii="仿宋_GB2312" w:hAnsi="仿宋_GB2312" w:eastAsia="仿宋_GB2312" w:cs="仿宋_GB2312"/>
                <w:b w:val="0"/>
                <w:snapToGrid w:val="0"/>
                <w:color w:val="auto"/>
                <w:kern w:val="2"/>
                <w:sz w:val="24"/>
                <w:szCs w:val="24"/>
                <w:highlight w:val="none"/>
                <w:lang w:val="en-US" w:eastAsia="zh-CN" w:bidi="ar-SA"/>
              </w:rPr>
              <w:t>1</w:t>
            </w:r>
          </w:p>
        </w:tc>
        <w:tc>
          <w:tcPr>
            <w:tcW w:w="1229" w:type="dxa"/>
            <w:tcBorders>
              <w:tl2br w:val="nil"/>
              <w:tr2bl w:val="nil"/>
            </w:tcBorders>
            <w:noWrap w:val="0"/>
            <w:vAlign w:val="center"/>
          </w:tcPr>
          <w:p w14:paraId="60E1AF50">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eastAsia="zh-CN"/>
              </w:rPr>
            </w:pPr>
            <w:r>
              <w:rPr>
                <w:rFonts w:hint="eastAsia" w:ascii="仿宋_GB2312" w:hAnsi="仿宋_GB2312" w:eastAsia="仿宋_GB2312" w:cs="仿宋_GB2312"/>
                <w:b w:val="0"/>
                <w:snapToGrid w:val="0"/>
                <w:color w:val="auto"/>
                <w:kern w:val="0"/>
                <w:sz w:val="24"/>
                <w:szCs w:val="24"/>
                <w:highlight w:val="none"/>
                <w:lang w:eastAsia="zh-CN"/>
              </w:rPr>
              <w:t>经营主体</w:t>
            </w:r>
          </w:p>
        </w:tc>
        <w:tc>
          <w:tcPr>
            <w:tcW w:w="2886" w:type="dxa"/>
            <w:tcBorders>
              <w:tl2br w:val="nil"/>
              <w:tr2bl w:val="nil"/>
            </w:tcBorders>
            <w:noWrap w:val="0"/>
            <w:vAlign w:val="center"/>
          </w:tcPr>
          <w:p w14:paraId="74B0E8AF">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left"/>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lang w:val="en-US" w:eastAsia="zh-CN"/>
              </w:rPr>
              <w:t>发展型个体工商户占比</w:t>
            </w:r>
          </w:p>
        </w:tc>
        <w:tc>
          <w:tcPr>
            <w:tcW w:w="929" w:type="dxa"/>
            <w:tcBorders>
              <w:tl2br w:val="nil"/>
              <w:tr2bl w:val="nil"/>
            </w:tcBorders>
            <w:noWrap w:val="0"/>
            <w:vAlign w:val="center"/>
          </w:tcPr>
          <w:p w14:paraId="218D8F66">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lang w:val="en-US" w:eastAsia="zh-CN"/>
              </w:rPr>
              <w:t>%</w:t>
            </w:r>
          </w:p>
        </w:tc>
        <w:tc>
          <w:tcPr>
            <w:tcW w:w="1014" w:type="dxa"/>
            <w:tcBorders>
              <w:tl2br w:val="nil"/>
              <w:tr2bl w:val="nil"/>
            </w:tcBorders>
            <w:noWrap w:val="0"/>
            <w:vAlign w:val="center"/>
          </w:tcPr>
          <w:p w14:paraId="64FEEB2F">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lang w:val="en-US" w:eastAsia="zh-CN" w:bidi="ar-SA"/>
              </w:rPr>
              <w:t>1.3</w:t>
            </w:r>
          </w:p>
        </w:tc>
        <w:tc>
          <w:tcPr>
            <w:tcW w:w="999" w:type="dxa"/>
            <w:tcBorders>
              <w:tl2br w:val="nil"/>
              <w:tr2bl w:val="nil"/>
            </w:tcBorders>
            <w:noWrap w:val="0"/>
            <w:vAlign w:val="center"/>
          </w:tcPr>
          <w:p w14:paraId="32CF3B5B">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lang w:val="en-US" w:eastAsia="zh-CN" w:bidi="ar-SA"/>
              </w:rPr>
              <w:t>1.8</w:t>
            </w:r>
          </w:p>
        </w:tc>
        <w:tc>
          <w:tcPr>
            <w:tcW w:w="1037" w:type="dxa"/>
            <w:tcBorders>
              <w:tl2br w:val="nil"/>
              <w:tr2bl w:val="nil"/>
            </w:tcBorders>
            <w:noWrap w:val="0"/>
            <w:vAlign w:val="center"/>
          </w:tcPr>
          <w:p w14:paraId="353D5D96">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b w:val="0"/>
                <w:snapToGrid w:val="0"/>
                <w:color w:val="auto"/>
                <w:kern w:val="0"/>
                <w:sz w:val="24"/>
                <w:szCs w:val="24"/>
                <w:highlight w:val="none"/>
                <w:lang w:val="en-US" w:eastAsia="zh-CN" w:bidi="ar-SA"/>
              </w:rPr>
              <w:t>预期性</w:t>
            </w:r>
          </w:p>
        </w:tc>
      </w:tr>
      <w:tr w14:paraId="0319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86" w:type="dxa"/>
            <w:tcBorders>
              <w:tl2br w:val="nil"/>
              <w:tr2bl w:val="nil"/>
            </w:tcBorders>
            <w:noWrap w:val="0"/>
            <w:vAlign w:val="center"/>
          </w:tcPr>
          <w:p w14:paraId="39EBBABA">
            <w:pPr>
              <w:keepNext/>
              <w:keepLines w:val="0"/>
              <w:pageBreakBefore w:val="0"/>
              <w:widowControl w:val="0"/>
              <w:numPr>
                <w:ilvl w:val="0"/>
                <w:numId w:val="0"/>
              </w:numPr>
              <w:suppressLineNumbers w:val="0"/>
              <w:kinsoku/>
              <w:wordWrap/>
              <w:topLinePunct w:val="0"/>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2"/>
                <w:sz w:val="24"/>
                <w:szCs w:val="24"/>
                <w:highlight w:val="none"/>
                <w:lang w:val="en-US" w:eastAsia="zh-CN" w:bidi="ar-SA"/>
              </w:rPr>
            </w:pPr>
            <w:r>
              <w:rPr>
                <w:rFonts w:hint="eastAsia" w:ascii="仿宋_GB2312" w:hAnsi="仿宋_GB2312" w:eastAsia="仿宋_GB2312" w:cs="仿宋_GB2312"/>
                <w:b w:val="0"/>
                <w:snapToGrid w:val="0"/>
                <w:color w:val="auto"/>
                <w:kern w:val="2"/>
                <w:sz w:val="24"/>
                <w:szCs w:val="24"/>
                <w:highlight w:val="none"/>
                <w:lang w:val="en-US" w:eastAsia="zh-CN" w:bidi="ar-SA"/>
              </w:rPr>
              <w:t>2</w:t>
            </w:r>
          </w:p>
        </w:tc>
        <w:tc>
          <w:tcPr>
            <w:tcW w:w="1229" w:type="dxa"/>
            <w:vMerge w:val="restart"/>
            <w:tcBorders>
              <w:tl2br w:val="nil"/>
              <w:tr2bl w:val="nil"/>
            </w:tcBorders>
            <w:noWrap w:val="0"/>
            <w:vAlign w:val="center"/>
          </w:tcPr>
          <w:p w14:paraId="2D7ED568">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eastAsia="zh-CN"/>
              </w:rPr>
            </w:pPr>
            <w:r>
              <w:rPr>
                <w:rFonts w:hint="eastAsia" w:ascii="仿宋_GB2312" w:hAnsi="仿宋_GB2312" w:eastAsia="仿宋_GB2312" w:cs="仿宋_GB2312"/>
                <w:b w:val="0"/>
                <w:snapToGrid w:val="0"/>
                <w:color w:val="auto"/>
                <w:kern w:val="0"/>
                <w:sz w:val="24"/>
                <w:szCs w:val="24"/>
                <w:highlight w:val="none"/>
                <w:lang w:eastAsia="zh-CN"/>
              </w:rPr>
              <w:t>基础支撑</w:t>
            </w:r>
          </w:p>
        </w:tc>
        <w:tc>
          <w:tcPr>
            <w:tcW w:w="2886" w:type="dxa"/>
            <w:tcBorders>
              <w:tl2br w:val="nil"/>
              <w:tr2bl w:val="nil"/>
            </w:tcBorders>
            <w:noWrap w:val="0"/>
            <w:vAlign w:val="center"/>
          </w:tcPr>
          <w:p w14:paraId="2C9276E2">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rPr>
              <w:t>社会公用计量标准</w:t>
            </w:r>
          </w:p>
        </w:tc>
        <w:tc>
          <w:tcPr>
            <w:tcW w:w="929" w:type="dxa"/>
            <w:tcBorders>
              <w:tl2br w:val="nil"/>
              <w:tr2bl w:val="nil"/>
            </w:tcBorders>
            <w:noWrap w:val="0"/>
            <w:vAlign w:val="center"/>
          </w:tcPr>
          <w:p w14:paraId="7D4585BA">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rPr>
              <w:t>项</w:t>
            </w:r>
          </w:p>
        </w:tc>
        <w:tc>
          <w:tcPr>
            <w:tcW w:w="1014" w:type="dxa"/>
            <w:tcBorders>
              <w:tl2br w:val="nil"/>
              <w:tr2bl w:val="nil"/>
            </w:tcBorders>
            <w:noWrap w:val="0"/>
            <w:vAlign w:val="center"/>
          </w:tcPr>
          <w:p w14:paraId="3804D547">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lang w:val="en-US" w:eastAsia="zh-CN" w:bidi="ar-SA"/>
              </w:rPr>
              <w:t>249</w:t>
            </w:r>
          </w:p>
        </w:tc>
        <w:tc>
          <w:tcPr>
            <w:tcW w:w="999" w:type="dxa"/>
            <w:tcBorders>
              <w:tl2br w:val="nil"/>
              <w:tr2bl w:val="nil"/>
            </w:tcBorders>
            <w:noWrap w:val="0"/>
            <w:vAlign w:val="center"/>
          </w:tcPr>
          <w:p w14:paraId="7118A42F">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lang w:val="en-US" w:eastAsia="zh-CN" w:bidi="ar-SA"/>
              </w:rPr>
              <w:t>300</w:t>
            </w:r>
          </w:p>
        </w:tc>
        <w:tc>
          <w:tcPr>
            <w:tcW w:w="1037" w:type="dxa"/>
            <w:tcBorders>
              <w:tl2br w:val="nil"/>
              <w:tr2bl w:val="nil"/>
            </w:tcBorders>
            <w:noWrap w:val="0"/>
            <w:vAlign w:val="center"/>
          </w:tcPr>
          <w:p w14:paraId="594E8C35">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lang w:val="en-US" w:eastAsia="zh-CN" w:bidi="ar-SA"/>
              </w:rPr>
              <w:t>预期性</w:t>
            </w:r>
          </w:p>
        </w:tc>
      </w:tr>
      <w:tr w14:paraId="19E5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86" w:type="dxa"/>
            <w:tcBorders>
              <w:tl2br w:val="nil"/>
              <w:tr2bl w:val="nil"/>
            </w:tcBorders>
            <w:noWrap w:val="0"/>
            <w:vAlign w:val="center"/>
          </w:tcPr>
          <w:p w14:paraId="512B3FD7">
            <w:pPr>
              <w:keepNext/>
              <w:keepLines w:val="0"/>
              <w:pageBreakBefore w:val="0"/>
              <w:widowControl w:val="0"/>
              <w:numPr>
                <w:ilvl w:val="0"/>
                <w:numId w:val="0"/>
              </w:numPr>
              <w:suppressLineNumbers w:val="0"/>
              <w:kinsoku/>
              <w:wordWrap/>
              <w:topLinePunct w:val="0"/>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2"/>
                <w:sz w:val="24"/>
                <w:szCs w:val="24"/>
                <w:highlight w:val="none"/>
                <w:lang w:val="en-US" w:eastAsia="zh-CN" w:bidi="ar-SA"/>
              </w:rPr>
            </w:pPr>
            <w:r>
              <w:rPr>
                <w:rFonts w:hint="eastAsia" w:ascii="仿宋_GB2312" w:hAnsi="仿宋_GB2312" w:eastAsia="仿宋_GB2312" w:cs="仿宋_GB2312"/>
                <w:b w:val="0"/>
                <w:snapToGrid w:val="0"/>
                <w:color w:val="auto"/>
                <w:kern w:val="2"/>
                <w:sz w:val="24"/>
                <w:szCs w:val="24"/>
                <w:highlight w:val="none"/>
                <w:lang w:val="en-US" w:eastAsia="zh-CN" w:bidi="ar-SA"/>
              </w:rPr>
              <w:t>3</w:t>
            </w:r>
          </w:p>
        </w:tc>
        <w:tc>
          <w:tcPr>
            <w:tcW w:w="1229" w:type="dxa"/>
            <w:vMerge w:val="continue"/>
            <w:tcBorders>
              <w:tl2br w:val="nil"/>
              <w:tr2bl w:val="nil"/>
            </w:tcBorders>
            <w:noWrap w:val="0"/>
            <w:vAlign w:val="center"/>
          </w:tcPr>
          <w:p w14:paraId="5FA8749B">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rPr>
            </w:pPr>
          </w:p>
        </w:tc>
        <w:tc>
          <w:tcPr>
            <w:tcW w:w="2886" w:type="dxa"/>
            <w:tcBorders>
              <w:tl2br w:val="nil"/>
              <w:tr2bl w:val="nil"/>
            </w:tcBorders>
            <w:noWrap w:val="0"/>
            <w:vAlign w:val="center"/>
          </w:tcPr>
          <w:p w14:paraId="65E6491F">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rPr>
              <w:t>主导或</w:t>
            </w:r>
            <w:r>
              <w:rPr>
                <w:rFonts w:hint="eastAsia" w:ascii="仿宋_GB2312" w:hAnsi="仿宋_GB2312" w:eastAsia="仿宋_GB2312" w:cs="仿宋_GB2312"/>
                <w:b w:val="0"/>
                <w:snapToGrid w:val="0"/>
                <w:color w:val="auto"/>
                <w:kern w:val="0"/>
                <w:sz w:val="24"/>
                <w:szCs w:val="24"/>
                <w:highlight w:val="none"/>
                <w:lang w:eastAsia="zh-CN"/>
              </w:rPr>
              <w:t>协助</w:t>
            </w:r>
            <w:r>
              <w:rPr>
                <w:rFonts w:hint="eastAsia" w:ascii="仿宋_GB2312" w:hAnsi="仿宋_GB2312" w:eastAsia="仿宋_GB2312" w:cs="仿宋_GB2312"/>
                <w:b w:val="0"/>
                <w:snapToGrid w:val="0"/>
                <w:color w:val="auto"/>
                <w:kern w:val="0"/>
                <w:sz w:val="24"/>
                <w:szCs w:val="24"/>
                <w:highlight w:val="none"/>
              </w:rPr>
              <w:t>国际标准</w:t>
            </w:r>
            <w:r>
              <w:rPr>
                <w:rFonts w:hint="eastAsia" w:ascii="仿宋_GB2312" w:hAnsi="仿宋_GB2312" w:eastAsia="仿宋_GB2312" w:cs="仿宋_GB2312"/>
                <w:b w:val="0"/>
                <w:snapToGrid w:val="0"/>
                <w:color w:val="auto"/>
                <w:kern w:val="0"/>
                <w:sz w:val="24"/>
                <w:szCs w:val="24"/>
                <w:highlight w:val="none"/>
                <w:lang w:eastAsia="zh-CN"/>
              </w:rPr>
              <w:t>和国外先进标准制修订</w:t>
            </w:r>
          </w:p>
        </w:tc>
        <w:tc>
          <w:tcPr>
            <w:tcW w:w="929" w:type="dxa"/>
            <w:tcBorders>
              <w:tl2br w:val="nil"/>
              <w:tr2bl w:val="nil"/>
            </w:tcBorders>
            <w:noWrap w:val="0"/>
            <w:vAlign w:val="center"/>
          </w:tcPr>
          <w:p w14:paraId="6E7133DD">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rPr>
              <w:t>项</w:t>
            </w:r>
          </w:p>
        </w:tc>
        <w:tc>
          <w:tcPr>
            <w:tcW w:w="1014" w:type="dxa"/>
            <w:tcBorders>
              <w:tl2br w:val="nil"/>
              <w:tr2bl w:val="nil"/>
            </w:tcBorders>
            <w:noWrap w:val="0"/>
            <w:vAlign w:val="center"/>
          </w:tcPr>
          <w:p w14:paraId="1711BADD">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u w:val="none"/>
                <w:lang w:val="en-US" w:eastAsia="zh-CN"/>
              </w:rPr>
              <w:t>3</w:t>
            </w:r>
          </w:p>
        </w:tc>
        <w:tc>
          <w:tcPr>
            <w:tcW w:w="999" w:type="dxa"/>
            <w:tcBorders>
              <w:tl2br w:val="nil"/>
              <w:tr2bl w:val="nil"/>
            </w:tcBorders>
            <w:noWrap w:val="0"/>
            <w:vAlign w:val="center"/>
          </w:tcPr>
          <w:p w14:paraId="5E6C4F1C">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u w:val="none"/>
                <w:lang w:val="en-US" w:eastAsia="zh-CN"/>
              </w:rPr>
              <w:t>5</w:t>
            </w:r>
          </w:p>
        </w:tc>
        <w:tc>
          <w:tcPr>
            <w:tcW w:w="1037" w:type="dxa"/>
            <w:tcBorders>
              <w:tl2br w:val="nil"/>
              <w:tr2bl w:val="nil"/>
            </w:tcBorders>
            <w:noWrap w:val="0"/>
            <w:vAlign w:val="center"/>
          </w:tcPr>
          <w:p w14:paraId="6B9B56DC">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lang w:val="en-US" w:eastAsia="zh-CN" w:bidi="ar-SA"/>
              </w:rPr>
              <w:t>预期性</w:t>
            </w:r>
          </w:p>
        </w:tc>
      </w:tr>
      <w:tr w14:paraId="68D6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86" w:type="dxa"/>
            <w:tcBorders>
              <w:tl2br w:val="nil"/>
              <w:tr2bl w:val="nil"/>
            </w:tcBorders>
            <w:noWrap w:val="0"/>
            <w:vAlign w:val="center"/>
          </w:tcPr>
          <w:p w14:paraId="70F35A8C">
            <w:pPr>
              <w:keepNext/>
              <w:keepLines w:val="0"/>
              <w:pageBreakBefore w:val="0"/>
              <w:widowControl w:val="0"/>
              <w:numPr>
                <w:ilvl w:val="0"/>
                <w:numId w:val="0"/>
              </w:numPr>
              <w:suppressLineNumbers w:val="0"/>
              <w:kinsoku/>
              <w:wordWrap/>
              <w:topLinePunct w:val="0"/>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2"/>
                <w:sz w:val="24"/>
                <w:szCs w:val="24"/>
                <w:highlight w:val="none"/>
                <w:lang w:val="en-US" w:eastAsia="zh-CN" w:bidi="ar-SA"/>
              </w:rPr>
            </w:pPr>
            <w:r>
              <w:rPr>
                <w:rFonts w:hint="eastAsia" w:ascii="仿宋_GB2312" w:hAnsi="仿宋_GB2312" w:eastAsia="仿宋_GB2312" w:cs="仿宋_GB2312"/>
                <w:b w:val="0"/>
                <w:snapToGrid w:val="0"/>
                <w:color w:val="auto"/>
                <w:kern w:val="2"/>
                <w:sz w:val="24"/>
                <w:szCs w:val="24"/>
                <w:highlight w:val="none"/>
                <w:lang w:val="en-US" w:eastAsia="zh-CN" w:bidi="ar-SA"/>
              </w:rPr>
              <w:t>4</w:t>
            </w:r>
          </w:p>
        </w:tc>
        <w:tc>
          <w:tcPr>
            <w:tcW w:w="1229" w:type="dxa"/>
            <w:vMerge w:val="continue"/>
            <w:tcBorders>
              <w:tl2br w:val="nil"/>
              <w:tr2bl w:val="nil"/>
            </w:tcBorders>
            <w:noWrap w:val="0"/>
            <w:vAlign w:val="center"/>
          </w:tcPr>
          <w:p w14:paraId="7EEDB70A">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rPr>
            </w:pPr>
          </w:p>
        </w:tc>
        <w:tc>
          <w:tcPr>
            <w:tcW w:w="2886" w:type="dxa"/>
            <w:tcBorders>
              <w:tl2br w:val="nil"/>
              <w:tr2bl w:val="nil"/>
            </w:tcBorders>
            <w:noWrap w:val="0"/>
            <w:vAlign w:val="center"/>
          </w:tcPr>
          <w:p w14:paraId="46D2ABD1">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rPr>
              <w:t>主导或</w:t>
            </w:r>
            <w:r>
              <w:rPr>
                <w:rFonts w:hint="eastAsia" w:ascii="仿宋_GB2312" w:hAnsi="仿宋_GB2312" w:eastAsia="仿宋_GB2312" w:cs="仿宋_GB2312"/>
                <w:b w:val="0"/>
                <w:snapToGrid w:val="0"/>
                <w:color w:val="auto"/>
                <w:kern w:val="0"/>
                <w:sz w:val="24"/>
                <w:szCs w:val="24"/>
                <w:highlight w:val="none"/>
                <w:lang w:val="en-US" w:eastAsia="zh-CN"/>
              </w:rPr>
              <w:t>协助</w:t>
            </w:r>
            <w:r>
              <w:rPr>
                <w:rFonts w:hint="eastAsia" w:ascii="仿宋_GB2312" w:hAnsi="仿宋_GB2312" w:eastAsia="仿宋_GB2312" w:cs="仿宋_GB2312"/>
                <w:b w:val="0"/>
                <w:snapToGrid w:val="0"/>
                <w:color w:val="auto"/>
                <w:kern w:val="0"/>
                <w:sz w:val="24"/>
                <w:szCs w:val="24"/>
                <w:highlight w:val="none"/>
              </w:rPr>
              <w:t>国家标准</w:t>
            </w:r>
            <w:r>
              <w:rPr>
                <w:rFonts w:hint="eastAsia" w:ascii="仿宋_GB2312" w:hAnsi="仿宋_GB2312" w:eastAsia="仿宋_GB2312" w:cs="仿宋_GB2312"/>
                <w:b w:val="0"/>
                <w:snapToGrid w:val="0"/>
                <w:color w:val="auto"/>
                <w:kern w:val="0"/>
                <w:sz w:val="24"/>
                <w:szCs w:val="24"/>
                <w:highlight w:val="none"/>
                <w:lang w:eastAsia="zh-CN"/>
              </w:rPr>
              <w:t>制修订</w:t>
            </w:r>
          </w:p>
        </w:tc>
        <w:tc>
          <w:tcPr>
            <w:tcW w:w="929" w:type="dxa"/>
            <w:tcBorders>
              <w:tl2br w:val="nil"/>
              <w:tr2bl w:val="nil"/>
            </w:tcBorders>
            <w:noWrap w:val="0"/>
            <w:vAlign w:val="center"/>
          </w:tcPr>
          <w:p w14:paraId="0C30DD66">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rPr>
              <w:t>项</w:t>
            </w:r>
          </w:p>
        </w:tc>
        <w:tc>
          <w:tcPr>
            <w:tcW w:w="1014" w:type="dxa"/>
            <w:tcBorders>
              <w:tl2br w:val="nil"/>
              <w:tr2bl w:val="nil"/>
            </w:tcBorders>
            <w:noWrap w:val="0"/>
            <w:vAlign w:val="center"/>
          </w:tcPr>
          <w:p w14:paraId="6AD598DD">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u w:val="none"/>
                <w:lang w:val="en-US" w:eastAsia="zh-CN"/>
              </w:rPr>
              <w:t>124</w:t>
            </w:r>
          </w:p>
        </w:tc>
        <w:tc>
          <w:tcPr>
            <w:tcW w:w="999" w:type="dxa"/>
            <w:tcBorders>
              <w:tl2br w:val="nil"/>
              <w:tr2bl w:val="nil"/>
            </w:tcBorders>
            <w:noWrap w:val="0"/>
            <w:vAlign w:val="center"/>
          </w:tcPr>
          <w:p w14:paraId="27B763E4">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color w:val="auto"/>
                <w:sz w:val="24"/>
                <w:szCs w:val="24"/>
                <w:u w:val="none"/>
                <w:lang w:val="en-US" w:eastAsia="zh-CN"/>
              </w:rPr>
              <w:t>129</w:t>
            </w:r>
          </w:p>
        </w:tc>
        <w:tc>
          <w:tcPr>
            <w:tcW w:w="1037" w:type="dxa"/>
            <w:tcBorders>
              <w:tl2br w:val="nil"/>
              <w:tr2bl w:val="nil"/>
            </w:tcBorders>
            <w:noWrap w:val="0"/>
            <w:vAlign w:val="center"/>
          </w:tcPr>
          <w:p w14:paraId="6EB2CBFD">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lang w:val="en-US" w:eastAsia="zh-CN" w:bidi="ar-SA"/>
              </w:rPr>
              <w:t>预期性</w:t>
            </w:r>
          </w:p>
        </w:tc>
      </w:tr>
      <w:tr w14:paraId="3AFD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86" w:type="dxa"/>
            <w:tcBorders>
              <w:tl2br w:val="nil"/>
              <w:tr2bl w:val="nil"/>
            </w:tcBorders>
            <w:noWrap w:val="0"/>
            <w:vAlign w:val="center"/>
          </w:tcPr>
          <w:p w14:paraId="471C8395">
            <w:pPr>
              <w:keepNext/>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lang w:val="en-US" w:eastAsia="zh-CN" w:bidi="ar-SA"/>
              </w:rPr>
              <w:t>5</w:t>
            </w:r>
          </w:p>
        </w:tc>
        <w:tc>
          <w:tcPr>
            <w:tcW w:w="1229" w:type="dxa"/>
            <w:vMerge w:val="restart"/>
            <w:tcBorders>
              <w:tl2br w:val="nil"/>
              <w:tr2bl w:val="nil"/>
            </w:tcBorders>
            <w:noWrap w:val="0"/>
            <w:vAlign w:val="center"/>
          </w:tcPr>
          <w:p w14:paraId="1AEE852C">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eastAsia="zh-CN"/>
              </w:rPr>
            </w:pPr>
            <w:r>
              <w:rPr>
                <w:rFonts w:hint="eastAsia" w:ascii="仿宋_GB2312" w:hAnsi="仿宋_GB2312" w:eastAsia="仿宋_GB2312" w:cs="仿宋_GB2312"/>
                <w:b w:val="0"/>
                <w:snapToGrid w:val="0"/>
                <w:color w:val="auto"/>
                <w:kern w:val="0"/>
                <w:sz w:val="24"/>
                <w:szCs w:val="24"/>
                <w:highlight w:val="none"/>
                <w:lang w:eastAsia="zh-CN"/>
              </w:rPr>
              <w:t>质量发展</w:t>
            </w:r>
          </w:p>
        </w:tc>
        <w:tc>
          <w:tcPr>
            <w:tcW w:w="2886" w:type="dxa"/>
            <w:tcBorders>
              <w:tl2br w:val="nil"/>
              <w:tr2bl w:val="nil"/>
            </w:tcBorders>
            <w:noWrap w:val="0"/>
            <w:vAlign w:val="center"/>
          </w:tcPr>
          <w:p w14:paraId="7AB0BB10">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主导或协助“湾区标准”制定</w:t>
            </w:r>
          </w:p>
        </w:tc>
        <w:tc>
          <w:tcPr>
            <w:tcW w:w="929" w:type="dxa"/>
            <w:tcBorders>
              <w:tl2br w:val="nil"/>
              <w:tr2bl w:val="nil"/>
            </w:tcBorders>
            <w:noWrap w:val="0"/>
            <w:vAlign w:val="center"/>
          </w:tcPr>
          <w:p w14:paraId="247BAC88">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项</w:t>
            </w:r>
          </w:p>
        </w:tc>
        <w:tc>
          <w:tcPr>
            <w:tcW w:w="1014" w:type="dxa"/>
            <w:tcBorders>
              <w:tl2br w:val="nil"/>
              <w:tr2bl w:val="nil"/>
            </w:tcBorders>
            <w:noWrap w:val="0"/>
            <w:vAlign w:val="center"/>
          </w:tcPr>
          <w:p w14:paraId="53E1C6A5">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color w:val="auto"/>
                <w:sz w:val="24"/>
                <w:szCs w:val="24"/>
                <w:u w:val="none"/>
                <w:lang w:val="en-US" w:eastAsia="zh-CN"/>
              </w:rPr>
              <w:t>23</w:t>
            </w:r>
          </w:p>
        </w:tc>
        <w:tc>
          <w:tcPr>
            <w:tcW w:w="999" w:type="dxa"/>
            <w:tcBorders>
              <w:tl2br w:val="nil"/>
              <w:tr2bl w:val="nil"/>
            </w:tcBorders>
            <w:noWrap w:val="0"/>
            <w:vAlign w:val="center"/>
          </w:tcPr>
          <w:p w14:paraId="13A39710">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color w:val="auto"/>
                <w:sz w:val="24"/>
                <w:szCs w:val="24"/>
                <w:u w:val="none"/>
                <w:lang w:val="en-US" w:eastAsia="zh-CN"/>
              </w:rPr>
              <w:t>27</w:t>
            </w:r>
          </w:p>
        </w:tc>
        <w:tc>
          <w:tcPr>
            <w:tcW w:w="1037" w:type="dxa"/>
            <w:tcBorders>
              <w:tl2br w:val="nil"/>
              <w:tr2bl w:val="nil"/>
            </w:tcBorders>
            <w:noWrap w:val="0"/>
            <w:vAlign w:val="center"/>
          </w:tcPr>
          <w:p w14:paraId="06E9BED5">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bidi="ar-SA"/>
              </w:rPr>
              <w:t>预期性</w:t>
            </w:r>
          </w:p>
        </w:tc>
      </w:tr>
      <w:tr w14:paraId="7BCA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86" w:type="dxa"/>
            <w:tcBorders>
              <w:tl2br w:val="nil"/>
              <w:tr2bl w:val="nil"/>
            </w:tcBorders>
            <w:noWrap w:val="0"/>
            <w:vAlign w:val="center"/>
          </w:tcPr>
          <w:p w14:paraId="6240811A">
            <w:pPr>
              <w:keepNext/>
              <w:keepLines w:val="0"/>
              <w:pageBreakBefore w:val="0"/>
              <w:widowControl w:val="0"/>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lang w:val="en-US" w:eastAsia="zh-CN" w:bidi="ar-SA"/>
              </w:rPr>
              <w:t>6</w:t>
            </w:r>
          </w:p>
        </w:tc>
        <w:tc>
          <w:tcPr>
            <w:tcW w:w="1229" w:type="dxa"/>
            <w:vMerge w:val="continue"/>
            <w:tcBorders>
              <w:tl2br w:val="nil"/>
              <w:tr2bl w:val="nil"/>
            </w:tcBorders>
            <w:noWrap w:val="0"/>
            <w:vAlign w:val="center"/>
          </w:tcPr>
          <w:p w14:paraId="0329AF3F">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rPr>
            </w:pPr>
          </w:p>
        </w:tc>
        <w:tc>
          <w:tcPr>
            <w:tcW w:w="2886" w:type="dxa"/>
            <w:tcBorders>
              <w:tl2br w:val="nil"/>
              <w:tr2bl w:val="nil"/>
            </w:tcBorders>
            <w:noWrap w:val="0"/>
            <w:vAlign w:val="center"/>
          </w:tcPr>
          <w:p w14:paraId="74B10DB2">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质量基础设施“一站式”服务平台服务企业数</w:t>
            </w:r>
          </w:p>
        </w:tc>
        <w:tc>
          <w:tcPr>
            <w:tcW w:w="929" w:type="dxa"/>
            <w:tcBorders>
              <w:tl2br w:val="nil"/>
              <w:tr2bl w:val="nil"/>
            </w:tcBorders>
            <w:noWrap w:val="0"/>
            <w:vAlign w:val="center"/>
          </w:tcPr>
          <w:p w14:paraId="7A30DD50">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家次/年</w:t>
            </w:r>
          </w:p>
        </w:tc>
        <w:tc>
          <w:tcPr>
            <w:tcW w:w="1014" w:type="dxa"/>
            <w:tcBorders>
              <w:tl2br w:val="nil"/>
              <w:tr2bl w:val="nil"/>
            </w:tcBorders>
            <w:noWrap w:val="0"/>
            <w:vAlign w:val="center"/>
          </w:tcPr>
          <w:p w14:paraId="7B4C19C3">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1089</w:t>
            </w:r>
          </w:p>
        </w:tc>
        <w:tc>
          <w:tcPr>
            <w:tcW w:w="999" w:type="dxa"/>
            <w:tcBorders>
              <w:tl2br w:val="nil"/>
              <w:tr2bl w:val="nil"/>
            </w:tcBorders>
            <w:noWrap w:val="0"/>
            <w:vAlign w:val="center"/>
          </w:tcPr>
          <w:p w14:paraId="40ED5E2E">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1500</w:t>
            </w:r>
          </w:p>
        </w:tc>
        <w:tc>
          <w:tcPr>
            <w:tcW w:w="1037" w:type="dxa"/>
            <w:tcBorders>
              <w:tl2br w:val="nil"/>
              <w:tr2bl w:val="nil"/>
            </w:tcBorders>
            <w:noWrap w:val="0"/>
            <w:vAlign w:val="center"/>
          </w:tcPr>
          <w:p w14:paraId="1C759059">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0000FF"/>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bidi="ar-SA"/>
              </w:rPr>
              <w:t>预期性</w:t>
            </w:r>
          </w:p>
        </w:tc>
      </w:tr>
      <w:tr w14:paraId="01C3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86" w:type="dxa"/>
            <w:tcBorders>
              <w:tl2br w:val="nil"/>
              <w:tr2bl w:val="nil"/>
            </w:tcBorders>
            <w:noWrap w:val="0"/>
            <w:vAlign w:val="center"/>
          </w:tcPr>
          <w:p w14:paraId="6BE1DAF2">
            <w:pPr>
              <w:keepNext/>
              <w:keepLines w:val="0"/>
              <w:pageBreakBefore w:val="0"/>
              <w:widowControl w:val="0"/>
              <w:numPr>
                <w:ilvl w:val="0"/>
                <w:numId w:val="0"/>
              </w:numPr>
              <w:suppressLineNumbers w:val="0"/>
              <w:kinsoku/>
              <w:wordWrap/>
              <w:topLinePunct w:val="0"/>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i w:val="0"/>
                <w:iCs w:val="0"/>
                <w:color w:val="auto"/>
                <w:kern w:val="0"/>
                <w:sz w:val="24"/>
                <w:szCs w:val="24"/>
                <w:highlight w:val="none"/>
                <w:lang w:val="en-US" w:eastAsia="zh-CN" w:bidi="ar"/>
              </w:rPr>
              <w:t>7</w:t>
            </w:r>
          </w:p>
        </w:tc>
        <w:tc>
          <w:tcPr>
            <w:tcW w:w="1229" w:type="dxa"/>
            <w:vMerge w:val="restart"/>
            <w:tcBorders>
              <w:tl2br w:val="nil"/>
              <w:tr2bl w:val="nil"/>
            </w:tcBorders>
            <w:noWrap w:val="0"/>
            <w:vAlign w:val="center"/>
          </w:tcPr>
          <w:p w14:paraId="649D5BE1">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b w:val="0"/>
                <w:snapToGrid w:val="0"/>
                <w:color w:val="auto"/>
                <w:kern w:val="0"/>
                <w:sz w:val="24"/>
                <w:szCs w:val="24"/>
                <w:highlight w:val="none"/>
              </w:rPr>
              <w:t>市场秩序</w:t>
            </w:r>
          </w:p>
        </w:tc>
        <w:tc>
          <w:tcPr>
            <w:tcW w:w="2886" w:type="dxa"/>
            <w:tcBorders>
              <w:tl2br w:val="nil"/>
              <w:tr2bl w:val="nil"/>
            </w:tcBorders>
            <w:noWrap w:val="0"/>
            <w:vAlign w:val="center"/>
          </w:tcPr>
          <w:p w14:paraId="604514C7">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b w:val="0"/>
                <w:snapToGrid w:val="0"/>
                <w:color w:val="auto"/>
                <w:kern w:val="0"/>
                <w:sz w:val="24"/>
                <w:szCs w:val="24"/>
                <w:highlight w:val="none"/>
              </w:rPr>
              <w:t>公平竞争审查发现问题按期整改率</w:t>
            </w:r>
          </w:p>
        </w:tc>
        <w:tc>
          <w:tcPr>
            <w:tcW w:w="929" w:type="dxa"/>
            <w:tcBorders>
              <w:tl2br w:val="nil"/>
              <w:tr2bl w:val="nil"/>
            </w:tcBorders>
            <w:noWrap w:val="0"/>
            <w:vAlign w:val="center"/>
          </w:tcPr>
          <w:p w14:paraId="51559A2A">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shd w:val="clear" w:color="0A0000" w:fill="auto"/>
              </w:rPr>
            </w:pPr>
            <w:r>
              <w:rPr>
                <w:rFonts w:hint="eastAsia" w:ascii="仿宋_GB2312" w:hAnsi="仿宋_GB2312" w:eastAsia="仿宋_GB2312" w:cs="仿宋_GB2312"/>
                <w:b w:val="0"/>
                <w:snapToGrid w:val="0"/>
                <w:color w:val="auto"/>
                <w:kern w:val="0"/>
                <w:sz w:val="24"/>
                <w:szCs w:val="24"/>
                <w:highlight w:val="none"/>
                <w:shd w:val="clear" w:color="0A0000" w:fill="auto"/>
              </w:rPr>
              <w:t>%</w:t>
            </w:r>
          </w:p>
        </w:tc>
        <w:tc>
          <w:tcPr>
            <w:tcW w:w="1014" w:type="dxa"/>
            <w:tcBorders>
              <w:tl2br w:val="nil"/>
              <w:tr2bl w:val="nil"/>
            </w:tcBorders>
            <w:noWrap w:val="0"/>
            <w:vAlign w:val="center"/>
          </w:tcPr>
          <w:p w14:paraId="5A9BCA46">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80</w:t>
            </w:r>
          </w:p>
        </w:tc>
        <w:tc>
          <w:tcPr>
            <w:tcW w:w="999" w:type="dxa"/>
            <w:tcBorders>
              <w:tl2br w:val="nil"/>
              <w:tr2bl w:val="nil"/>
            </w:tcBorders>
            <w:noWrap w:val="0"/>
            <w:vAlign w:val="center"/>
          </w:tcPr>
          <w:p w14:paraId="259DBBF3">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≥90</w:t>
            </w:r>
          </w:p>
        </w:tc>
        <w:tc>
          <w:tcPr>
            <w:tcW w:w="1037" w:type="dxa"/>
            <w:tcBorders>
              <w:tl2br w:val="nil"/>
              <w:tr2bl w:val="nil"/>
            </w:tcBorders>
            <w:noWrap w:val="0"/>
            <w:vAlign w:val="center"/>
          </w:tcPr>
          <w:p w14:paraId="4E8CAA63">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bidi="ar-SA"/>
              </w:rPr>
              <w:t>预期性</w:t>
            </w:r>
          </w:p>
        </w:tc>
      </w:tr>
      <w:tr w14:paraId="0BE7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86" w:type="dxa"/>
            <w:tcBorders>
              <w:tl2br w:val="nil"/>
              <w:tr2bl w:val="nil"/>
            </w:tcBorders>
            <w:noWrap w:val="0"/>
            <w:vAlign w:val="center"/>
          </w:tcPr>
          <w:p w14:paraId="63DE285B">
            <w:pPr>
              <w:keepNext/>
              <w:keepLines w:val="0"/>
              <w:pageBreakBefore w:val="0"/>
              <w:widowControl w:val="0"/>
              <w:numPr>
                <w:ilvl w:val="0"/>
                <w:numId w:val="0"/>
              </w:numPr>
              <w:suppressLineNumbers w:val="0"/>
              <w:kinsoku/>
              <w:wordWrap/>
              <w:topLinePunct w:val="0"/>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lang w:val="en-US" w:eastAsia="zh-CN" w:bidi="ar"/>
              </w:rPr>
              <w:t>8</w:t>
            </w:r>
          </w:p>
        </w:tc>
        <w:tc>
          <w:tcPr>
            <w:tcW w:w="1229" w:type="dxa"/>
            <w:vMerge w:val="continue"/>
            <w:tcBorders>
              <w:tl2br w:val="nil"/>
              <w:tr2bl w:val="nil"/>
            </w:tcBorders>
            <w:noWrap w:val="0"/>
            <w:vAlign w:val="center"/>
          </w:tcPr>
          <w:p w14:paraId="11613EF4">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rPr>
            </w:pPr>
          </w:p>
        </w:tc>
        <w:tc>
          <w:tcPr>
            <w:tcW w:w="2886" w:type="dxa"/>
            <w:tcBorders>
              <w:tl2br w:val="nil"/>
              <w:tr2bl w:val="nil"/>
            </w:tcBorders>
            <w:noWrap w:val="0"/>
            <w:vAlign w:val="center"/>
          </w:tcPr>
          <w:p w14:paraId="5DDABACA">
            <w:pPr>
              <w:keepNext/>
              <w:keepLines w:val="0"/>
              <w:pageBreakBefore w:val="0"/>
              <w:tabs>
                <w:tab w:val="left" w:pos="954"/>
              </w:tabs>
              <w:kinsoku/>
              <w:wordWrap/>
              <w:overflowPunct w:val="0"/>
              <w:autoSpaceDE w:val="0"/>
              <w:autoSpaceDN w:val="0"/>
              <w:bidi w:val="0"/>
              <w:adjustRightInd w:val="0"/>
              <w:snapToGrid w:val="0"/>
              <w:spacing w:line="240" w:lineRule="auto"/>
              <w:ind w:left="0" w:leftChars="0" w:right="0" w:rightChars="0" w:firstLine="0" w:firstLineChars="0"/>
              <w:jc w:val="left"/>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lang w:val="zh-TW"/>
              </w:rPr>
              <w:t>企业信用风险分类结果在“双随机”抽查中应用率</w:t>
            </w:r>
          </w:p>
        </w:tc>
        <w:tc>
          <w:tcPr>
            <w:tcW w:w="929" w:type="dxa"/>
            <w:tcBorders>
              <w:tl2br w:val="nil"/>
              <w:tr2bl w:val="nil"/>
            </w:tcBorders>
            <w:noWrap w:val="0"/>
            <w:vAlign w:val="center"/>
          </w:tcPr>
          <w:p w14:paraId="2FDA821C">
            <w:pPr>
              <w:keepNext/>
              <w:keepLines w:val="0"/>
              <w:pageBreakBefore w:val="0"/>
              <w:tabs>
                <w:tab w:val="left" w:pos="954"/>
              </w:tabs>
              <w:kinsoku/>
              <w:wordWrap/>
              <w:overflow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shd w:val="clear" w:color="0A0000" w:fill="auto"/>
              </w:rPr>
            </w:pPr>
            <w:r>
              <w:rPr>
                <w:rFonts w:hint="eastAsia" w:ascii="仿宋_GB2312" w:hAnsi="仿宋_GB2312" w:eastAsia="仿宋_GB2312" w:cs="仿宋_GB2312"/>
                <w:b w:val="0"/>
                <w:snapToGrid w:val="0"/>
                <w:color w:val="auto"/>
                <w:kern w:val="0"/>
                <w:sz w:val="24"/>
                <w:szCs w:val="24"/>
                <w:highlight w:val="none"/>
                <w:shd w:val="clear" w:color="0A0000" w:fill="auto"/>
                <w:lang w:val="en-US" w:eastAsia="zh-CN"/>
              </w:rPr>
              <w:t>%</w:t>
            </w:r>
          </w:p>
        </w:tc>
        <w:tc>
          <w:tcPr>
            <w:tcW w:w="1014" w:type="dxa"/>
            <w:tcBorders>
              <w:tl2br w:val="nil"/>
              <w:tr2bl w:val="nil"/>
            </w:tcBorders>
            <w:noWrap w:val="0"/>
            <w:vAlign w:val="center"/>
          </w:tcPr>
          <w:p w14:paraId="59D43790">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w:t>
            </w:r>
          </w:p>
        </w:tc>
        <w:tc>
          <w:tcPr>
            <w:tcW w:w="999" w:type="dxa"/>
            <w:tcBorders>
              <w:tl2br w:val="nil"/>
              <w:tr2bl w:val="nil"/>
            </w:tcBorders>
            <w:noWrap w:val="0"/>
            <w:vAlign w:val="center"/>
          </w:tcPr>
          <w:p w14:paraId="66018733">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100</w:t>
            </w:r>
          </w:p>
        </w:tc>
        <w:tc>
          <w:tcPr>
            <w:tcW w:w="1037" w:type="dxa"/>
            <w:tcBorders>
              <w:tl2br w:val="nil"/>
              <w:tr2bl w:val="nil"/>
            </w:tcBorders>
            <w:noWrap w:val="0"/>
            <w:vAlign w:val="center"/>
          </w:tcPr>
          <w:p w14:paraId="051A84F6">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bidi="ar-SA"/>
              </w:rPr>
              <w:t>预期性</w:t>
            </w:r>
          </w:p>
        </w:tc>
      </w:tr>
      <w:tr w14:paraId="1583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86" w:type="dxa"/>
            <w:tcBorders>
              <w:tl2br w:val="nil"/>
              <w:tr2bl w:val="nil"/>
            </w:tcBorders>
            <w:noWrap w:val="0"/>
            <w:vAlign w:val="center"/>
          </w:tcPr>
          <w:p w14:paraId="6CCE5A06">
            <w:pPr>
              <w:keepNext/>
              <w:keepLines w:val="0"/>
              <w:pageBreakBefore w:val="0"/>
              <w:widowControl w:val="0"/>
              <w:numPr>
                <w:ilvl w:val="0"/>
                <w:numId w:val="0"/>
              </w:numPr>
              <w:suppressLineNumbers w:val="0"/>
              <w:kinsoku/>
              <w:wordWrap/>
              <w:topLinePunct w:val="0"/>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i w:val="0"/>
                <w:iCs w:val="0"/>
                <w:color w:val="auto"/>
                <w:kern w:val="0"/>
                <w:sz w:val="24"/>
                <w:szCs w:val="24"/>
                <w:highlight w:val="none"/>
                <w:lang w:val="en-US" w:eastAsia="zh-CN" w:bidi="ar"/>
              </w:rPr>
              <w:t>9</w:t>
            </w:r>
          </w:p>
        </w:tc>
        <w:tc>
          <w:tcPr>
            <w:tcW w:w="1229" w:type="dxa"/>
            <w:vMerge w:val="continue"/>
            <w:tcBorders>
              <w:tl2br w:val="nil"/>
              <w:tr2bl w:val="nil"/>
            </w:tcBorders>
            <w:noWrap w:val="0"/>
            <w:vAlign w:val="center"/>
          </w:tcPr>
          <w:p w14:paraId="5EAE3789">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rPr>
            </w:pPr>
          </w:p>
        </w:tc>
        <w:tc>
          <w:tcPr>
            <w:tcW w:w="2886" w:type="dxa"/>
            <w:tcBorders>
              <w:tl2br w:val="nil"/>
              <w:tr2bl w:val="nil"/>
            </w:tcBorders>
            <w:noWrap w:val="0"/>
            <w:vAlign w:val="center"/>
          </w:tcPr>
          <w:p w14:paraId="2D78BF2F">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left"/>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放心消费承诺和线下无理由退货承诺单位</w:t>
            </w:r>
          </w:p>
        </w:tc>
        <w:tc>
          <w:tcPr>
            <w:tcW w:w="929" w:type="dxa"/>
            <w:tcBorders>
              <w:tl2br w:val="nil"/>
              <w:tr2bl w:val="nil"/>
            </w:tcBorders>
            <w:noWrap w:val="0"/>
            <w:vAlign w:val="center"/>
          </w:tcPr>
          <w:p w14:paraId="50786033">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shd w:val="clear" w:color="0A0000" w:fill="auto"/>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家</w:t>
            </w:r>
          </w:p>
        </w:tc>
        <w:tc>
          <w:tcPr>
            <w:tcW w:w="1014" w:type="dxa"/>
            <w:tcBorders>
              <w:tl2br w:val="nil"/>
              <w:tr2bl w:val="nil"/>
            </w:tcBorders>
            <w:noWrap w:val="0"/>
            <w:vAlign w:val="center"/>
          </w:tcPr>
          <w:p w14:paraId="7EA1C8DC">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default"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1810</w:t>
            </w:r>
          </w:p>
        </w:tc>
        <w:tc>
          <w:tcPr>
            <w:tcW w:w="999" w:type="dxa"/>
            <w:tcBorders>
              <w:tl2br w:val="nil"/>
              <w:tr2bl w:val="nil"/>
            </w:tcBorders>
            <w:noWrap w:val="0"/>
            <w:vAlign w:val="center"/>
          </w:tcPr>
          <w:p w14:paraId="64006A42">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default"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2810</w:t>
            </w:r>
          </w:p>
        </w:tc>
        <w:tc>
          <w:tcPr>
            <w:tcW w:w="1037" w:type="dxa"/>
            <w:tcBorders>
              <w:tl2br w:val="nil"/>
              <w:tr2bl w:val="nil"/>
            </w:tcBorders>
            <w:noWrap w:val="0"/>
            <w:vAlign w:val="center"/>
          </w:tcPr>
          <w:p w14:paraId="25558AD1">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bidi="ar-SA"/>
              </w:rPr>
              <w:t>预期性</w:t>
            </w:r>
          </w:p>
        </w:tc>
      </w:tr>
      <w:tr w14:paraId="4D85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86" w:type="dxa"/>
            <w:tcBorders>
              <w:tl2br w:val="nil"/>
              <w:tr2bl w:val="nil"/>
            </w:tcBorders>
            <w:noWrap w:val="0"/>
            <w:vAlign w:val="center"/>
          </w:tcPr>
          <w:p w14:paraId="12493BA6">
            <w:pPr>
              <w:keepNext/>
              <w:keepLines w:val="0"/>
              <w:pageBreakBefore w:val="0"/>
              <w:widowControl w:val="0"/>
              <w:numPr>
                <w:ilvl w:val="0"/>
                <w:numId w:val="0"/>
              </w:numPr>
              <w:suppressLineNumbers w:val="0"/>
              <w:kinsoku/>
              <w:wordWrap/>
              <w:topLinePunct w:val="0"/>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i w:val="0"/>
                <w:iCs w:val="0"/>
                <w:color w:val="auto"/>
                <w:kern w:val="0"/>
                <w:sz w:val="24"/>
                <w:szCs w:val="24"/>
                <w:highlight w:val="none"/>
                <w:u w:val="none"/>
                <w:lang w:val="en-US" w:eastAsia="zh-CN" w:bidi="ar"/>
              </w:rPr>
            </w:pPr>
            <w:r>
              <w:rPr>
                <w:rFonts w:hint="eastAsia" w:ascii="仿宋_GB2312" w:hAnsi="仿宋_GB2312" w:eastAsia="仿宋_GB2312" w:cs="仿宋_GB2312"/>
                <w:b w:val="0"/>
                <w:snapToGrid w:val="0"/>
                <w:color w:val="auto"/>
                <w:kern w:val="2"/>
                <w:sz w:val="24"/>
                <w:szCs w:val="24"/>
                <w:highlight w:val="none"/>
                <w:lang w:val="en-US" w:eastAsia="zh-CN" w:bidi="ar-SA"/>
              </w:rPr>
              <w:t>10</w:t>
            </w:r>
          </w:p>
        </w:tc>
        <w:tc>
          <w:tcPr>
            <w:tcW w:w="1229" w:type="dxa"/>
            <w:vMerge w:val="restart"/>
            <w:tcBorders>
              <w:tl2br w:val="nil"/>
              <w:tr2bl w:val="nil"/>
            </w:tcBorders>
            <w:noWrap w:val="0"/>
            <w:vAlign w:val="center"/>
          </w:tcPr>
          <w:p w14:paraId="35286857">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b w:val="0"/>
                <w:snapToGrid w:val="0"/>
                <w:color w:val="auto"/>
                <w:kern w:val="0"/>
                <w:sz w:val="24"/>
                <w:szCs w:val="24"/>
                <w:highlight w:val="none"/>
              </w:rPr>
              <w:t>安全监管</w:t>
            </w:r>
          </w:p>
        </w:tc>
        <w:tc>
          <w:tcPr>
            <w:tcW w:w="2886" w:type="dxa"/>
            <w:tcBorders>
              <w:tl2br w:val="nil"/>
              <w:tr2bl w:val="nil"/>
            </w:tcBorders>
            <w:noWrap w:val="0"/>
            <w:vAlign w:val="center"/>
          </w:tcPr>
          <w:p w14:paraId="1F77BCCE">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eastAsia" w:ascii="仿宋_GB2312" w:hAnsi="仿宋_GB2312" w:eastAsia="仿宋_GB2312" w:cs="仿宋_GB2312"/>
                <w:b w:val="0"/>
                <w:snapToGrid w:val="0"/>
                <w:color w:val="auto"/>
                <w:kern w:val="0"/>
                <w:sz w:val="24"/>
                <w:szCs w:val="24"/>
                <w:highlight w:val="none"/>
                <w:lang w:val="zh-TW" w:eastAsia="zh-CN" w:bidi="ar-SA"/>
              </w:rPr>
            </w:pPr>
            <w:r>
              <w:rPr>
                <w:rFonts w:hint="eastAsia" w:ascii="仿宋_GB2312" w:hAnsi="仿宋_GB2312" w:eastAsia="仿宋_GB2312" w:cs="仿宋_GB2312"/>
                <w:b w:val="0"/>
                <w:snapToGrid w:val="0"/>
                <w:color w:val="auto"/>
                <w:kern w:val="0"/>
                <w:sz w:val="24"/>
                <w:szCs w:val="24"/>
                <w:highlight w:val="none"/>
              </w:rPr>
              <w:t>千人食品检验量</w:t>
            </w:r>
          </w:p>
        </w:tc>
        <w:tc>
          <w:tcPr>
            <w:tcW w:w="929" w:type="dxa"/>
            <w:tcBorders>
              <w:tl2br w:val="nil"/>
              <w:tr2bl w:val="nil"/>
            </w:tcBorders>
            <w:noWrap w:val="0"/>
            <w:vAlign w:val="center"/>
          </w:tcPr>
          <w:p w14:paraId="26B02055">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shd w:val="clear" w:color="0A0000" w:fill="auto"/>
              </w:rPr>
              <w:t>批次/千人</w:t>
            </w:r>
          </w:p>
        </w:tc>
        <w:tc>
          <w:tcPr>
            <w:tcW w:w="1014" w:type="dxa"/>
            <w:tcBorders>
              <w:tl2br w:val="nil"/>
              <w:tr2bl w:val="nil"/>
            </w:tcBorders>
            <w:noWrap w:val="0"/>
            <w:vAlign w:val="center"/>
          </w:tcPr>
          <w:p w14:paraId="73B6AF3F">
            <w:pPr>
              <w:keepNext/>
              <w:keepLines w:val="0"/>
              <w:pageBreakBefore w:val="0"/>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rPr>
              <w:t>6.5</w:t>
            </w:r>
          </w:p>
        </w:tc>
        <w:tc>
          <w:tcPr>
            <w:tcW w:w="999" w:type="dxa"/>
            <w:tcBorders>
              <w:tl2br w:val="nil"/>
              <w:tr2bl w:val="nil"/>
            </w:tcBorders>
            <w:noWrap w:val="0"/>
            <w:vAlign w:val="center"/>
          </w:tcPr>
          <w:p w14:paraId="76E3FDF3">
            <w:pPr>
              <w:keepNext/>
              <w:keepLines w:val="0"/>
              <w:pageBreakBefore w:val="0"/>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rPr>
              <w:t>≥6.7</w:t>
            </w:r>
          </w:p>
        </w:tc>
        <w:tc>
          <w:tcPr>
            <w:tcW w:w="1037" w:type="dxa"/>
            <w:tcBorders>
              <w:tl2br w:val="nil"/>
              <w:tr2bl w:val="nil"/>
            </w:tcBorders>
            <w:noWrap w:val="0"/>
            <w:vAlign w:val="center"/>
          </w:tcPr>
          <w:p w14:paraId="6B15B3AE">
            <w:pPr>
              <w:keepNext/>
              <w:keepLines w:val="0"/>
              <w:pageBreakBefore w:val="0"/>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lang w:val="en-US" w:eastAsia="zh-CN"/>
              </w:rPr>
              <w:t>约束性</w:t>
            </w:r>
          </w:p>
        </w:tc>
      </w:tr>
      <w:tr w14:paraId="1D34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86" w:type="dxa"/>
            <w:tcBorders>
              <w:tl2br w:val="nil"/>
              <w:tr2bl w:val="nil"/>
            </w:tcBorders>
            <w:noWrap w:val="0"/>
            <w:vAlign w:val="center"/>
          </w:tcPr>
          <w:p w14:paraId="69076913">
            <w:pPr>
              <w:keepNext/>
              <w:keepLines w:val="0"/>
              <w:pageBreakBefore w:val="0"/>
              <w:widowControl w:val="0"/>
              <w:numPr>
                <w:ilvl w:val="0"/>
                <w:numId w:val="0"/>
              </w:numPr>
              <w:suppressLineNumbers w:val="0"/>
              <w:kinsoku/>
              <w:wordWrap/>
              <w:topLinePunct w:val="0"/>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2"/>
                <w:sz w:val="24"/>
                <w:szCs w:val="24"/>
                <w:highlight w:val="none"/>
                <w:lang w:val="en-US" w:eastAsia="zh-CN" w:bidi="ar-SA"/>
              </w:rPr>
            </w:pPr>
            <w:r>
              <w:rPr>
                <w:rFonts w:hint="eastAsia" w:ascii="仿宋_GB2312" w:hAnsi="仿宋_GB2312" w:eastAsia="仿宋_GB2312" w:cs="仿宋_GB2312"/>
                <w:b w:val="0"/>
                <w:snapToGrid w:val="0"/>
                <w:color w:val="auto"/>
                <w:kern w:val="2"/>
                <w:sz w:val="24"/>
                <w:szCs w:val="24"/>
                <w:highlight w:val="none"/>
                <w:lang w:val="en-US" w:eastAsia="zh-CN" w:bidi="ar-SA"/>
              </w:rPr>
              <w:t>11</w:t>
            </w:r>
          </w:p>
        </w:tc>
        <w:tc>
          <w:tcPr>
            <w:tcW w:w="1229" w:type="dxa"/>
            <w:vMerge w:val="continue"/>
            <w:tcBorders>
              <w:tl2br w:val="nil"/>
              <w:tr2bl w:val="nil"/>
            </w:tcBorders>
            <w:noWrap w:val="0"/>
            <w:vAlign w:val="center"/>
          </w:tcPr>
          <w:p w14:paraId="13A0C68F">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rPr>
            </w:pPr>
          </w:p>
        </w:tc>
        <w:tc>
          <w:tcPr>
            <w:tcW w:w="2886" w:type="dxa"/>
            <w:tcBorders>
              <w:tl2br w:val="nil"/>
              <w:tr2bl w:val="nil"/>
            </w:tcBorders>
            <w:noWrap w:val="0"/>
            <w:vAlign w:val="center"/>
          </w:tcPr>
          <w:p w14:paraId="61A96CDE">
            <w:pPr>
              <w:keepNext/>
              <w:keepLines w:val="0"/>
              <w:pageBreakBefore w:val="0"/>
              <w:shd w:val="clear" w:color="auto" w:fill="auto"/>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left"/>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b w:val="0"/>
                <w:snapToGrid w:val="0"/>
                <w:color w:val="auto"/>
                <w:kern w:val="0"/>
                <w:sz w:val="24"/>
                <w:szCs w:val="24"/>
                <w:highlight w:val="none"/>
                <w:shd w:val="clear" w:color="auto" w:fill="auto"/>
                <w:lang w:val="en-US" w:eastAsia="zh-CN"/>
              </w:rPr>
              <w:t>药品抽检合格率</w:t>
            </w:r>
          </w:p>
        </w:tc>
        <w:tc>
          <w:tcPr>
            <w:tcW w:w="929" w:type="dxa"/>
            <w:tcBorders>
              <w:tl2br w:val="nil"/>
              <w:tr2bl w:val="nil"/>
            </w:tcBorders>
            <w:noWrap w:val="0"/>
            <w:vAlign w:val="center"/>
          </w:tcPr>
          <w:p w14:paraId="3283BC5C">
            <w:pPr>
              <w:keepNext/>
              <w:keepLines w:val="0"/>
              <w:pageBreakBefore w:val="0"/>
              <w:shd w:val="clear" w:color="auto" w:fill="auto"/>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b w:val="0"/>
                <w:snapToGrid w:val="0"/>
                <w:color w:val="auto"/>
                <w:kern w:val="0"/>
                <w:sz w:val="24"/>
                <w:szCs w:val="24"/>
                <w:highlight w:val="none"/>
                <w:shd w:val="clear" w:color="auto" w:fill="auto"/>
              </w:rPr>
              <w:t>%</w:t>
            </w:r>
          </w:p>
        </w:tc>
        <w:tc>
          <w:tcPr>
            <w:tcW w:w="1014" w:type="dxa"/>
            <w:tcBorders>
              <w:tl2br w:val="nil"/>
              <w:tr2bl w:val="nil"/>
            </w:tcBorders>
            <w:noWrap w:val="0"/>
            <w:vAlign w:val="center"/>
          </w:tcPr>
          <w:p w14:paraId="1687C24A">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≥98</w:t>
            </w:r>
          </w:p>
        </w:tc>
        <w:tc>
          <w:tcPr>
            <w:tcW w:w="999" w:type="dxa"/>
            <w:tcBorders>
              <w:tl2br w:val="nil"/>
              <w:tr2bl w:val="nil"/>
            </w:tcBorders>
            <w:noWrap w:val="0"/>
            <w:vAlign w:val="center"/>
          </w:tcPr>
          <w:p w14:paraId="0D390AF0">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≥99</w:t>
            </w:r>
          </w:p>
        </w:tc>
        <w:tc>
          <w:tcPr>
            <w:tcW w:w="1037" w:type="dxa"/>
            <w:tcBorders>
              <w:tl2br w:val="nil"/>
              <w:tr2bl w:val="nil"/>
            </w:tcBorders>
            <w:noWrap w:val="0"/>
            <w:vAlign w:val="center"/>
          </w:tcPr>
          <w:p w14:paraId="27455C2E">
            <w:pPr>
              <w:keepNext/>
              <w:keepLines w:val="0"/>
              <w:pageBreakBefore w:val="0"/>
              <w:shd w:val="clear" w:color="auto" w:fill="auto"/>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b w:val="0"/>
                <w:snapToGrid w:val="0"/>
                <w:color w:val="auto"/>
                <w:kern w:val="0"/>
                <w:sz w:val="24"/>
                <w:szCs w:val="24"/>
                <w:highlight w:val="none"/>
                <w:lang w:val="en-US" w:eastAsia="zh-CN" w:bidi="ar-SA"/>
              </w:rPr>
              <w:t>约束性</w:t>
            </w:r>
          </w:p>
        </w:tc>
      </w:tr>
      <w:tr w14:paraId="7FDA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86" w:type="dxa"/>
            <w:tcBorders>
              <w:tl2br w:val="nil"/>
              <w:tr2bl w:val="nil"/>
            </w:tcBorders>
            <w:noWrap w:val="0"/>
            <w:vAlign w:val="center"/>
          </w:tcPr>
          <w:p w14:paraId="0713CB2A">
            <w:pPr>
              <w:keepNext/>
              <w:keepLines w:val="0"/>
              <w:pageBreakBefore w:val="0"/>
              <w:widowControl w:val="0"/>
              <w:numPr>
                <w:ilvl w:val="0"/>
                <w:numId w:val="0"/>
              </w:numPr>
              <w:suppressLineNumbers w:val="0"/>
              <w:kinsoku/>
              <w:wordWrap/>
              <w:topLinePunct w:val="0"/>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lang w:val="en-US" w:eastAsia="zh-CN" w:bidi="ar-SA"/>
              </w:rPr>
              <w:t>12</w:t>
            </w:r>
          </w:p>
        </w:tc>
        <w:tc>
          <w:tcPr>
            <w:tcW w:w="1229" w:type="dxa"/>
            <w:vMerge w:val="continue"/>
            <w:tcBorders>
              <w:tl2br w:val="nil"/>
              <w:tr2bl w:val="nil"/>
            </w:tcBorders>
            <w:noWrap w:val="0"/>
            <w:vAlign w:val="center"/>
          </w:tcPr>
          <w:p w14:paraId="505E1FA4">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rPr>
            </w:pPr>
          </w:p>
        </w:tc>
        <w:tc>
          <w:tcPr>
            <w:tcW w:w="2886" w:type="dxa"/>
            <w:tcBorders>
              <w:tl2br w:val="nil"/>
              <w:tr2bl w:val="nil"/>
            </w:tcBorders>
            <w:noWrap w:val="0"/>
            <w:vAlign w:val="center"/>
          </w:tcPr>
          <w:p w14:paraId="1FC9B132">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left"/>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b w:val="0"/>
                <w:snapToGrid w:val="0"/>
                <w:color w:val="auto"/>
                <w:kern w:val="0"/>
                <w:sz w:val="24"/>
                <w:szCs w:val="24"/>
                <w:highlight w:val="none"/>
                <w:lang w:val="en-US" w:eastAsia="zh-CN"/>
              </w:rPr>
              <w:t>特种设备重大隐患按期整改率</w:t>
            </w:r>
          </w:p>
        </w:tc>
        <w:tc>
          <w:tcPr>
            <w:tcW w:w="929" w:type="dxa"/>
            <w:tcBorders>
              <w:tl2br w:val="nil"/>
              <w:tr2bl w:val="nil"/>
            </w:tcBorders>
            <w:noWrap w:val="0"/>
            <w:vAlign w:val="center"/>
          </w:tcPr>
          <w:p w14:paraId="7D63D745">
            <w:pPr>
              <w:keepNext/>
              <w:keepLines w:val="0"/>
              <w:pageBreakBefore w:val="0"/>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w:t>
            </w:r>
          </w:p>
        </w:tc>
        <w:tc>
          <w:tcPr>
            <w:tcW w:w="1014" w:type="dxa"/>
            <w:tcBorders>
              <w:tl2br w:val="nil"/>
              <w:tr2bl w:val="nil"/>
            </w:tcBorders>
            <w:noWrap w:val="0"/>
            <w:vAlign w:val="center"/>
          </w:tcPr>
          <w:p w14:paraId="304FCB12">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96</w:t>
            </w:r>
          </w:p>
        </w:tc>
        <w:tc>
          <w:tcPr>
            <w:tcW w:w="999" w:type="dxa"/>
            <w:tcBorders>
              <w:tl2br w:val="nil"/>
              <w:tr2bl w:val="nil"/>
            </w:tcBorders>
            <w:noWrap w:val="0"/>
            <w:vAlign w:val="center"/>
          </w:tcPr>
          <w:p w14:paraId="278B46B9">
            <w:pPr>
              <w:keepNext/>
              <w:keepLines w:val="0"/>
              <w:pageBreakBefore w:val="0"/>
              <w:widowControl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≥98</w:t>
            </w:r>
          </w:p>
        </w:tc>
        <w:tc>
          <w:tcPr>
            <w:tcW w:w="1037" w:type="dxa"/>
            <w:tcBorders>
              <w:tl2br w:val="nil"/>
              <w:tr2bl w:val="nil"/>
            </w:tcBorders>
            <w:noWrap w:val="0"/>
            <w:vAlign w:val="center"/>
          </w:tcPr>
          <w:p w14:paraId="7DE611A0">
            <w:pPr>
              <w:keepNext/>
              <w:keepLines w:val="0"/>
              <w:pageBreakBefore w:val="0"/>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b w:val="0"/>
                <w:snapToGrid w:val="0"/>
                <w:color w:val="auto"/>
                <w:kern w:val="0"/>
                <w:sz w:val="24"/>
                <w:szCs w:val="24"/>
                <w:highlight w:val="none"/>
                <w:lang w:val="en-US" w:eastAsia="zh-CN" w:bidi="ar-SA"/>
              </w:rPr>
              <w:t>预期性</w:t>
            </w:r>
          </w:p>
        </w:tc>
      </w:tr>
      <w:tr w14:paraId="646B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86" w:type="dxa"/>
            <w:tcBorders>
              <w:tl2br w:val="nil"/>
              <w:tr2bl w:val="nil"/>
            </w:tcBorders>
            <w:noWrap w:val="0"/>
            <w:vAlign w:val="center"/>
          </w:tcPr>
          <w:p w14:paraId="78E684D9">
            <w:pPr>
              <w:keepNext/>
              <w:keepLines w:val="0"/>
              <w:pageBreakBefore w:val="0"/>
              <w:widowControl w:val="0"/>
              <w:numPr>
                <w:ilvl w:val="0"/>
                <w:numId w:val="0"/>
              </w:numPr>
              <w:suppressLineNumbers w:val="0"/>
              <w:kinsoku/>
              <w:wordWrap/>
              <w:topLinePunct w:val="0"/>
              <w:bidi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lang w:val="en-US" w:eastAsia="zh-CN" w:bidi="ar-SA"/>
              </w:rPr>
              <w:t>13</w:t>
            </w:r>
          </w:p>
        </w:tc>
        <w:tc>
          <w:tcPr>
            <w:tcW w:w="1229" w:type="dxa"/>
            <w:tcBorders>
              <w:tl2br w:val="nil"/>
              <w:tr2bl w:val="nil"/>
            </w:tcBorders>
            <w:noWrap w:val="0"/>
            <w:vAlign w:val="center"/>
          </w:tcPr>
          <w:p w14:paraId="08890F85">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b w:val="0"/>
                <w:snapToGrid w:val="0"/>
                <w:color w:val="auto"/>
                <w:kern w:val="0"/>
                <w:sz w:val="24"/>
                <w:szCs w:val="24"/>
                <w:highlight w:val="none"/>
              </w:rPr>
              <w:t>创新驱动</w:t>
            </w:r>
          </w:p>
        </w:tc>
        <w:tc>
          <w:tcPr>
            <w:tcW w:w="2886" w:type="dxa"/>
            <w:tcBorders>
              <w:tl2br w:val="nil"/>
              <w:tr2bl w:val="nil"/>
            </w:tcBorders>
            <w:noWrap w:val="0"/>
            <w:vAlign w:val="center"/>
          </w:tcPr>
          <w:p w14:paraId="64128273">
            <w:pPr>
              <w:keepNext/>
              <w:keepLines w:val="0"/>
              <w:pageBreakBefore w:val="0"/>
              <w:tabs>
                <w:tab w:val="left" w:pos="954"/>
              </w:tabs>
              <w:kinsoku/>
              <w:wordWrap/>
              <w:overflowPunct w:val="0"/>
              <w:topLinePunct w:val="0"/>
              <w:autoSpaceDE w:val="0"/>
              <w:autoSpaceDN w:val="0"/>
              <w:bidi w:val="0"/>
              <w:adjustRightInd w:val="0"/>
              <w:snapToGrid w:val="0"/>
              <w:spacing w:line="240" w:lineRule="auto"/>
              <w:ind w:left="0" w:leftChars="0" w:right="0" w:rightChars="0" w:firstLine="0" w:firstLineChars="0"/>
              <w:jc w:val="left"/>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每万人口高价值发明专利拥有量</w:t>
            </w:r>
          </w:p>
        </w:tc>
        <w:tc>
          <w:tcPr>
            <w:tcW w:w="929" w:type="dxa"/>
            <w:tcBorders>
              <w:tl2br w:val="nil"/>
              <w:tr2bl w:val="nil"/>
            </w:tcBorders>
            <w:noWrap w:val="0"/>
            <w:vAlign w:val="center"/>
          </w:tcPr>
          <w:p w14:paraId="59C95BED">
            <w:pPr>
              <w:keepNext/>
              <w:keepLines w:val="0"/>
              <w:pageBreakBefore w:val="0"/>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b w:val="0"/>
                <w:snapToGrid w:val="0"/>
                <w:color w:val="auto"/>
                <w:kern w:val="0"/>
                <w:sz w:val="24"/>
                <w:szCs w:val="24"/>
                <w:highlight w:val="none"/>
                <w:lang w:val="en-US" w:eastAsia="zh-CN"/>
              </w:rPr>
              <w:t>件</w:t>
            </w:r>
          </w:p>
        </w:tc>
        <w:tc>
          <w:tcPr>
            <w:tcW w:w="1014" w:type="dxa"/>
            <w:tcBorders>
              <w:tl2br w:val="nil"/>
              <w:tr2bl w:val="nil"/>
            </w:tcBorders>
            <w:noWrap w:val="0"/>
            <w:vAlign w:val="center"/>
          </w:tcPr>
          <w:p w14:paraId="785CBBEB">
            <w:pPr>
              <w:keepNext/>
              <w:keepLines w:val="0"/>
              <w:pageBreakBefore w:val="0"/>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1.11</w:t>
            </w:r>
          </w:p>
        </w:tc>
        <w:tc>
          <w:tcPr>
            <w:tcW w:w="999" w:type="dxa"/>
            <w:tcBorders>
              <w:tl2br w:val="nil"/>
              <w:tr2bl w:val="nil"/>
            </w:tcBorders>
            <w:noWrap w:val="0"/>
            <w:vAlign w:val="center"/>
          </w:tcPr>
          <w:p w14:paraId="41EE77B0">
            <w:pPr>
              <w:keepNext/>
              <w:keepLines w:val="0"/>
              <w:pageBreakBefore w:val="0"/>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1.82</w:t>
            </w:r>
          </w:p>
        </w:tc>
        <w:tc>
          <w:tcPr>
            <w:tcW w:w="1037" w:type="dxa"/>
            <w:tcBorders>
              <w:tl2br w:val="nil"/>
              <w:tr2bl w:val="nil"/>
            </w:tcBorders>
            <w:noWrap w:val="0"/>
            <w:vAlign w:val="center"/>
          </w:tcPr>
          <w:p w14:paraId="222764B6">
            <w:pPr>
              <w:keepNext/>
              <w:keepLines w:val="0"/>
              <w:pageBreakBefore w:val="0"/>
              <w:kinsoku/>
              <w:wordWrap/>
              <w:overflowPunct w:val="0"/>
              <w:topLinePunct w:val="0"/>
              <w:autoSpaceDE w:val="0"/>
              <w:autoSpaceDN w:val="0"/>
              <w:bidi w:val="0"/>
              <w:adjustRightInd w:val="0"/>
              <w:snapToGrid w:val="0"/>
              <w:spacing w:line="240" w:lineRule="auto"/>
              <w:ind w:left="0" w:leftChars="0" w:right="0" w:rightChars="0" w:firstLine="0" w:firstLineChars="0"/>
              <w:jc w:val="center"/>
              <w:rPr>
                <w:rFonts w:hint="eastAsia" w:ascii="仿宋_GB2312" w:hAnsi="仿宋_GB2312" w:eastAsia="仿宋_GB2312" w:cs="仿宋_GB2312"/>
                <w:b w:val="0"/>
                <w:snapToGrid w:val="0"/>
                <w:color w:val="auto"/>
                <w:kern w:val="0"/>
                <w:sz w:val="24"/>
                <w:szCs w:val="24"/>
                <w:highlight w:val="none"/>
                <w:lang w:val="en-US" w:eastAsia="zh-CN" w:bidi="ar-SA"/>
              </w:rPr>
            </w:pPr>
            <w:r>
              <w:rPr>
                <w:rFonts w:hint="eastAsia" w:ascii="仿宋_GB2312" w:hAnsi="仿宋_GB2312" w:eastAsia="仿宋_GB2312" w:cs="仿宋_GB2312"/>
                <w:b w:val="0"/>
                <w:snapToGrid w:val="0"/>
                <w:color w:val="auto"/>
                <w:kern w:val="0"/>
                <w:sz w:val="24"/>
                <w:szCs w:val="24"/>
                <w:highlight w:val="none"/>
                <w:lang w:val="en-US" w:eastAsia="zh-CN" w:bidi="ar-SA"/>
              </w:rPr>
              <w:t>预期性</w:t>
            </w:r>
          </w:p>
        </w:tc>
      </w:tr>
    </w:tbl>
    <w:p w14:paraId="0959B3E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备注：质量基础设施</w:t>
      </w:r>
      <w:r>
        <w:rPr>
          <w:rFonts w:hint="eastAsia" w:ascii="Times New Roman" w:hAnsi="Times New Roman" w:eastAsia="楷体" w:cs="Times New Roman"/>
          <w:color w:val="auto"/>
          <w:sz w:val="24"/>
          <w:szCs w:val="24"/>
          <w:highlight w:val="none"/>
          <w:lang w:val="en-US" w:eastAsia="zh-CN"/>
        </w:rPr>
        <w:t>“</w:t>
      </w:r>
      <w:r>
        <w:rPr>
          <w:rFonts w:hint="default" w:ascii="Times New Roman" w:hAnsi="Times New Roman" w:eastAsia="楷体" w:cs="Times New Roman"/>
          <w:color w:val="auto"/>
          <w:sz w:val="24"/>
          <w:szCs w:val="24"/>
          <w:highlight w:val="none"/>
          <w:lang w:val="en-US" w:eastAsia="zh-CN"/>
        </w:rPr>
        <w:t>一站式</w:t>
      </w:r>
      <w:r>
        <w:rPr>
          <w:rFonts w:hint="eastAsia" w:ascii="Times New Roman" w:hAnsi="Times New Roman" w:eastAsia="楷体" w:cs="Times New Roman"/>
          <w:color w:val="auto"/>
          <w:sz w:val="24"/>
          <w:szCs w:val="24"/>
          <w:highlight w:val="none"/>
          <w:lang w:val="en-US" w:eastAsia="zh-CN"/>
        </w:rPr>
        <w:t>”</w:t>
      </w:r>
      <w:r>
        <w:rPr>
          <w:rFonts w:hint="default" w:ascii="Times New Roman" w:hAnsi="Times New Roman" w:eastAsia="楷体" w:cs="Times New Roman"/>
          <w:color w:val="auto"/>
          <w:sz w:val="24"/>
          <w:szCs w:val="24"/>
          <w:highlight w:val="none"/>
          <w:lang w:val="en-US" w:eastAsia="zh-CN"/>
        </w:rPr>
        <w:t>服务，是指通过有机融合计量、标准、认证认可、检验检测、质量管理等要素资源，以知识产权、品牌培育等为延伸，面向企业、产业、区域特别是中小企业提供的全链条、全方位、全过程质量基础设施综合服务。</w:t>
      </w:r>
    </w:p>
    <w:p w14:paraId="1E25E222">
      <w:pPr>
        <w:keepNext w:val="0"/>
        <w:keepLines w:val="0"/>
        <w:pageBreakBefore w:val="0"/>
        <w:widowControl w:val="0"/>
        <w:kinsoku/>
        <w:wordWrap/>
        <w:overflowPunct w:val="0"/>
        <w:topLinePunct/>
        <w:bidi w:val="0"/>
        <w:adjustRightInd w:val="0"/>
        <w:snapToGrid w:val="0"/>
        <w:spacing w:line="580" w:lineRule="exact"/>
        <w:jc w:val="both"/>
        <w:textAlignment w:val="top"/>
        <w:outlineLvl w:val="0"/>
        <w:rPr>
          <w:rFonts w:hint="eastAsia" w:ascii="黑体" w:hAnsi="黑体" w:eastAsia="黑体" w:cs="黑体"/>
          <w:b w:val="0"/>
          <w:bCs w:val="0"/>
          <w:sz w:val="32"/>
        </w:rPr>
      </w:pPr>
      <w:bookmarkStart w:id="8" w:name="_Toc16091"/>
    </w:p>
    <w:p w14:paraId="4F761E4A">
      <w:pPr>
        <w:keepNext w:val="0"/>
        <w:keepLines w:val="0"/>
        <w:pageBreakBefore w:val="0"/>
        <w:widowControl w:val="0"/>
        <w:kinsoku/>
        <w:wordWrap/>
        <w:overflowPunct w:val="0"/>
        <w:topLinePunct/>
        <w:bidi w:val="0"/>
        <w:adjustRightInd w:val="0"/>
        <w:snapToGrid w:val="0"/>
        <w:spacing w:line="580" w:lineRule="exact"/>
        <w:jc w:val="both"/>
        <w:textAlignment w:val="top"/>
        <w:outlineLvl w:val="0"/>
        <w:rPr>
          <w:rFonts w:hint="eastAsia" w:ascii="黑体" w:hAnsi="黑体" w:eastAsia="黑体" w:cs="黑体"/>
          <w:b w:val="0"/>
          <w:bCs w:val="0"/>
          <w:sz w:val="32"/>
        </w:rPr>
      </w:pPr>
    </w:p>
    <w:p w14:paraId="7839F026">
      <w:pPr>
        <w:keepNext w:val="0"/>
        <w:keepLines w:val="0"/>
        <w:pageBreakBefore w:val="0"/>
        <w:widowControl w:val="0"/>
        <w:kinsoku/>
        <w:wordWrap/>
        <w:overflowPunct w:val="0"/>
        <w:topLinePunct/>
        <w:bidi w:val="0"/>
        <w:adjustRightInd w:val="0"/>
        <w:snapToGrid w:val="0"/>
        <w:spacing w:line="580" w:lineRule="exact"/>
        <w:jc w:val="both"/>
        <w:textAlignment w:val="top"/>
        <w:outlineLvl w:val="0"/>
        <w:rPr>
          <w:rFonts w:hint="eastAsia" w:ascii="黑体" w:hAnsi="黑体" w:eastAsia="黑体" w:cs="黑体"/>
          <w:b w:val="0"/>
          <w:bCs w:val="0"/>
          <w:sz w:val="32"/>
        </w:rPr>
      </w:pPr>
    </w:p>
    <w:p w14:paraId="10A5EBA8">
      <w:pPr>
        <w:keepNext w:val="0"/>
        <w:keepLines w:val="0"/>
        <w:pageBreakBefore w:val="0"/>
        <w:widowControl w:val="0"/>
        <w:kinsoku/>
        <w:wordWrap/>
        <w:overflowPunct w:val="0"/>
        <w:topLinePunct/>
        <w:autoSpaceDE/>
        <w:autoSpaceDN/>
        <w:bidi w:val="0"/>
        <w:adjustRightInd w:val="0"/>
        <w:snapToGrid w:val="0"/>
        <w:spacing w:line="580" w:lineRule="exact"/>
        <w:ind w:left="0" w:leftChars="0" w:firstLine="640" w:firstLineChars="200"/>
        <w:jc w:val="center"/>
        <w:textAlignment w:val="top"/>
        <w:outlineLvl w:val="0"/>
        <w:rPr>
          <w:rFonts w:hint="eastAsia" w:ascii="黑体" w:hAnsi="黑体" w:eastAsia="黑体" w:cs="黑体"/>
          <w:b w:val="0"/>
          <w:bCs w:val="0"/>
          <w:sz w:val="32"/>
        </w:rPr>
      </w:pPr>
      <w:r>
        <w:rPr>
          <w:rFonts w:hint="eastAsia" w:ascii="黑体" w:hAnsi="黑体" w:eastAsia="黑体" w:cs="黑体"/>
          <w:b w:val="0"/>
          <w:bCs w:val="0"/>
          <w:sz w:val="32"/>
        </w:rPr>
        <w:t>第三章</w:t>
      </w:r>
      <w:r>
        <w:rPr>
          <w:rFonts w:hint="eastAsia" w:ascii="黑体" w:hAnsi="黑体" w:eastAsia="黑体" w:cs="黑体"/>
          <w:b w:val="0"/>
          <w:bCs w:val="0"/>
          <w:sz w:val="32"/>
          <w:lang w:val="en-US" w:eastAsia="zh-CN"/>
        </w:rPr>
        <w:t xml:space="preserve"> </w:t>
      </w:r>
      <w:r>
        <w:rPr>
          <w:rFonts w:hint="eastAsia" w:ascii="黑体" w:hAnsi="黑体" w:eastAsia="黑体" w:cs="黑体"/>
          <w:b w:val="0"/>
          <w:bCs w:val="0"/>
          <w:sz w:val="32"/>
        </w:rPr>
        <w:t>重点任务</w:t>
      </w:r>
      <w:bookmarkEnd w:id="8"/>
    </w:p>
    <w:p w14:paraId="0874DC33">
      <w:pPr>
        <w:keepNext w:val="0"/>
        <w:keepLines w:val="0"/>
        <w:pageBreakBefore w:val="0"/>
        <w:widowControl w:val="0"/>
        <w:kinsoku/>
        <w:wordWrap/>
        <w:overflowPunct w:val="0"/>
        <w:topLinePunct/>
        <w:autoSpaceDE/>
        <w:autoSpaceDN/>
        <w:bidi w:val="0"/>
        <w:adjustRightInd w:val="0"/>
        <w:snapToGrid w:val="0"/>
        <w:spacing w:line="580" w:lineRule="exact"/>
        <w:ind w:left="0" w:leftChars="0" w:firstLine="640" w:firstLineChars="200"/>
        <w:jc w:val="center"/>
        <w:textAlignment w:val="top"/>
        <w:outlineLvl w:val="0"/>
        <w:rPr>
          <w:rFonts w:hint="eastAsia" w:ascii="黑体" w:hAnsi="黑体" w:eastAsia="黑体" w:cs="黑体"/>
          <w:b w:val="0"/>
          <w:bCs w:val="0"/>
          <w:sz w:val="32"/>
        </w:rPr>
      </w:pPr>
    </w:p>
    <w:p w14:paraId="201EEC4B">
      <w:pPr>
        <w:keepNext w:val="0"/>
        <w:keepLines w:val="0"/>
        <w:pageBreakBefore w:val="0"/>
        <w:widowControl w:val="0"/>
        <w:numPr>
          <w:ilvl w:val="0"/>
          <w:numId w:val="0"/>
        </w:numPr>
        <w:kinsoku/>
        <w:wordWrap/>
        <w:autoSpaceDE/>
        <w:autoSpaceDN/>
        <w:bidi w:val="0"/>
        <w:adjustRightInd/>
        <w:snapToGrid/>
        <w:spacing w:line="580" w:lineRule="exact"/>
        <w:ind w:left="0" w:leftChars="0" w:right="0" w:rightChars="0" w:firstLine="640" w:firstLineChars="200"/>
        <w:textAlignment w:val="auto"/>
        <w:outlineLvl w:val="1"/>
        <w:rPr>
          <w:rFonts w:hint="eastAsia" w:ascii="Times New Roman" w:hAnsi="Times New Roman" w:eastAsia="黑体" w:cs="Times New Roman"/>
          <w:sz w:val="32"/>
          <w:szCs w:val="32"/>
          <w:lang w:val="en-US" w:eastAsia="zh-CN"/>
        </w:rPr>
      </w:pPr>
      <w:bookmarkStart w:id="9" w:name="_Toc14947"/>
      <w:r>
        <w:rPr>
          <w:rFonts w:hint="eastAsia" w:ascii="Times New Roman" w:hAnsi="Times New Roman" w:eastAsia="黑体" w:cs="Times New Roman"/>
          <w:sz w:val="32"/>
          <w:szCs w:val="32"/>
          <w:lang w:val="en-US" w:eastAsia="zh-CN"/>
        </w:rPr>
        <w:t>一、坚持</w:t>
      </w:r>
      <w:r>
        <w:rPr>
          <w:rFonts w:hint="default" w:ascii="Times New Roman" w:hAnsi="Times New Roman" w:eastAsia="黑体" w:cs="Times New Roman"/>
          <w:sz w:val="32"/>
          <w:szCs w:val="32"/>
          <w:lang w:val="en-US" w:eastAsia="zh-CN"/>
        </w:rPr>
        <w:t>市场活力</w:t>
      </w:r>
      <w:r>
        <w:rPr>
          <w:rFonts w:hint="eastAsia" w:ascii="Times New Roman" w:hAnsi="Times New Roman" w:eastAsia="黑体" w:cs="Times New Roman"/>
          <w:sz w:val="32"/>
          <w:szCs w:val="32"/>
          <w:lang w:val="en-US" w:eastAsia="zh-CN"/>
        </w:rPr>
        <w:t>与秩序并重，深度</w:t>
      </w:r>
      <w:r>
        <w:rPr>
          <w:rFonts w:hint="default" w:ascii="Times New Roman" w:hAnsi="Times New Roman" w:eastAsia="黑体" w:cs="Times New Roman"/>
          <w:sz w:val="32"/>
          <w:szCs w:val="32"/>
          <w:lang w:val="en" w:eastAsia="zh-CN"/>
        </w:rPr>
        <w:t>融入</w:t>
      </w:r>
      <w:r>
        <w:rPr>
          <w:rFonts w:hint="default" w:ascii="Times New Roman" w:hAnsi="Times New Roman" w:eastAsia="黑体" w:cs="Times New Roman"/>
          <w:sz w:val="32"/>
          <w:szCs w:val="32"/>
          <w:lang w:val="en-US" w:eastAsia="zh-CN"/>
        </w:rPr>
        <w:t>服务</w:t>
      </w:r>
      <w:r>
        <w:rPr>
          <w:rFonts w:hint="default" w:ascii="Times New Roman" w:hAnsi="Times New Roman" w:eastAsia="黑体" w:cs="Times New Roman"/>
          <w:sz w:val="32"/>
          <w:szCs w:val="32"/>
          <w:lang w:val="en" w:eastAsia="zh-CN"/>
        </w:rPr>
        <w:t>全国统一大市场建设</w:t>
      </w:r>
      <w:bookmarkEnd w:id="9"/>
    </w:p>
    <w:p w14:paraId="0F083D8F">
      <w:pPr>
        <w:keepNext w:val="0"/>
        <w:keepLines w:val="0"/>
        <w:pageBreakBefore w:val="0"/>
        <w:widowControl w:val="0"/>
        <w:kinsoku/>
        <w:wordWrap/>
        <w:overflowPunct w:val="0"/>
        <w:topLinePunct/>
        <w:autoSpaceDE/>
        <w:autoSpaceDN/>
        <w:bidi w:val="0"/>
        <w:adjustRightInd w:val="0"/>
        <w:snapToGrid w:val="0"/>
        <w:spacing w:line="580" w:lineRule="exact"/>
        <w:ind w:left="0" w:leftChars="0" w:firstLine="640" w:firstLineChars="200"/>
        <w:jc w:val="both"/>
        <w:textAlignment w:val="top"/>
        <w:outlineLvl w:val="2"/>
        <w:rPr>
          <w:rFonts w:hint="eastAsia" w:ascii="Times New Roman" w:hAnsi="Times New Roman" w:eastAsia="仿宋_GB2312" w:cs="Times New Roman"/>
          <w:b/>
          <w:bCs/>
          <w:color w:val="FF0000"/>
          <w:sz w:val="32"/>
        </w:rPr>
      </w:pPr>
      <w:bookmarkStart w:id="10" w:name="_Toc8510"/>
      <w:r>
        <w:rPr>
          <w:rFonts w:hint="eastAsia" w:ascii="Times New Roman" w:hAnsi="Times New Roman" w:eastAsia="楷体_GB2312" w:cs="Times New Roman"/>
          <w:sz w:val="32"/>
          <w:szCs w:val="32"/>
          <w:lang w:val="en-US"/>
        </w:rPr>
        <w:t>(一</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打造</w:t>
      </w:r>
      <w:r>
        <w:rPr>
          <w:rFonts w:hint="eastAsia" w:ascii="Times New Roman" w:hAnsi="Times New Roman" w:eastAsia="楷体_GB2312" w:cs="Times New Roman"/>
          <w:sz w:val="32"/>
          <w:szCs w:val="32"/>
          <w:lang w:val="en-US"/>
        </w:rPr>
        <w:t>便利、规范</w:t>
      </w:r>
      <w:r>
        <w:rPr>
          <w:rFonts w:hint="eastAsia" w:ascii="Times New Roman" w:hAnsi="Times New Roman" w:eastAsia="楷体_GB2312" w:cs="Times New Roman"/>
          <w:sz w:val="32"/>
          <w:szCs w:val="32"/>
          <w:lang w:val="en-US" w:eastAsia="zh-CN"/>
        </w:rPr>
        <w:t>、高效的</w:t>
      </w:r>
      <w:r>
        <w:rPr>
          <w:rFonts w:hint="eastAsia" w:ascii="Times New Roman" w:hAnsi="Times New Roman" w:eastAsia="楷体_GB2312" w:cs="Times New Roman"/>
          <w:sz w:val="32"/>
          <w:szCs w:val="32"/>
          <w:lang w:val="en-US"/>
        </w:rPr>
        <w:t>市场准入准营退出</w:t>
      </w:r>
      <w:r>
        <w:rPr>
          <w:rFonts w:hint="eastAsia" w:ascii="Times New Roman" w:hAnsi="Times New Roman" w:eastAsia="楷体_GB2312" w:cs="Times New Roman"/>
          <w:sz w:val="32"/>
          <w:szCs w:val="32"/>
          <w:lang w:val="en-US" w:eastAsia="zh-CN"/>
        </w:rPr>
        <w:t>环境</w:t>
      </w:r>
      <w:bookmarkEnd w:id="10"/>
    </w:p>
    <w:p w14:paraId="5A066644">
      <w:pPr>
        <w:keepNext w:val="0"/>
        <w:keepLines w:val="0"/>
        <w:pageBreakBefore w:val="0"/>
        <w:widowControl w:val="0"/>
        <w:kinsoku/>
        <w:wordWrap/>
        <w:overflowPunct w:val="0"/>
        <w:topLinePunct/>
        <w:autoSpaceDE/>
        <w:autoSpaceDN/>
        <w:bidi w:val="0"/>
        <w:adjustRightInd w:val="0"/>
        <w:snapToGrid w:val="0"/>
        <w:spacing w:line="580" w:lineRule="exact"/>
        <w:ind w:left="0" w:leftChars="0" w:firstLine="640" w:firstLineChars="200"/>
        <w:jc w:val="both"/>
        <w:textAlignment w:val="top"/>
        <w:outlineLvl w:val="2"/>
        <w:rPr>
          <w:rFonts w:hint="eastAsia" w:ascii="Times New Roman" w:hAnsi="Times New Roman" w:eastAsia="仿宋_GB2312" w:cs="Times New Roman"/>
          <w:b w:val="0"/>
          <w:bCs w:val="0"/>
          <w:color w:val="auto"/>
          <w:sz w:val="32"/>
          <w:szCs w:val="32"/>
          <w:lang w:val="en-US" w:eastAsia="zh-CN"/>
        </w:rPr>
      </w:pPr>
      <w:bookmarkStart w:id="11" w:name="_Toc29061"/>
      <w:r>
        <w:rPr>
          <w:rFonts w:hint="eastAsia" w:ascii="Times New Roman" w:hAnsi="Times New Roman" w:eastAsia="仿宋_GB2312" w:cs="Times New Roman"/>
          <w:b w:val="0"/>
          <w:bCs w:val="0"/>
          <w:color w:val="auto"/>
          <w:sz w:val="32"/>
          <w:szCs w:val="32"/>
          <w:lang w:val="en-US" w:eastAsia="zh-CN"/>
        </w:rPr>
        <w:t>落实市场准入负面清单，优化新业态准入服务，推进 “一件事”集成办理，深化</w:t>
      </w:r>
      <w:r>
        <w:rPr>
          <w:rFonts w:hint="default" w:ascii="Times New Roman" w:hAnsi="Times New Roman" w:eastAsia="仿宋_GB2312" w:cs="Times New Roman"/>
          <w:b w:val="0"/>
          <w:bCs w:val="0"/>
          <w:color w:val="auto"/>
          <w:sz w:val="32"/>
          <w:szCs w:val="32"/>
          <w:lang w:eastAsia="zh-CN"/>
        </w:rPr>
        <w:t>注册资本认缴登记制度改革</w:t>
      </w:r>
      <w:r>
        <w:rPr>
          <w:rFonts w:hint="eastAsia" w:ascii="Times New Roman" w:hAnsi="Times New Roman" w:eastAsia="仿宋_GB2312" w:cs="Times New Roman"/>
          <w:b w:val="0"/>
          <w:bCs w:val="0"/>
          <w:color w:val="auto"/>
          <w:sz w:val="32"/>
          <w:szCs w:val="32"/>
          <w:lang w:val="en-US" w:eastAsia="zh-CN"/>
        </w:rPr>
        <w:t>。严格执行《</w:t>
      </w:r>
      <w:r>
        <w:rPr>
          <w:rFonts w:hint="default" w:ascii="Times New Roman" w:hAnsi="Times New Roman" w:eastAsia="仿宋_GB2312" w:cs="Times New Roman"/>
          <w:b w:val="0"/>
          <w:bCs w:val="0"/>
          <w:color w:val="auto"/>
          <w:sz w:val="32"/>
          <w:szCs w:val="32"/>
          <w:lang w:eastAsia="zh-CN"/>
        </w:rPr>
        <w:t>中华人民共和国公司法</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中华人民共和国市场主体登记管理条例</w:t>
      </w:r>
      <w:r>
        <w:rPr>
          <w:rFonts w:hint="eastAsia" w:ascii="Times New Roman" w:hAnsi="Times New Roman" w:eastAsia="仿宋_GB2312" w:cs="Times New Roman"/>
          <w:b w:val="0"/>
          <w:bCs w:val="0"/>
          <w:color w:val="auto"/>
          <w:sz w:val="32"/>
          <w:szCs w:val="32"/>
          <w:lang w:val="en-US" w:eastAsia="zh-CN"/>
        </w:rPr>
        <w:t xml:space="preserve">》，统一登记文书、经营范围规范表述，提升登记注册标准化、规范化水平。运用数字化手段优化准入服务，实现企业开办全流程智能办理，依托省级数据底座，推动电子营业执照在纳税、社保、金融、招投标等场景应用。深化企业注销“一件事”改革，整合流程、集成办理，实现“一网通办、一次办成”；落实歇业备案制度，构建宽进、宽出、可暂停的便捷市场环境。  </w:t>
      </w:r>
    </w:p>
    <w:p w14:paraId="7B92A6C4">
      <w:pPr>
        <w:keepNext w:val="0"/>
        <w:keepLines w:val="0"/>
        <w:pageBreakBefore w:val="0"/>
        <w:widowControl w:val="0"/>
        <w:kinsoku/>
        <w:wordWrap/>
        <w:overflowPunct w:val="0"/>
        <w:topLinePunct/>
        <w:autoSpaceDE/>
        <w:autoSpaceDN/>
        <w:bidi w:val="0"/>
        <w:adjustRightInd w:val="0"/>
        <w:snapToGrid w:val="0"/>
        <w:spacing w:line="580" w:lineRule="exact"/>
        <w:ind w:left="0" w:leftChars="0" w:firstLine="640" w:firstLineChars="200"/>
        <w:jc w:val="both"/>
        <w:textAlignment w:val="top"/>
        <w:outlineLvl w:val="2"/>
        <w:rPr>
          <w:rFonts w:hint="eastAsia" w:ascii="Times New Roman" w:hAnsi="Times New Roman" w:eastAsia="仿宋_GB2312" w:cs="Times New Roman"/>
          <w:color w:val="0070C0"/>
          <w:sz w:val="32"/>
        </w:rPr>
      </w:pPr>
      <w:r>
        <w:rPr>
          <w:rFonts w:hint="eastAsia" w:ascii="Times New Roman" w:hAnsi="Times New Roman" w:eastAsia="楷体_GB2312" w:cs="Times New Roman"/>
          <w:sz w:val="32"/>
          <w:szCs w:val="32"/>
          <w:lang w:val="en-US"/>
        </w:rPr>
        <w:t>(二</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打造高质量</w:t>
      </w:r>
      <w:r>
        <w:rPr>
          <w:rFonts w:hint="eastAsia" w:ascii="Times New Roman" w:hAnsi="Times New Roman" w:eastAsia="楷体_GB2312" w:cs="Times New Roman"/>
          <w:sz w:val="32"/>
          <w:szCs w:val="32"/>
          <w:lang w:val="en-US"/>
        </w:rPr>
        <w:t>经营主体培育</w:t>
      </w:r>
      <w:r>
        <w:rPr>
          <w:rFonts w:hint="eastAsia" w:ascii="Times New Roman" w:hAnsi="Times New Roman" w:eastAsia="楷体_GB2312" w:cs="Times New Roman"/>
          <w:sz w:val="32"/>
          <w:szCs w:val="32"/>
          <w:lang w:val="en-US" w:eastAsia="zh-CN"/>
        </w:rPr>
        <w:t>提升环境</w:t>
      </w:r>
      <w:bookmarkEnd w:id="11"/>
    </w:p>
    <w:p w14:paraId="0BA3535C">
      <w:pPr>
        <w:keepNext w:val="0"/>
        <w:keepLines w:val="0"/>
        <w:pageBreakBefore w:val="0"/>
        <w:widowControl w:val="0"/>
        <w:kinsoku/>
        <w:wordWrap/>
        <w:overflowPunct w:val="0"/>
        <w:topLinePunct/>
        <w:autoSpaceDE/>
        <w:autoSpaceDN/>
        <w:bidi w:val="0"/>
        <w:adjustRightInd w:val="0"/>
        <w:snapToGrid w:val="0"/>
        <w:spacing w:line="580" w:lineRule="exact"/>
        <w:ind w:left="0" w:leftChars="0" w:firstLine="640" w:firstLineChars="200"/>
        <w:jc w:val="both"/>
        <w:textAlignment w:val="top"/>
        <w:outlineLvl w:val="2"/>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强化金融助企服务，持续推广“星火贷”，深化专利商标质押融资。实施个体工商户分型分类培育，搭建“粤星火” 服务体系，培育壮大“名特优新”个体工商户。通过“双培双促”夯实组织基础，结合监管职能常态对接基层，以精准服务规范市场，以坚强党建推动发展。</w:t>
      </w:r>
    </w:p>
    <w:p w14:paraId="0E61F722">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jc w:val="both"/>
        <w:textAlignment w:val="top"/>
        <w:outlineLvl w:val="2"/>
        <w:rPr>
          <w:rFonts w:hint="eastAsia" w:ascii="Times New Roman" w:hAnsi="Times New Roman" w:eastAsia="楷体_GB2312" w:cs="Times New Roman"/>
          <w:b/>
          <w:bCs/>
          <w:color w:val="FF0000"/>
          <w:sz w:val="32"/>
          <w:szCs w:val="32"/>
          <w:lang w:val="en-US" w:eastAsia="zh-CN"/>
        </w:rPr>
      </w:pPr>
      <w:bookmarkStart w:id="12" w:name="_Toc32408"/>
      <w:r>
        <w:rPr>
          <w:rFonts w:hint="eastAsia" w:ascii="Times New Roman" w:hAnsi="Times New Roman" w:eastAsia="楷体_GB2312" w:cs="Times New Roman"/>
          <w:sz w:val="32"/>
          <w:szCs w:val="32"/>
          <w:lang w:val="en-US" w:eastAsia="zh-CN"/>
        </w:rPr>
        <w:t>（三）营造公平竞争市场秩序</w:t>
      </w:r>
      <w:bookmarkEnd w:id="12"/>
    </w:p>
    <w:p w14:paraId="09763C8E">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sz w:val="32"/>
        </w:rPr>
      </w:pPr>
      <w:r>
        <w:rPr>
          <w:rFonts w:hint="eastAsia" w:ascii="Times New Roman" w:hAnsi="Times New Roman" w:eastAsia="仿宋_GB2312" w:cs="Times New Roman"/>
          <w:b/>
          <w:bCs/>
          <w:sz w:val="32"/>
        </w:rPr>
        <w:t>加强公平竞争刚性约束。</w:t>
      </w:r>
      <w:r>
        <w:rPr>
          <w:rFonts w:hint="eastAsia" w:ascii="Times New Roman" w:hAnsi="Times New Roman" w:eastAsia="仿宋_GB2312" w:cs="Times New Roman"/>
          <w:sz w:val="32"/>
        </w:rPr>
        <w:t>推进公平竞争政策实施。强化公平竞争审查刚性约束，健全重要政策措施公平竞争审查、抽查和举报处理机制，探索开展公平竞争审查第三方评估，持续清理和废除妨碍全国统一市场和公平竞争的各种规定和做法。配合上级开展反垄断调查工作。</w:t>
      </w:r>
    </w:p>
    <w:p w14:paraId="38A07221">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b/>
          <w:bCs/>
          <w:sz w:val="32"/>
        </w:rPr>
        <w:t>强化市场秩序</w:t>
      </w:r>
      <w:r>
        <w:rPr>
          <w:rFonts w:hint="eastAsia" w:ascii="Times New Roman" w:hAnsi="Times New Roman" w:eastAsia="仿宋_GB2312" w:cs="Times New Roman"/>
          <w:b/>
          <w:bCs/>
          <w:sz w:val="32"/>
          <w:lang w:eastAsia="zh-CN"/>
        </w:rPr>
        <w:t>治理</w:t>
      </w:r>
      <w:r>
        <w:rPr>
          <w:rFonts w:hint="eastAsia" w:ascii="Times New Roman" w:hAnsi="Times New Roman" w:eastAsia="仿宋_GB2312" w:cs="Times New Roman"/>
          <w:b/>
          <w:bCs/>
          <w:sz w:val="32"/>
        </w:rPr>
        <w:t>。</w:t>
      </w:r>
      <w:r>
        <w:rPr>
          <w:rFonts w:hint="eastAsia" w:ascii="Times New Roman" w:hAnsi="Times New Roman" w:eastAsia="仿宋_GB2312" w:cs="Times New Roman"/>
          <w:sz w:val="32"/>
          <w:lang w:val="en-US" w:eastAsia="zh-CN"/>
        </w:rPr>
        <w:t>强化经营主体广告合规意识，培育诚信向善的广告风尚。依托省级广告监管系统开展全媒体智能监测，精准识别、快速处置违法线索，防范虚假广告、隐私泄露等风险，提升监管效能，推动揭阳广告业提质增效。</w:t>
      </w:r>
    </w:p>
    <w:p w14:paraId="58A6398E">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sz w:val="32"/>
        </w:rPr>
      </w:pPr>
      <w:r>
        <w:rPr>
          <w:rFonts w:hint="eastAsia" w:ascii="Times New Roman" w:hAnsi="Times New Roman" w:eastAsia="仿宋_GB2312" w:cs="Times New Roman"/>
          <w:b/>
          <w:bCs/>
          <w:sz w:val="32"/>
        </w:rPr>
        <w:t>加强平台经济常态监管</w:t>
      </w:r>
      <w:r>
        <w:rPr>
          <w:rFonts w:hint="eastAsia" w:ascii="Times New Roman" w:hAnsi="Times New Roman" w:eastAsia="仿宋_GB2312" w:cs="Times New Roman"/>
          <w:b/>
          <w:bCs/>
          <w:sz w:val="32"/>
          <w:lang w:eastAsia="zh-CN"/>
        </w:rPr>
        <w:t>。</w:t>
      </w:r>
      <w:r>
        <w:rPr>
          <w:rFonts w:hint="eastAsia" w:ascii="Times New Roman" w:hAnsi="Times New Roman" w:eastAsia="仿宋_GB2312" w:cs="Times New Roman"/>
          <w:sz w:val="32"/>
        </w:rPr>
        <w:t>强化平台合规治理</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建立分层分级、层级对应的网络交易平台合规监管工作机制，压实平台主体责任。加强对网络不正当竞争行为的监测、预警、分析，实施靶向监管。规范电商平台不正当促销行为，强化重点行业“内卷式”竞争治理。优化电子商务经营行为监测平台，</w:t>
      </w:r>
      <w:r>
        <w:rPr>
          <w:rFonts w:hint="eastAsia" w:ascii="Times New Roman" w:hAnsi="Times New Roman" w:eastAsia="仿宋_GB2312" w:cs="Times New Roman"/>
          <w:sz w:val="32"/>
          <w:lang w:eastAsia="zh-CN"/>
        </w:rPr>
        <w:t>配合省局</w:t>
      </w:r>
      <w:r>
        <w:rPr>
          <w:rFonts w:hint="eastAsia" w:ascii="Times New Roman" w:hAnsi="Times New Roman" w:eastAsia="仿宋_GB2312" w:cs="Times New Roman"/>
          <w:sz w:val="32"/>
        </w:rPr>
        <w:t>建设全国直播电商监测平台。提升网络交易智慧监管能力，打造网络交易执法协查快速通道。</w:t>
      </w:r>
    </w:p>
    <w:p w14:paraId="055CFC2E">
      <w:pPr>
        <w:keepNext w:val="0"/>
        <w:keepLines w:val="0"/>
        <w:pageBreakBefore w:val="0"/>
        <w:kinsoku/>
        <w:wordWrap/>
        <w:autoSpaceDE/>
        <w:autoSpaceDN/>
        <w:bidi w:val="0"/>
        <w:spacing w:line="580" w:lineRule="exact"/>
        <w:ind w:firstLine="643"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lang w:eastAsia="zh-CN"/>
        </w:rPr>
        <w:t>强化</w:t>
      </w:r>
      <w:r>
        <w:rPr>
          <w:rFonts w:hint="eastAsia" w:ascii="Times New Roman" w:hAnsi="Times New Roman" w:eastAsia="仿宋_GB2312" w:cs="Times New Roman"/>
          <w:b/>
          <w:bCs/>
          <w:sz w:val="32"/>
        </w:rPr>
        <w:t>消费者权益保护</w:t>
      </w:r>
      <w:r>
        <w:rPr>
          <w:rFonts w:hint="eastAsia" w:ascii="Times New Roman" w:hAnsi="Times New Roman" w:eastAsia="仿宋_GB2312" w:cs="Times New Roman"/>
          <w:b/>
          <w:bCs/>
          <w:sz w:val="32"/>
          <w:lang w:eastAsia="zh-CN"/>
        </w:rPr>
        <w:t>。</w:t>
      </w:r>
      <w:r>
        <w:rPr>
          <w:rFonts w:hint="eastAsia" w:ascii="仿宋_GB2312" w:hAnsi="仿宋_GB2312" w:eastAsia="仿宋_GB2312" w:cs="仿宋_GB2312"/>
          <w:sz w:val="32"/>
          <w:szCs w:val="32"/>
        </w:rPr>
        <w:t>开展消费投诉信息公示，深化在线消费争议解决（ODR）机制建设，推动消费纠纷源头化解。强化消费教育家园共建，深入推进放心消费承诺和线下无理由退货承诺活动。</w:t>
      </w:r>
    </w:p>
    <w:p w14:paraId="30C932DC">
      <w:pPr>
        <w:keepNext w:val="0"/>
        <w:keepLines w:val="0"/>
        <w:pageBreakBefore w:val="0"/>
        <w:widowControl w:val="0"/>
        <w:kinsoku/>
        <w:wordWrap/>
        <w:overflowPunct w:val="0"/>
        <w:topLinePunct/>
        <w:autoSpaceDE/>
        <w:autoSpaceDN/>
        <w:bidi w:val="0"/>
        <w:adjustRightInd w:val="0"/>
        <w:snapToGrid w:val="0"/>
        <w:spacing w:line="580" w:lineRule="exact"/>
        <w:ind w:left="0" w:leftChars="0" w:firstLine="640" w:firstLineChars="200"/>
        <w:jc w:val="both"/>
        <w:textAlignment w:val="top"/>
        <w:outlineLvl w:val="2"/>
        <w:rPr>
          <w:rFonts w:hint="eastAsia" w:ascii="Times New Roman" w:hAnsi="Times New Roman" w:eastAsia="楷体_GB2312" w:cs="Times New Roman"/>
          <w:sz w:val="32"/>
          <w:szCs w:val="32"/>
          <w:lang w:val="en-US" w:eastAsia="zh-CN"/>
        </w:rPr>
      </w:pPr>
      <w:bookmarkStart w:id="13" w:name="_Toc30810"/>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健全经营主体合法权益保护体系</w:t>
      </w:r>
      <w:bookmarkEnd w:id="13"/>
    </w:p>
    <w:p w14:paraId="3800E1C8">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sz w:val="32"/>
        </w:rPr>
      </w:pPr>
      <w:r>
        <w:rPr>
          <w:rFonts w:hint="eastAsia" w:ascii="Times New Roman" w:hAnsi="Times New Roman" w:eastAsia="仿宋_GB2312" w:cs="Times New Roman"/>
          <w:b/>
          <w:bCs/>
          <w:sz w:val="32"/>
          <w:lang w:val="en-US" w:eastAsia="zh-CN"/>
        </w:rPr>
        <w:t>强化</w:t>
      </w:r>
      <w:r>
        <w:rPr>
          <w:rFonts w:hint="eastAsia" w:ascii="Times New Roman" w:hAnsi="Times New Roman" w:eastAsia="仿宋_GB2312" w:cs="Times New Roman"/>
          <w:b/>
          <w:bCs/>
          <w:sz w:val="32"/>
        </w:rPr>
        <w:t>涉企执法检查行为规范。</w:t>
      </w:r>
      <w:r>
        <w:rPr>
          <w:rFonts w:hint="eastAsia" w:ascii="Times New Roman" w:hAnsi="Times New Roman" w:eastAsia="仿宋_GB2312" w:cs="Times New Roman"/>
          <w:sz w:val="32"/>
        </w:rPr>
        <w:t>坚持严格规范公正文明执法，坚决杜绝乱罚款、乱检查、乱查封等问题。深入推进服务型执法，提高执法规范化水平，推进包容审慎执法，实施执法观察期制度，为经营主体提供容错空间。</w:t>
      </w:r>
    </w:p>
    <w:p w14:paraId="67D5C4EF">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sz w:val="32"/>
        </w:rPr>
      </w:pPr>
      <w:r>
        <w:rPr>
          <w:rFonts w:hint="eastAsia" w:ascii="Times New Roman" w:hAnsi="Times New Roman" w:eastAsia="仿宋_GB2312" w:cs="Times New Roman"/>
          <w:b/>
          <w:bCs/>
          <w:sz w:val="32"/>
          <w:lang w:eastAsia="zh-CN"/>
        </w:rPr>
        <w:t>强化</w:t>
      </w:r>
      <w:r>
        <w:rPr>
          <w:rFonts w:hint="eastAsia" w:ascii="Times New Roman" w:hAnsi="Times New Roman" w:eastAsia="仿宋_GB2312" w:cs="Times New Roman"/>
          <w:b/>
          <w:bCs/>
          <w:sz w:val="32"/>
        </w:rPr>
        <w:t>知识产权保护执法。</w:t>
      </w:r>
      <w:r>
        <w:rPr>
          <w:rFonts w:hint="eastAsia" w:ascii="Times New Roman" w:hAnsi="Times New Roman" w:eastAsia="仿宋_GB2312" w:cs="Times New Roman"/>
          <w:sz w:val="32"/>
        </w:rPr>
        <w:t>强化跨部门、跨地区协作，建立统一协调的执法标准和案例指导制度，完善市、县、镇知识产权执法指导工作体系，构建知识产权</w:t>
      </w:r>
      <w:r>
        <w:rPr>
          <w:rFonts w:hint="default" w:ascii="Times New Roman" w:hAnsi="Times New Roman" w:eastAsia="仿宋_GB2312" w:cs="Times New Roman"/>
          <w:sz w:val="32"/>
        </w:rPr>
        <w:t>联合惩戒机制</w:t>
      </w:r>
      <w:r>
        <w:rPr>
          <w:rFonts w:hint="eastAsia" w:ascii="Times New Roman" w:hAnsi="Times New Roman" w:eastAsia="仿宋_GB2312" w:cs="Times New Roman"/>
          <w:sz w:val="32"/>
        </w:rPr>
        <w:t>。开展知识产权行政保护执法专项治理，建立健全行政执法证据采信制度。组织关键领域、重点环节行政执法专项行动，严厉打击侵犯商标、专利、地理标志等知识产权违法行为。</w:t>
      </w:r>
    </w:p>
    <w:p w14:paraId="6DF75596">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sz w:val="32"/>
        </w:rPr>
      </w:pPr>
      <w:r>
        <w:rPr>
          <w:rFonts w:hint="eastAsia" w:ascii="Times New Roman" w:hAnsi="Times New Roman" w:eastAsia="仿宋_GB2312" w:cs="Times New Roman"/>
          <w:b/>
          <w:bCs/>
          <w:sz w:val="32"/>
          <w:lang w:eastAsia="zh-CN"/>
        </w:rPr>
        <w:t>强化企业</w:t>
      </w:r>
      <w:r>
        <w:rPr>
          <w:rFonts w:hint="eastAsia" w:ascii="Times New Roman" w:hAnsi="Times New Roman" w:eastAsia="仿宋_GB2312" w:cs="Times New Roman"/>
          <w:b/>
          <w:bCs/>
          <w:sz w:val="32"/>
        </w:rPr>
        <w:t>商业秘密保护</w:t>
      </w:r>
      <w:r>
        <w:rPr>
          <w:rFonts w:hint="eastAsia" w:ascii="Times New Roman" w:hAnsi="Times New Roman" w:eastAsia="仿宋_GB2312" w:cs="Times New Roman"/>
          <w:b/>
          <w:bCs/>
          <w:sz w:val="32"/>
          <w:lang w:eastAsia="zh-CN"/>
        </w:rPr>
        <w:t>力度</w:t>
      </w:r>
      <w:r>
        <w:rPr>
          <w:rFonts w:hint="eastAsia" w:ascii="Times New Roman" w:hAnsi="Times New Roman" w:eastAsia="仿宋_GB2312" w:cs="Times New Roman"/>
          <w:b/>
          <w:bCs/>
          <w:sz w:val="32"/>
        </w:rPr>
        <w:t>。</w:t>
      </w:r>
      <w:r>
        <w:rPr>
          <w:rFonts w:hint="eastAsia" w:ascii="Times New Roman" w:hAnsi="Times New Roman" w:eastAsia="仿宋_GB2312" w:cs="Times New Roman"/>
          <w:sz w:val="32"/>
          <w:lang w:val="en-US"/>
        </w:rPr>
        <w:t>加强商业秘密保护普法宣传</w:t>
      </w:r>
      <w:r>
        <w:rPr>
          <w:rFonts w:hint="eastAsia" w:ascii="Times New Roman" w:hAnsi="Times New Roman" w:eastAsia="仿宋_GB2312" w:cs="Times New Roman"/>
          <w:sz w:val="32"/>
          <w:lang w:val="en-US" w:eastAsia="zh-CN"/>
        </w:rPr>
        <w:t>，</w:t>
      </w:r>
      <w:r>
        <w:rPr>
          <w:rFonts w:hint="eastAsia" w:ascii="Times New Roman" w:hAnsi="Times New Roman" w:eastAsia="仿宋_GB2312" w:cs="Times New Roman"/>
          <w:sz w:val="32"/>
          <w:lang w:val="en-US"/>
        </w:rPr>
        <w:t>加强对行业组织和企业的引导教育，</w:t>
      </w:r>
      <w:r>
        <w:rPr>
          <w:rFonts w:hint="default" w:ascii="Times New Roman" w:hAnsi="Times New Roman" w:eastAsia="仿宋_GB2312" w:cs="Times New Roman"/>
          <w:sz w:val="32"/>
        </w:rPr>
        <w:t>增强</w:t>
      </w:r>
      <w:r>
        <w:rPr>
          <w:rFonts w:hint="eastAsia" w:ascii="Times New Roman" w:hAnsi="Times New Roman" w:eastAsia="仿宋_GB2312" w:cs="Times New Roman"/>
          <w:sz w:val="32"/>
          <w:lang w:val="en-US"/>
        </w:rPr>
        <w:t>经营者商业秘密保护意识，构建社会共治治理体系。</w:t>
      </w:r>
      <w:r>
        <w:rPr>
          <w:rFonts w:hint="eastAsia" w:ascii="Times New Roman" w:hAnsi="Times New Roman" w:eastAsia="仿宋_GB2312" w:cs="Times New Roman"/>
          <w:sz w:val="32"/>
        </w:rPr>
        <w:t>加强投诉举报核查，加大商业秘密保护执法力度</w:t>
      </w:r>
      <w:r>
        <w:rPr>
          <w:rFonts w:hint="eastAsia" w:ascii="Times New Roman" w:hAnsi="Times New Roman" w:eastAsia="仿宋_GB2312" w:cs="Times New Roman"/>
          <w:sz w:val="32"/>
          <w:lang w:val="en-US" w:eastAsia="zh-CN"/>
        </w:rPr>
        <w:t>，</w:t>
      </w:r>
      <w:r>
        <w:rPr>
          <w:rFonts w:hint="eastAsia" w:ascii="Times New Roman" w:hAnsi="Times New Roman" w:eastAsia="仿宋_GB2312" w:cs="Times New Roman"/>
          <w:sz w:val="32"/>
          <w:lang w:val="en-US"/>
        </w:rPr>
        <w:t>着力查处侵犯商业秘密违法行为</w:t>
      </w:r>
      <w:r>
        <w:rPr>
          <w:rFonts w:hint="eastAsia" w:ascii="Times New Roman" w:hAnsi="Times New Roman" w:eastAsia="仿宋_GB2312" w:cs="Times New Roman"/>
          <w:sz w:val="32"/>
        </w:rPr>
        <w:t>。</w:t>
      </w:r>
    </w:p>
    <w:p w14:paraId="5BA7F2C9">
      <w:pPr>
        <w:keepNext w:val="0"/>
        <w:keepLines w:val="0"/>
        <w:pageBreakBefore w:val="0"/>
        <w:widowControl w:val="0"/>
        <w:numPr>
          <w:ilvl w:val="0"/>
          <w:numId w:val="0"/>
        </w:numPr>
        <w:tabs>
          <w:tab w:val="left" w:pos="606"/>
        </w:tabs>
        <w:kinsoku/>
        <w:wordWrap/>
        <w:autoSpaceDE/>
        <w:autoSpaceDN/>
        <w:bidi w:val="0"/>
        <w:adjustRightInd/>
        <w:snapToGrid/>
        <w:spacing w:line="580" w:lineRule="exact"/>
        <w:ind w:left="630" w:leftChars="0" w:right="0" w:rightChars="0" w:firstLine="0" w:firstLineChars="0"/>
        <w:textAlignment w:val="auto"/>
        <w:outlineLvl w:val="1"/>
        <w:rPr>
          <w:rFonts w:hint="eastAsia" w:ascii="黑体" w:hAnsi="黑体" w:eastAsia="黑体" w:cs="黑体"/>
          <w:b w:val="0"/>
          <w:bCs w:val="0"/>
          <w:color w:val="FF0000"/>
          <w:sz w:val="32"/>
          <w:lang w:val="en-US" w:eastAsia="zh-CN"/>
        </w:rPr>
      </w:pPr>
      <w:bookmarkStart w:id="14" w:name="_Toc6163"/>
      <w:r>
        <w:rPr>
          <w:rFonts w:hint="eastAsia" w:ascii="Times New Roman" w:hAnsi="Times New Roman" w:eastAsia="黑体" w:cs="Times New Roman"/>
          <w:sz w:val="32"/>
          <w:szCs w:val="32"/>
          <w:lang w:eastAsia="zh-CN"/>
        </w:rPr>
        <w:t>二、夯实质量发展根基，助力质量强市建设新征程</w:t>
      </w:r>
      <w:bookmarkEnd w:id="14"/>
    </w:p>
    <w:p w14:paraId="10761B9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黑体" w:hAnsi="黑体" w:eastAsia="黑体" w:cs="黑体"/>
          <w:b w:val="0"/>
          <w:bCs w:val="0"/>
          <w:color w:val="FF0000"/>
          <w:sz w:val="32"/>
          <w:lang w:val="en-US" w:eastAsia="zh-CN"/>
        </w:rPr>
      </w:pPr>
      <w:bookmarkStart w:id="15" w:name="_Toc22481"/>
      <w:r>
        <w:rPr>
          <w:rFonts w:hint="eastAsia" w:ascii="楷体_GB2312" w:hAnsi="楷体_GB2312" w:eastAsia="楷体_GB2312" w:cs="楷体_GB2312"/>
          <w:color w:val="auto"/>
          <w:sz w:val="32"/>
          <w:szCs w:val="32"/>
          <w:lang w:val="en-US" w:eastAsia="zh-CN"/>
        </w:rPr>
        <w:t>(一</w:t>
      </w:r>
      <w:r>
        <w:rPr>
          <w:rFonts w:hint="default"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highlight w:val="none"/>
          <w:lang w:val="en-US" w:eastAsia="zh-CN"/>
        </w:rPr>
        <w:t>纵深推进质量强企强链强县行动</w:t>
      </w:r>
    </w:p>
    <w:p w14:paraId="004F984B">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仿宋_GB2312" w:hAnsi="仿宋_GB2312" w:eastAsia="仿宋_GB2312" w:cs="仿宋_GB2312"/>
          <w:b w:val="0"/>
          <w:bCs w:val="0"/>
          <w:color w:val="auto"/>
          <w:sz w:val="32"/>
          <w:lang w:val="en-US" w:eastAsia="zh"/>
        </w:rPr>
      </w:pPr>
      <w:bookmarkStart w:id="16" w:name="OLE_LINK2"/>
      <w:r>
        <w:rPr>
          <w:rFonts w:hint="default" w:ascii="Times New Roman" w:hAnsi="Times New Roman" w:eastAsia="仿宋_GB2312" w:cs="Times New Roman"/>
          <w:b/>
          <w:bCs/>
          <w:color w:val="auto"/>
          <w:sz w:val="32"/>
          <w:lang w:val="en-US" w:eastAsia="zh-CN"/>
        </w:rPr>
        <w:t>加快产品质量提档升级。</w:t>
      </w:r>
      <w:r>
        <w:rPr>
          <w:rFonts w:hint="default" w:ascii="仿宋_GB2312" w:hAnsi="仿宋_GB2312" w:eastAsia="仿宋_GB2312" w:cs="仿宋_GB2312"/>
          <w:b w:val="0"/>
          <w:bCs w:val="0"/>
          <w:color w:val="auto"/>
          <w:sz w:val="32"/>
          <w:lang w:val="en-US" w:eastAsia="zh-CN"/>
        </w:rPr>
        <w:t>实施重点产品质量阶梯攀登工程，加强产业集聚区恶性竞争治理。实施品牌建设工程，在传统产业、新兴产业的园区和集聚区探索一批产业集群质量品牌发展新模式，培育一批竞争力强、美誉度高、影响力大的集群品牌。</w:t>
      </w:r>
    </w:p>
    <w:p w14:paraId="0ACFF299">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仿宋_GB2312" w:hAnsi="仿宋_GB2312" w:eastAsia="仿宋_GB2312" w:cs="仿宋_GB2312"/>
          <w:color w:val="auto"/>
          <w:sz w:val="32"/>
          <w:lang w:eastAsia="zh"/>
        </w:rPr>
      </w:pPr>
      <w:r>
        <w:rPr>
          <w:rFonts w:hint="eastAsia" w:ascii="Times New Roman" w:hAnsi="Times New Roman" w:eastAsia="仿宋_GB2312" w:cs="Times New Roman"/>
          <w:b/>
          <w:bCs/>
          <w:color w:val="auto"/>
          <w:sz w:val="32"/>
        </w:rPr>
        <w:t>推动企业质量管理创新。</w:t>
      </w:r>
      <w:r>
        <w:rPr>
          <w:rFonts w:hint="eastAsia" w:ascii="仿宋_GB2312" w:hAnsi="Times New Roman" w:eastAsia="仿宋_GB2312" w:cs="仿宋_GB2312"/>
          <w:b w:val="0"/>
          <w:bCs w:val="0"/>
          <w:color w:val="auto"/>
          <w:kern w:val="0"/>
          <w:sz w:val="32"/>
          <w:szCs w:val="32"/>
          <w:lang w:val="en-US" w:eastAsia="zh-CN" w:bidi="ar"/>
        </w:rPr>
        <w:t>压实企业质量主体责任，督促企业配齐质量安全总监、质量安全员。加强先进质量管理体系与方法的推广应用，全面落实首席质量官制度。</w:t>
      </w:r>
      <w:r>
        <w:rPr>
          <w:rFonts w:hint="eastAsia" w:ascii="仿宋_GB2312" w:hAnsi="Times New Roman" w:eastAsia="仿宋_GB2312" w:cs="仿宋_GB2312"/>
          <w:b w:val="0"/>
          <w:bCs w:val="0"/>
          <w:color w:val="auto"/>
          <w:kern w:val="0"/>
          <w:sz w:val="32"/>
          <w:szCs w:val="32"/>
          <w:lang w:val="en-US" w:eastAsia="zh" w:bidi="ar"/>
        </w:rPr>
        <w:t>开展各级质量奖培育工作，</w:t>
      </w:r>
      <w:r>
        <w:rPr>
          <w:rFonts w:hint="eastAsia" w:ascii="仿宋_GB2312" w:hAnsi="Times New Roman" w:eastAsia="仿宋_GB2312" w:cs="仿宋_GB2312"/>
          <w:b w:val="0"/>
          <w:bCs w:val="0"/>
          <w:color w:val="auto"/>
          <w:kern w:val="0"/>
          <w:sz w:val="32"/>
          <w:szCs w:val="32"/>
          <w:lang w:val="en-US" w:eastAsia="zh-CN" w:bidi="ar"/>
        </w:rPr>
        <w:t>大力宣贯获奖企业先进管理经验</w:t>
      </w:r>
      <w:r>
        <w:rPr>
          <w:rFonts w:hint="eastAsia" w:ascii="仿宋_GB2312" w:hAnsi="Times New Roman" w:eastAsia="仿宋_GB2312" w:cs="仿宋_GB2312"/>
          <w:b w:val="0"/>
          <w:bCs w:val="0"/>
          <w:color w:val="auto"/>
          <w:kern w:val="0"/>
          <w:sz w:val="32"/>
          <w:szCs w:val="32"/>
          <w:lang w:val="en-US" w:eastAsia="zh" w:bidi="ar"/>
        </w:rPr>
        <w:t>。引导企</w:t>
      </w:r>
      <w:r>
        <w:rPr>
          <w:rFonts w:hint="eastAsia" w:ascii="仿宋_GB2312" w:hAnsi="仿宋_GB2312" w:eastAsia="仿宋_GB2312" w:cs="仿宋_GB2312"/>
          <w:color w:val="auto"/>
          <w:sz w:val="32"/>
          <w:lang w:eastAsia="zh"/>
        </w:rPr>
        <w:t>业将质量管理与数字化深度融合。</w:t>
      </w:r>
    </w:p>
    <w:p w14:paraId="6A6AAC38">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仿宋_GB2312" w:hAnsi="仿宋_GB2312" w:eastAsia="仿宋_GB2312" w:cs="仿宋_GB2312"/>
          <w:b w:val="0"/>
          <w:bCs w:val="0"/>
          <w:color w:val="auto"/>
          <w:kern w:val="2"/>
          <w:sz w:val="32"/>
          <w:szCs w:val="32"/>
          <w:lang w:val="en-US" w:eastAsia="zh"/>
        </w:rPr>
      </w:pPr>
      <w:r>
        <w:rPr>
          <w:rFonts w:hint="eastAsia" w:ascii="Times New Roman" w:hAnsi="Times New Roman" w:eastAsia="仿宋_GB2312" w:cs="Times New Roman"/>
          <w:b/>
          <w:bCs/>
          <w:color w:val="auto"/>
          <w:sz w:val="32"/>
          <w:lang w:eastAsia="zh-CN"/>
        </w:rPr>
        <w:t>聚力</w:t>
      </w:r>
      <w:r>
        <w:rPr>
          <w:rFonts w:hint="eastAsia" w:ascii="Times New Roman" w:hAnsi="Times New Roman" w:eastAsia="仿宋_GB2312" w:cs="Times New Roman"/>
          <w:b/>
          <w:bCs/>
          <w:color w:val="auto"/>
          <w:sz w:val="32"/>
        </w:rPr>
        <w:t>重点产业链质量提升。</w:t>
      </w:r>
      <w:r>
        <w:rPr>
          <w:rFonts w:hint="eastAsia" w:ascii="仿宋_GB2312" w:hAnsi="仿宋_GB2312" w:eastAsia="仿宋_GB2312" w:cs="仿宋_GB2312"/>
          <w:b w:val="0"/>
          <w:bCs w:val="0"/>
          <w:color w:val="auto"/>
          <w:kern w:val="2"/>
          <w:sz w:val="32"/>
          <w:szCs w:val="32"/>
          <w:lang w:val="en-US" w:eastAsia="zh-CN"/>
        </w:rPr>
        <w:t>围绕绿色石化、海上风电、纺织服装等重点产业链开展质量强链专项行动。发挥“链主”企业牵引作用，</w:t>
      </w:r>
      <w:r>
        <w:rPr>
          <w:rFonts w:hint="eastAsia" w:ascii="仿宋_GB2312" w:hAnsi="Times New Roman" w:eastAsia="仿宋_GB2312" w:cs="仿宋_GB2312"/>
          <w:b w:val="0"/>
          <w:bCs w:val="0"/>
          <w:color w:val="auto"/>
          <w:kern w:val="0"/>
          <w:sz w:val="32"/>
          <w:szCs w:val="32"/>
          <w:lang w:val="en-US" w:eastAsia="zh-CN" w:bidi="ar"/>
        </w:rPr>
        <w:t>创新产业链质量提升机制，</w:t>
      </w:r>
      <w:r>
        <w:rPr>
          <w:rFonts w:hint="eastAsia" w:ascii="仿宋_GB2312" w:hAnsi="仿宋_GB2312" w:eastAsia="仿宋_GB2312" w:cs="仿宋_GB2312"/>
          <w:b w:val="0"/>
          <w:bCs w:val="0"/>
          <w:color w:val="auto"/>
          <w:kern w:val="2"/>
          <w:sz w:val="32"/>
          <w:szCs w:val="32"/>
          <w:lang w:val="en-US" w:eastAsia="zh-CN"/>
        </w:rPr>
        <w:t>推动先进质量理念、方法向全产业链延伸，实现全链条质量整体跃升。</w:t>
      </w:r>
    </w:p>
    <w:p w14:paraId="7D1D231E">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default" w:ascii="仿宋_GB2312" w:hAnsi="Times New Roman" w:eastAsia="仿宋_GB2312" w:cs="仿宋_GB2312"/>
          <w:b w:val="0"/>
          <w:bCs w:val="0"/>
          <w:color w:val="auto"/>
          <w:kern w:val="0"/>
          <w:sz w:val="32"/>
          <w:szCs w:val="32"/>
          <w:lang w:val="en-US" w:eastAsia="zh-CN" w:bidi="ar"/>
        </w:rPr>
      </w:pPr>
      <w:r>
        <w:rPr>
          <w:rFonts w:hint="eastAsia" w:ascii="Times New Roman" w:hAnsi="Times New Roman" w:eastAsia="仿宋_GB2312" w:cs="Times New Roman"/>
          <w:b/>
          <w:bCs/>
          <w:color w:val="auto"/>
          <w:sz w:val="32"/>
        </w:rPr>
        <w:t>提升县域质量发展水平。</w:t>
      </w:r>
      <w:r>
        <w:rPr>
          <w:rFonts w:hint="eastAsia" w:ascii="仿宋_GB2312" w:hAnsi="仿宋_GB2312" w:eastAsia="仿宋_GB2312" w:cs="仿宋_GB2312"/>
          <w:b w:val="0"/>
          <w:bCs w:val="0"/>
          <w:color w:val="auto"/>
          <w:kern w:val="2"/>
          <w:sz w:val="32"/>
          <w:szCs w:val="32"/>
          <w:lang w:val="en-US" w:eastAsia="zh-CN"/>
        </w:rPr>
        <w:t>持续</w:t>
      </w:r>
      <w:r>
        <w:rPr>
          <w:rFonts w:hint="eastAsia" w:ascii="仿宋_GB2312" w:hAnsi="仿宋_GB2312" w:eastAsia="仿宋_GB2312" w:cs="仿宋_GB2312"/>
          <w:color w:val="auto"/>
          <w:kern w:val="2"/>
          <w:sz w:val="32"/>
          <w:szCs w:val="32"/>
          <w:lang w:val="en-US" w:eastAsia="zh-CN" w:bidi="ar-SA"/>
        </w:rPr>
        <w:t>深化普宁市质量强县培育工作，</w:t>
      </w:r>
      <w:r>
        <w:rPr>
          <w:rFonts w:hint="eastAsia" w:ascii="仿宋_GB2312" w:hAnsi="Times New Roman" w:eastAsia="仿宋_GB2312" w:cs="仿宋_GB2312"/>
          <w:b w:val="0"/>
          <w:bCs w:val="0"/>
          <w:color w:val="auto"/>
          <w:kern w:val="0"/>
          <w:sz w:val="32"/>
          <w:szCs w:val="32"/>
          <w:lang w:val="en-US" w:eastAsia="zh-CN" w:bidi="ar"/>
        </w:rPr>
        <w:t>依托地方资源优势完善质量配套政策，开展质量提升行动。总结提炼普宁质量强县典型案例，辐射带动全域县域质量协同高质量发展。</w:t>
      </w:r>
    </w:p>
    <w:bookmarkEnd w:id="16"/>
    <w:p w14:paraId="44913F0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rPr>
        <w:t>(二</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构建高水平标准体系</w:t>
      </w:r>
      <w:bookmarkEnd w:id="15"/>
    </w:p>
    <w:p w14:paraId="27D37E5D">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sz w:val="32"/>
        </w:rPr>
      </w:pPr>
      <w:bookmarkStart w:id="17" w:name="_Toc3314"/>
      <w:r>
        <w:rPr>
          <w:rFonts w:hint="eastAsia" w:ascii="Times New Roman" w:hAnsi="Times New Roman" w:eastAsia="仿宋_GB2312" w:cs="Times New Roman"/>
          <w:b/>
          <w:bCs/>
          <w:sz w:val="32"/>
        </w:rPr>
        <w:t>深化地方标准管理制度改革。</w:t>
      </w:r>
      <w:r>
        <w:rPr>
          <w:rFonts w:hint="default" w:ascii="Times New Roman" w:hAnsi="Times New Roman" w:eastAsia="仿宋_GB2312" w:cs="Times New Roman"/>
          <w:sz w:val="32"/>
          <w:lang w:val="en-US" w:eastAsia="zh-CN"/>
        </w:rPr>
        <w:t>推进存量地方标准清理，</w:t>
      </w:r>
      <w:r>
        <w:rPr>
          <w:rFonts w:hint="eastAsia" w:ascii="Times New Roman" w:hAnsi="Times New Roman" w:eastAsia="仿宋_GB2312" w:cs="Times New Roman"/>
          <w:sz w:val="32"/>
        </w:rPr>
        <w:t>按照负面清单压减存量标准</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优化现行</w:t>
      </w:r>
      <w:r>
        <w:rPr>
          <w:rFonts w:hint="eastAsia" w:ascii="Times New Roman" w:hAnsi="Times New Roman" w:eastAsia="仿宋_GB2312" w:cs="Times New Roman"/>
          <w:sz w:val="32"/>
          <w:lang w:eastAsia="zh-CN"/>
        </w:rPr>
        <w:t>市级地方</w:t>
      </w:r>
      <w:r>
        <w:rPr>
          <w:rFonts w:hint="eastAsia" w:ascii="Times New Roman" w:hAnsi="Times New Roman" w:eastAsia="仿宋_GB2312" w:cs="Times New Roman"/>
          <w:sz w:val="32"/>
        </w:rPr>
        <w:t>标准</w:t>
      </w:r>
      <w:r>
        <w:rPr>
          <w:rFonts w:hint="eastAsia" w:ascii="Times New Roman" w:hAnsi="Times New Roman" w:eastAsia="仿宋_GB2312" w:cs="Times New Roman"/>
          <w:sz w:val="32"/>
          <w:lang w:eastAsia="zh-CN"/>
        </w:rPr>
        <w:t>，鼓励参与制定省级地方标准。配合</w:t>
      </w:r>
      <w:r>
        <w:rPr>
          <w:rFonts w:hint="eastAsia" w:ascii="Times New Roman" w:hAnsi="Times New Roman" w:eastAsia="仿宋_GB2312" w:cs="Times New Roman"/>
          <w:sz w:val="32"/>
        </w:rPr>
        <w:t>推动</w:t>
      </w:r>
      <w:r>
        <w:rPr>
          <w:rFonts w:hint="eastAsia" w:ascii="Times New Roman" w:hAnsi="Times New Roman" w:eastAsia="仿宋_GB2312" w:cs="Times New Roman"/>
          <w:sz w:val="32"/>
          <w:lang w:eastAsia="zh-CN"/>
        </w:rPr>
        <w:t>地方标准</w:t>
      </w:r>
      <w:r>
        <w:rPr>
          <w:rFonts w:hint="eastAsia" w:ascii="Times New Roman" w:hAnsi="Times New Roman" w:eastAsia="仿宋_GB2312" w:cs="Times New Roman"/>
          <w:sz w:val="32"/>
        </w:rPr>
        <w:t>转化为国际标准、国家标准、行业标准。</w:t>
      </w:r>
    </w:p>
    <w:p w14:paraId="3B9AD128">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color w:val="auto"/>
          <w:sz w:val="32"/>
        </w:rPr>
      </w:pPr>
      <w:r>
        <w:rPr>
          <w:rFonts w:hint="eastAsia" w:ascii="Times New Roman" w:hAnsi="Times New Roman" w:eastAsia="仿宋_GB2312" w:cs="Times New Roman"/>
          <w:b/>
          <w:bCs/>
          <w:sz w:val="32"/>
        </w:rPr>
        <w:t>加快</w:t>
      </w:r>
      <w:r>
        <w:rPr>
          <w:rFonts w:hint="eastAsia" w:ascii="Times New Roman" w:hAnsi="Times New Roman" w:eastAsia="仿宋_GB2312" w:cs="Times New Roman"/>
          <w:b/>
          <w:bCs/>
          <w:sz w:val="32"/>
          <w:lang w:eastAsia="zh-CN"/>
        </w:rPr>
        <w:t>重点</w:t>
      </w:r>
      <w:r>
        <w:rPr>
          <w:rFonts w:hint="eastAsia" w:ascii="Times New Roman" w:hAnsi="Times New Roman" w:eastAsia="仿宋_GB2312" w:cs="Times New Roman"/>
          <w:b/>
          <w:bCs/>
          <w:sz w:val="32"/>
        </w:rPr>
        <w:t>产业标准体系建设。</w:t>
      </w:r>
      <w:r>
        <w:rPr>
          <w:rFonts w:hint="eastAsia" w:ascii="Times New Roman" w:hAnsi="Times New Roman" w:eastAsia="仿宋_GB2312" w:cs="Times New Roman"/>
          <w:sz w:val="32"/>
        </w:rPr>
        <w:t>围绕绿色石化、海洋经济服装制鞋、五金机电、物流电商、食品加工和大健康等我市优势和特色产业研制一批关键技术标准。协同推进产业链上下游、产业生态体系各环节重点标准研制与实</w:t>
      </w:r>
      <w:r>
        <w:rPr>
          <w:rFonts w:hint="eastAsia" w:ascii="Times New Roman" w:hAnsi="Times New Roman" w:eastAsia="仿宋_GB2312" w:cs="Times New Roman"/>
          <w:color w:val="auto"/>
          <w:sz w:val="32"/>
        </w:rPr>
        <w:t>施。</w:t>
      </w:r>
    </w:p>
    <w:p w14:paraId="1651A3BC">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color w:val="auto"/>
          <w:sz w:val="32"/>
        </w:rPr>
      </w:pPr>
      <w:r>
        <w:rPr>
          <w:rFonts w:hint="default" w:ascii="Times New Roman" w:hAnsi="Times New Roman" w:eastAsia="仿宋_GB2312" w:cs="Times New Roman"/>
          <w:b/>
          <w:bCs/>
          <w:color w:val="auto"/>
          <w:sz w:val="32"/>
          <w:lang w:val="en-US" w:eastAsia="zh-CN"/>
        </w:rPr>
        <w:t>激励市场自主制定标准。</w:t>
      </w:r>
      <w:r>
        <w:rPr>
          <w:rFonts w:hint="default" w:ascii="Times New Roman" w:hAnsi="Times New Roman" w:eastAsia="仿宋_GB2312" w:cs="Times New Roman"/>
          <w:color w:val="auto"/>
          <w:sz w:val="32"/>
          <w:lang w:val="en-US" w:eastAsia="zh-CN"/>
        </w:rPr>
        <w:t>开展团体标准培优，规范引导团体标准高质量发展。严格落实企业标准自我声明公开和监督制度，鼓励企业对标国际标准和国内外先进标准，制定实施高于推荐性标准相关技术要求的企业标准。</w:t>
      </w:r>
    </w:p>
    <w:p w14:paraId="44AAF434">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sz w:val="32"/>
        </w:rPr>
      </w:pPr>
      <w:r>
        <w:rPr>
          <w:rFonts w:hint="eastAsia" w:ascii="Times New Roman" w:hAnsi="Times New Roman" w:eastAsia="仿宋_GB2312" w:cs="Times New Roman"/>
          <w:b/>
          <w:bCs/>
          <w:sz w:val="32"/>
        </w:rPr>
        <w:t>深入推进标准国际化。</w:t>
      </w:r>
      <w:r>
        <w:rPr>
          <w:rFonts w:hint="eastAsia" w:ascii="Times New Roman" w:hAnsi="Times New Roman" w:eastAsia="仿宋_GB2312" w:cs="Times New Roman"/>
          <w:sz w:val="32"/>
        </w:rPr>
        <w:t>全方位提升参与国际标准化活动的能力，推动</w:t>
      </w:r>
      <w:r>
        <w:rPr>
          <w:rFonts w:hint="eastAsia" w:ascii="Times New Roman" w:hAnsi="Times New Roman" w:eastAsia="仿宋_GB2312" w:cs="Times New Roman"/>
          <w:sz w:val="32"/>
          <w:lang w:eastAsia="zh-CN"/>
        </w:rPr>
        <w:t>揭阳</w:t>
      </w:r>
      <w:r>
        <w:rPr>
          <w:rFonts w:hint="eastAsia" w:ascii="Times New Roman" w:hAnsi="Times New Roman" w:eastAsia="仿宋_GB2312" w:cs="Times New Roman"/>
          <w:sz w:val="32"/>
        </w:rPr>
        <w:t>标准化专家参与</w:t>
      </w:r>
      <w:r>
        <w:rPr>
          <w:rFonts w:hint="default" w:ascii="Times New Roman" w:hAnsi="Times New Roman" w:eastAsia="仿宋_GB2312" w:cs="Times New Roman"/>
          <w:sz w:val="32"/>
        </w:rPr>
        <w:t>国际标准化组织</w:t>
      </w:r>
      <w:r>
        <w:rPr>
          <w:rFonts w:hint="eastAsia" w:ascii="Times New Roman" w:hAnsi="Times New Roman" w:eastAsia="仿宋_GB2312" w:cs="Times New Roman"/>
          <w:sz w:val="32"/>
        </w:rPr>
        <w:t>治理。培育国际标准化人才队伍。</w:t>
      </w:r>
      <w:r>
        <w:rPr>
          <w:rFonts w:hint="eastAsia" w:ascii="Times New Roman" w:hAnsi="Times New Roman" w:eastAsia="仿宋_GB2312" w:cs="Times New Roman"/>
          <w:color w:val="auto"/>
          <w:sz w:val="32"/>
        </w:rPr>
        <w:t>鼓励企业及其他各类主体主导或参与国际标准和国外先进标准制修订。</w:t>
      </w:r>
      <w:r>
        <w:rPr>
          <w:rFonts w:hint="eastAsia" w:ascii="Times New Roman" w:hAnsi="Times New Roman" w:eastAsia="仿宋_GB2312" w:cs="Times New Roman"/>
          <w:sz w:val="32"/>
        </w:rPr>
        <w:t>加强标准化国际合作交流。</w:t>
      </w:r>
    </w:p>
    <w:p w14:paraId="253D79E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color w:val="auto"/>
          <w:sz w:val="32"/>
          <w:szCs w:val="32"/>
          <w:lang w:val="en-US"/>
        </w:rPr>
      </w:pPr>
      <w:r>
        <w:rPr>
          <w:rFonts w:hint="eastAsia" w:ascii="Times New Roman" w:hAnsi="Times New Roman" w:eastAsia="楷体_GB2312" w:cs="Times New Roman"/>
          <w:color w:val="auto"/>
          <w:sz w:val="32"/>
          <w:szCs w:val="32"/>
          <w:lang w:val="en-US"/>
        </w:rPr>
        <w:t>(三</w:t>
      </w: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val="en-US" w:eastAsia="zh-CN"/>
        </w:rPr>
        <w:t>强化</w:t>
      </w:r>
      <w:r>
        <w:rPr>
          <w:rFonts w:hint="eastAsia" w:ascii="Times New Roman" w:hAnsi="Times New Roman" w:eastAsia="楷体_GB2312" w:cs="Times New Roman"/>
          <w:color w:val="auto"/>
          <w:sz w:val="32"/>
          <w:szCs w:val="32"/>
          <w:lang w:val="en-US"/>
        </w:rPr>
        <w:t>计量技术基础支撑</w:t>
      </w:r>
      <w:bookmarkEnd w:id="17"/>
    </w:p>
    <w:p w14:paraId="455B59BE">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color w:val="auto"/>
          <w:sz w:val="32"/>
        </w:rPr>
      </w:pPr>
      <w:r>
        <w:rPr>
          <w:rFonts w:hint="eastAsia" w:ascii="Times New Roman" w:hAnsi="Times New Roman" w:eastAsia="仿宋_GB2312" w:cs="Times New Roman"/>
          <w:b/>
          <w:bCs/>
          <w:color w:val="auto"/>
          <w:sz w:val="32"/>
        </w:rPr>
        <w:t>深入实施计量强基工程。</w:t>
      </w:r>
      <w:r>
        <w:rPr>
          <w:rFonts w:hint="eastAsia" w:ascii="Times New Roman" w:hAnsi="Times New Roman" w:eastAsia="仿宋_GB2312" w:cs="Times New Roman"/>
          <w:color w:val="auto"/>
          <w:sz w:val="32"/>
        </w:rPr>
        <w:t>紧扣“一化一海五优特”产业集群发展需求，建立一批社会民生和高质量发展急需的高准确度、高稳定性计量标准，提升社会公用计量标准能级和覆盖率，构建与我市产业发展相匹配的现代计量标准体系。</w:t>
      </w:r>
    </w:p>
    <w:p w14:paraId="5DEA758E">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color w:val="auto"/>
          <w:sz w:val="32"/>
        </w:rPr>
      </w:pPr>
      <w:r>
        <w:rPr>
          <w:rFonts w:hint="eastAsia" w:ascii="Times New Roman" w:hAnsi="Times New Roman" w:eastAsia="仿宋_GB2312" w:cs="Times New Roman"/>
          <w:b/>
          <w:bCs/>
          <w:color w:val="auto"/>
          <w:sz w:val="32"/>
        </w:rPr>
        <w:t>创新计量监督管理模式。</w:t>
      </w:r>
      <w:r>
        <w:rPr>
          <w:rFonts w:hint="eastAsia" w:ascii="Times New Roman" w:hAnsi="Times New Roman" w:eastAsia="仿宋_GB2312" w:cs="Times New Roman"/>
          <w:color w:val="auto"/>
          <w:sz w:val="32"/>
        </w:rPr>
        <w:t>推进诚信计量分类监管，扩大诚信计量自我承诺的覆盖领域和范围，积极推行承诺赔付、红黄牌警示等诚信计量制度。健全完善计量监管体系，加强涉及民生、安全、医疗卫生等领域的计量监督检查，加大计量作弊查处力度。</w:t>
      </w:r>
    </w:p>
    <w:p w14:paraId="3DD8FE0F">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color w:val="auto"/>
          <w:sz w:val="32"/>
        </w:rPr>
      </w:pPr>
      <w:r>
        <w:rPr>
          <w:rFonts w:hint="eastAsia" w:ascii="Times New Roman" w:hAnsi="Times New Roman" w:eastAsia="仿宋_GB2312" w:cs="Times New Roman"/>
          <w:b/>
          <w:bCs/>
          <w:color w:val="auto"/>
          <w:sz w:val="32"/>
        </w:rPr>
        <w:t>做强产业计量技术服务。</w:t>
      </w:r>
      <w:r>
        <w:rPr>
          <w:rFonts w:hint="eastAsia" w:ascii="Times New Roman" w:hAnsi="Times New Roman" w:eastAsia="仿宋_GB2312" w:cs="Times New Roman"/>
          <w:color w:val="auto"/>
          <w:sz w:val="32"/>
        </w:rPr>
        <w:t>聚焦大南海石化工业区“一核心四集群”布局，持续提升广东省石化能源产业计量测试中心服务能力</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紧扣揭阳产业发展需求，围绕特色优势产业，主动对接争取国家、省级支持，谋划一批国家或省级产业计量质量等一站式公共技术服务平台，推动计量测试与产业深度融合，为揭阳产业高质量发展提供坚实计量技术支撑。</w:t>
      </w:r>
    </w:p>
    <w:p w14:paraId="13FB3A1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color w:val="auto"/>
          <w:sz w:val="32"/>
          <w:szCs w:val="32"/>
          <w:lang w:val="en-US"/>
        </w:rPr>
      </w:pPr>
      <w:bookmarkStart w:id="18" w:name="_Toc13763"/>
      <w:bookmarkStart w:id="19" w:name="_Toc25054"/>
      <w:r>
        <w:rPr>
          <w:rFonts w:hint="eastAsia" w:ascii="Times New Roman" w:hAnsi="Times New Roman" w:eastAsia="楷体_GB2312" w:cs="Times New Roman"/>
          <w:color w:val="auto"/>
          <w:sz w:val="32"/>
          <w:szCs w:val="32"/>
          <w:lang w:val="en-US"/>
        </w:rPr>
        <w:t>(四</w:t>
      </w: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val="en-US"/>
        </w:rPr>
        <w:t>提升</w:t>
      </w:r>
      <w:r>
        <w:rPr>
          <w:rFonts w:hint="eastAsia" w:ascii="Times New Roman" w:hAnsi="Times New Roman" w:eastAsia="楷体_GB2312" w:cs="Times New Roman"/>
          <w:color w:val="auto"/>
          <w:sz w:val="32"/>
          <w:szCs w:val="32"/>
          <w:lang w:val="en-US" w:eastAsia="zh-CN"/>
        </w:rPr>
        <w:t>检验</w:t>
      </w:r>
      <w:r>
        <w:rPr>
          <w:rFonts w:hint="eastAsia" w:ascii="Times New Roman" w:hAnsi="Times New Roman" w:eastAsia="楷体_GB2312" w:cs="Times New Roman"/>
          <w:color w:val="auto"/>
          <w:sz w:val="32"/>
          <w:szCs w:val="32"/>
          <w:lang w:val="en-US"/>
        </w:rPr>
        <w:t>检测认证服务效能</w:t>
      </w:r>
      <w:bookmarkEnd w:id="18"/>
    </w:p>
    <w:p w14:paraId="5F6F89CD">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仿宋" w:hAnsi="仿宋" w:eastAsia="仿宋" w:cs="仿宋"/>
          <w:b/>
          <w:bCs/>
          <w:color w:val="auto"/>
          <w:sz w:val="32"/>
          <w:lang w:val="en-US" w:eastAsia="zh-CN"/>
        </w:rPr>
      </w:pPr>
      <w:r>
        <w:rPr>
          <w:rFonts w:hint="eastAsia" w:ascii="Times New Roman" w:hAnsi="Times New Roman" w:eastAsia="仿宋_GB2312" w:cs="Times New Roman"/>
          <w:b/>
          <w:bCs/>
          <w:color w:val="auto"/>
          <w:sz w:val="32"/>
          <w:lang w:val="en-US" w:eastAsia="zh-CN"/>
        </w:rPr>
        <w:t>夯实认证检测基础设施建设。</w:t>
      </w:r>
      <w:r>
        <w:rPr>
          <w:rFonts w:hint="eastAsia" w:ascii="Times New Roman" w:hAnsi="Times New Roman" w:eastAsia="仿宋_GB2312" w:cs="Times New Roman"/>
          <w:color w:val="auto"/>
          <w:sz w:val="32"/>
          <w:lang w:val="en-US" w:eastAsia="zh-CN"/>
        </w:rPr>
        <w:t>提升检验检测专业化能力水平，加强检验检测认证行业公信力建设。推动检验检测、认证认可与计量、标准等要素融合应用，发挥质量认证作用，服务强企强链强县和质量强市。</w:t>
      </w:r>
    </w:p>
    <w:p w14:paraId="6C3A015C">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b/>
          <w:bCs/>
          <w:color w:val="auto"/>
          <w:sz w:val="32"/>
          <w:lang w:val="en-US" w:eastAsia="zh-CN"/>
        </w:rPr>
        <w:t>提升检验检测认证服务水平。</w:t>
      </w:r>
      <w:r>
        <w:rPr>
          <w:rFonts w:hint="eastAsia" w:ascii="仿宋_GB2312" w:hAnsi="仿宋_GB2312" w:eastAsia="仿宋_GB2312" w:cs="仿宋_GB2312"/>
          <w:color w:val="auto"/>
          <w:sz w:val="32"/>
          <w:lang w:val="en-US" w:eastAsia="zh-CN"/>
        </w:rPr>
        <w:t>大力发展检验检测认证服务业，在新材料、纺织服装等领域深入实施中小微企业质量管理体系认证提升。鼓励企业申请碳足迹标识认证，支持检验检测认证资源集聚发展。</w:t>
      </w:r>
    </w:p>
    <w:p w14:paraId="055F9429">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b/>
          <w:bCs/>
          <w:color w:val="auto"/>
          <w:sz w:val="32"/>
          <w:lang w:val="en-US" w:eastAsia="zh-CN"/>
        </w:rPr>
        <w:t>推动检验检测认证国际化发展。</w:t>
      </w:r>
      <w:r>
        <w:rPr>
          <w:rFonts w:hint="eastAsia" w:ascii="仿宋_GB2312" w:hAnsi="仿宋_GB2312" w:eastAsia="仿宋_GB2312" w:cs="仿宋_GB2312"/>
          <w:color w:val="auto"/>
          <w:sz w:val="32"/>
          <w:lang w:val="en-US" w:eastAsia="zh-CN"/>
        </w:rPr>
        <w:t>支持检验检测机构拓展境内外检测资质范围和服务领域。深入开展内外贸检测认证一体化服务行动，协调优化服务，推动认证检测服务赋能企业出海，助力企业拓展内外贸市场。</w:t>
      </w:r>
    </w:p>
    <w:p w14:paraId="7C4D7B08">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仿宋_GB2312" w:hAnsi="仿宋_GB2312" w:eastAsia="仿宋_GB2312" w:cs="仿宋_GB2312"/>
          <w:color w:val="auto"/>
          <w:sz w:val="32"/>
          <w:lang w:val="en-US" w:eastAsia="zh-CN"/>
        </w:rPr>
      </w:pPr>
      <w:r>
        <w:rPr>
          <w:rFonts w:hint="eastAsia" w:ascii="Times New Roman" w:hAnsi="Times New Roman" w:eastAsia="仿宋_GB2312" w:cs="Times New Roman"/>
          <w:b/>
          <w:bCs/>
          <w:color w:val="auto"/>
          <w:sz w:val="32"/>
        </w:rPr>
        <w:t>强化检验检测认证行业监管</w:t>
      </w:r>
      <w:r>
        <w:rPr>
          <w:rFonts w:hint="eastAsia" w:ascii="Times New Roman" w:hAnsi="Times New Roman" w:eastAsia="仿宋_GB2312" w:cs="Times New Roman"/>
          <w:b/>
          <w:bCs/>
          <w:color w:val="auto"/>
          <w:sz w:val="32"/>
          <w:lang w:val="en-US" w:eastAsia="zh-CN"/>
        </w:rPr>
        <w:t>。</w:t>
      </w:r>
      <w:r>
        <w:rPr>
          <w:rFonts w:hint="eastAsia" w:ascii="仿宋_GB2312" w:hAnsi="仿宋_GB2312" w:eastAsia="仿宋_GB2312" w:cs="仿宋_GB2312"/>
          <w:color w:val="auto"/>
          <w:sz w:val="32"/>
          <w:lang w:val="en-US" w:eastAsia="zh-CN"/>
        </w:rPr>
        <w:t>优化检验检测机构基础信息，实施检验检测机构分级分类监管和风险自动预警，提升智慧监管效能。推进认证违法行为“一案双查”，强化闭环监管。</w:t>
      </w:r>
    </w:p>
    <w:p w14:paraId="1CF161E4">
      <w:pPr>
        <w:pStyle w:val="12"/>
        <w:keepNext w:val="0"/>
        <w:keepLines w:val="0"/>
        <w:pageBreakBefore w:val="0"/>
        <w:widowControl/>
        <w:suppressLineNumbers w:val="0"/>
        <w:kinsoku/>
        <w:wordWrap/>
        <w:autoSpaceDE/>
        <w:autoSpaceDN/>
        <w:bidi w:val="0"/>
        <w:spacing w:before="0" w:beforeAutospacing="0" w:after="0" w:afterAutospacing="0" w:line="580" w:lineRule="exact"/>
        <w:ind w:left="0" w:leftChars="0" w:right="0" w:rightChars="0" w:firstLine="640" w:firstLineChars="200"/>
        <w:jc w:val="left"/>
        <w:outlineLvl w:val="1"/>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三、激活创新发展动能，全力推进知识产权强市建设</w:t>
      </w:r>
      <w:bookmarkEnd w:id="19"/>
    </w:p>
    <w:p w14:paraId="15BA2E48">
      <w:pPr>
        <w:keepNext w:val="0"/>
        <w:keepLines w:val="0"/>
        <w:pageBreakBefore w:val="0"/>
        <w:widowControl w:val="0"/>
        <w:numPr>
          <w:ilvl w:val="0"/>
          <w:numId w:val="0"/>
        </w:numPr>
        <w:tabs>
          <w:tab w:val="left" w:pos="606"/>
        </w:tabs>
        <w:kinsoku/>
        <w:wordWrap/>
        <w:autoSpaceDE/>
        <w:autoSpaceDN/>
        <w:bidi w:val="0"/>
        <w:adjustRightInd/>
        <w:snapToGrid/>
        <w:spacing w:beforeAutospacing="0" w:afterAutospacing="0" w:line="580" w:lineRule="exact"/>
        <w:ind w:left="0" w:leftChars="0" w:right="0" w:rightChars="0" w:firstLine="640" w:firstLineChars="200"/>
        <w:textAlignment w:val="auto"/>
        <w:outlineLvl w:val="2"/>
        <w:rPr>
          <w:rFonts w:hint="eastAsia" w:ascii="Times New Roman" w:hAnsi="Times New Roman" w:eastAsia="黑体" w:cs="Times New Roman"/>
          <w:b w:val="0"/>
          <w:bCs w:val="0"/>
          <w:color w:val="auto"/>
          <w:sz w:val="32"/>
          <w:szCs w:val="32"/>
          <w:lang w:val="en-US" w:eastAsia="zh-CN"/>
        </w:rPr>
      </w:pPr>
      <w:bookmarkStart w:id="20" w:name="_Toc11349"/>
      <w:r>
        <w:rPr>
          <w:rFonts w:hint="eastAsia" w:ascii="Times New Roman" w:hAnsi="Times New Roman" w:eastAsia="楷体_GB2312" w:cs="Times New Roman"/>
          <w:color w:val="auto"/>
          <w:sz w:val="32"/>
          <w:szCs w:val="32"/>
          <w:lang w:val="en-US" w:eastAsia="zh-CN"/>
        </w:rPr>
        <w:t>（一）构建高效协同知识产权保护体系</w:t>
      </w:r>
      <w:bookmarkEnd w:id="20"/>
    </w:p>
    <w:p w14:paraId="20B1958C">
      <w:pPr>
        <w:pStyle w:val="11"/>
        <w:keepNext w:val="0"/>
        <w:keepLines w:val="0"/>
        <w:pageBreakBefore w:val="0"/>
        <w:kinsoku/>
        <w:wordWrap/>
        <w:autoSpaceDE/>
        <w:autoSpaceDN/>
        <w:bidi w:val="0"/>
        <w:spacing w:beforeAutospacing="0" w:afterAutospacing="0" w:line="580" w:lineRule="exact"/>
        <w:ind w:left="0" w:leftChars="0" w:firstLine="643"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b/>
          <w:bCs/>
          <w:color w:val="auto"/>
          <w:kern w:val="2"/>
          <w:sz w:val="32"/>
          <w:szCs w:val="24"/>
          <w:lang w:val="en-US" w:eastAsia="zh-CN" w:bidi="ar-SA"/>
        </w:rPr>
        <w:t>深化知识产权纠纷多元化解。</w:t>
      </w:r>
      <w:r>
        <w:rPr>
          <w:rFonts w:hint="eastAsia" w:ascii="Times New Roman" w:hAnsi="Times New Roman" w:eastAsia="仿宋_GB2312" w:cs="Times New Roman"/>
          <w:color w:val="auto"/>
          <w:kern w:val="2"/>
          <w:sz w:val="32"/>
          <w:szCs w:val="24"/>
          <w:lang w:val="en-US" w:eastAsia="zh-CN" w:bidi="ar-SA"/>
        </w:rPr>
        <w:t>建立知识产权快速维权机制，打造揭阳优势产业知识产权快速维权阵地，提升专利预审质量和效率，助推产业转型升级，深入推进知</w:t>
      </w:r>
      <w:r>
        <w:rPr>
          <w:rFonts w:hint="eastAsia" w:ascii="Times New Roman" w:hAnsi="Times New Roman" w:eastAsia="仿宋_GB2312" w:cs="Times New Roman"/>
          <w:kern w:val="2"/>
          <w:sz w:val="32"/>
          <w:szCs w:val="24"/>
          <w:lang w:val="en-US" w:eastAsia="zh-CN" w:bidi="ar-SA"/>
        </w:rPr>
        <w:t>识产权纠纷多元化解工作。</w:t>
      </w:r>
    </w:p>
    <w:p w14:paraId="6C6B1927">
      <w:pPr>
        <w:pStyle w:val="11"/>
        <w:keepNext w:val="0"/>
        <w:keepLines w:val="0"/>
        <w:pageBreakBefore w:val="0"/>
        <w:kinsoku/>
        <w:wordWrap/>
        <w:autoSpaceDE/>
        <w:autoSpaceDN/>
        <w:bidi w:val="0"/>
        <w:spacing w:line="580" w:lineRule="exact"/>
        <w:ind w:left="0" w:leftChars="0" w:firstLine="643"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b/>
          <w:bCs/>
          <w:kern w:val="2"/>
          <w:sz w:val="32"/>
          <w:szCs w:val="24"/>
          <w:lang w:val="en-US" w:eastAsia="zh-CN" w:bidi="ar-SA"/>
        </w:rPr>
        <w:t>强化地理标志助力乡村振兴。</w:t>
      </w:r>
      <w:r>
        <w:rPr>
          <w:rFonts w:hint="eastAsia" w:ascii="Times New Roman" w:hAnsi="Times New Roman" w:eastAsia="仿宋_GB2312" w:cs="Times New Roman"/>
          <w:kern w:val="2"/>
          <w:sz w:val="32"/>
          <w:szCs w:val="24"/>
          <w:lang w:val="en-US" w:eastAsia="zh-CN" w:bidi="ar-SA"/>
        </w:rPr>
        <w:t>将地理标志保护工作作为助力乡村振兴战略的重要抓手，大力</w:t>
      </w:r>
      <w:r>
        <w:rPr>
          <w:rFonts w:hint="eastAsia" w:ascii="Times New Roman" w:hAnsi="Times New Roman" w:eastAsia="仿宋_GB2312" w:cs="Times New Roman"/>
          <w:color w:val="auto"/>
          <w:kern w:val="2"/>
          <w:sz w:val="32"/>
          <w:szCs w:val="24"/>
          <w:lang w:val="en-US" w:eastAsia="zh-CN" w:bidi="ar-SA"/>
        </w:rPr>
        <w:t>挖掘地理标志资源，支持条件成熟的产品申请地理标志产品、注册地理标志商标，扩大地理标志专用标志使用覆盖面，</w:t>
      </w:r>
      <w:r>
        <w:rPr>
          <w:rFonts w:hint="default" w:ascii="Times New Roman" w:hAnsi="Times New Roman" w:eastAsia="仿宋_GB2312" w:cs="Times New Roman"/>
          <w:color w:val="auto"/>
          <w:kern w:val="2"/>
          <w:sz w:val="32"/>
          <w:szCs w:val="24"/>
          <w:lang w:eastAsia="zh-CN" w:bidi="ar-SA"/>
        </w:rPr>
        <w:t>加大</w:t>
      </w:r>
      <w:r>
        <w:rPr>
          <w:rFonts w:hint="eastAsia" w:ascii="Times New Roman" w:hAnsi="Times New Roman" w:eastAsia="仿宋_GB2312" w:cs="Times New Roman"/>
          <w:color w:val="auto"/>
          <w:kern w:val="2"/>
          <w:sz w:val="32"/>
          <w:szCs w:val="24"/>
          <w:lang w:val="en-US" w:eastAsia="zh-CN" w:bidi="ar-SA"/>
        </w:rPr>
        <w:t>地理标志产品检查力度，促进区域特色经济发展，有力支撑</w:t>
      </w:r>
      <w:r>
        <w:rPr>
          <w:rFonts w:hint="eastAsia" w:ascii="Times New Roman" w:hAnsi="Times New Roman" w:eastAsia="仿宋_GB2312" w:cs="Times New Roman"/>
          <w:kern w:val="2"/>
          <w:sz w:val="32"/>
          <w:szCs w:val="24"/>
          <w:lang w:val="en-US" w:eastAsia="zh-CN" w:bidi="ar-SA"/>
        </w:rPr>
        <w:t>乡村振兴。</w:t>
      </w:r>
    </w:p>
    <w:p w14:paraId="26B5AAA2">
      <w:pPr>
        <w:pStyle w:val="11"/>
        <w:keepNext w:val="0"/>
        <w:keepLines w:val="0"/>
        <w:pageBreakBefore w:val="0"/>
        <w:kinsoku/>
        <w:wordWrap/>
        <w:autoSpaceDE/>
        <w:autoSpaceDN/>
        <w:bidi w:val="0"/>
        <w:spacing w:line="580" w:lineRule="exact"/>
        <w:ind w:left="0" w:leftChars="0" w:firstLine="643"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b/>
          <w:bCs/>
          <w:kern w:val="2"/>
          <w:sz w:val="32"/>
          <w:szCs w:val="24"/>
          <w:lang w:val="en-US" w:eastAsia="zh-CN" w:bidi="ar-SA"/>
        </w:rPr>
        <w:t>提升涉外知识产权保护能力。</w:t>
      </w:r>
      <w:r>
        <w:rPr>
          <w:rFonts w:hint="eastAsia" w:ascii="Times New Roman" w:hAnsi="Times New Roman" w:eastAsia="仿宋_GB2312" w:cs="Times New Roman"/>
          <w:kern w:val="2"/>
          <w:sz w:val="32"/>
          <w:szCs w:val="24"/>
          <w:lang w:val="en-US" w:eastAsia="zh-CN" w:bidi="ar-SA"/>
        </w:rPr>
        <w:t>加强涉外知识产权风险预警，及时收集、研判和发布重点国家知识产权纠纷信息和风险提示，加大涉外知识产权贸易调查、诉讼等纠纷预警力度。依托国家海外知识产权纠纷应对指导中心广东分中心，建立本地快速响应机制，为企业提供纠纷应对咨询、指导和资源对接。</w:t>
      </w:r>
    </w:p>
    <w:p w14:paraId="7493042E">
      <w:pPr>
        <w:pStyle w:val="11"/>
        <w:keepNext w:val="0"/>
        <w:keepLines w:val="0"/>
        <w:pageBreakBefore w:val="0"/>
        <w:numPr>
          <w:ilvl w:val="0"/>
          <w:numId w:val="0"/>
        </w:numPr>
        <w:kinsoku/>
        <w:wordWrap/>
        <w:autoSpaceDE/>
        <w:autoSpaceDN/>
        <w:bidi w:val="0"/>
        <w:spacing w:line="580" w:lineRule="exact"/>
        <w:ind w:firstLine="640" w:firstLineChars="200"/>
        <w:outlineLvl w:val="2"/>
        <w:rPr>
          <w:rFonts w:hint="eastAsia" w:ascii="Times New Roman" w:hAnsi="Times New Roman" w:eastAsia="楷体_GB2312" w:cs="Times New Roman"/>
          <w:color w:val="auto"/>
          <w:kern w:val="2"/>
          <w:sz w:val="32"/>
          <w:szCs w:val="32"/>
          <w:lang w:val="en-US" w:eastAsia="zh-CN" w:bidi="ar-SA"/>
        </w:rPr>
      </w:pPr>
      <w:bookmarkStart w:id="21" w:name="_Toc22859"/>
      <w:bookmarkStart w:id="22" w:name="_Toc835"/>
      <w:r>
        <w:rPr>
          <w:rFonts w:hint="eastAsia" w:ascii="Times New Roman" w:hAnsi="Times New Roman" w:eastAsia="楷体_GB2312" w:cs="Times New Roman"/>
          <w:color w:val="auto"/>
          <w:kern w:val="2"/>
          <w:sz w:val="32"/>
          <w:szCs w:val="32"/>
          <w:lang w:val="en-US" w:eastAsia="zh-CN" w:bidi="ar-SA"/>
        </w:rPr>
        <w:t>（二）构建高效顺畅的知识产权运用体系</w:t>
      </w:r>
    </w:p>
    <w:bookmarkEnd w:id="21"/>
    <w:p w14:paraId="024FA68F">
      <w:pPr>
        <w:pStyle w:val="11"/>
        <w:keepNext w:val="0"/>
        <w:keepLines w:val="0"/>
        <w:pageBreakBefore w:val="0"/>
        <w:numPr>
          <w:ilvl w:val="0"/>
          <w:numId w:val="0"/>
        </w:numPr>
        <w:kinsoku/>
        <w:wordWrap/>
        <w:autoSpaceDE/>
        <w:autoSpaceDN/>
        <w:bidi w:val="0"/>
        <w:spacing w:line="580" w:lineRule="exact"/>
        <w:ind w:firstLine="643" w:firstLineChars="200"/>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b/>
          <w:bCs/>
          <w:kern w:val="2"/>
          <w:sz w:val="32"/>
          <w:szCs w:val="24"/>
          <w:lang w:val="en-US" w:eastAsia="zh-CN" w:bidi="ar-SA"/>
        </w:rPr>
        <w:t>提升知识产权创造质效。</w:t>
      </w:r>
      <w:r>
        <w:rPr>
          <w:rFonts w:hint="eastAsia" w:ascii="Times New Roman" w:hAnsi="Times New Roman" w:eastAsia="仿宋_GB2312" w:cs="Times New Roman"/>
          <w:kern w:val="2"/>
          <w:sz w:val="32"/>
          <w:szCs w:val="24"/>
          <w:lang w:val="en-US" w:eastAsia="zh-CN" w:bidi="ar-SA"/>
        </w:rPr>
        <w:t>强化高价值专利创造，提高高价值发明专利占比。鼓励实施专利导航项目，建设并开放一批产业专利专题数据库，探索专利池建设与标准化融合模式。深化实施中小企业知识产权战略，发展知识产权金融，持续扩大质押融资</w:t>
      </w:r>
      <w:r>
        <w:rPr>
          <w:rFonts w:hint="eastAsia" w:ascii="Times New Roman" w:hAnsi="Times New Roman" w:eastAsia="仿宋_GB2312" w:cs="Times New Roman"/>
          <w:color w:val="auto"/>
          <w:kern w:val="2"/>
          <w:sz w:val="32"/>
          <w:szCs w:val="24"/>
          <w:lang w:val="en-US" w:eastAsia="zh-CN" w:bidi="ar-SA"/>
        </w:rPr>
        <w:t>惠及企业</w:t>
      </w:r>
      <w:r>
        <w:rPr>
          <w:rFonts w:hint="eastAsia" w:ascii="Times New Roman" w:hAnsi="Times New Roman" w:eastAsia="仿宋_GB2312" w:cs="Times New Roman"/>
          <w:kern w:val="2"/>
          <w:sz w:val="32"/>
          <w:szCs w:val="24"/>
          <w:lang w:val="en-US" w:eastAsia="zh-CN" w:bidi="ar-SA"/>
        </w:rPr>
        <w:t>范围。加强知识产权服务业监管，构建专业规范的服务行业。</w:t>
      </w:r>
    </w:p>
    <w:p w14:paraId="0F980CBA">
      <w:pPr>
        <w:pStyle w:val="11"/>
        <w:keepNext w:val="0"/>
        <w:keepLines w:val="0"/>
        <w:pageBreakBefore w:val="0"/>
        <w:kinsoku/>
        <w:wordWrap/>
        <w:autoSpaceDE/>
        <w:autoSpaceDN/>
        <w:bidi w:val="0"/>
        <w:spacing w:line="580" w:lineRule="exact"/>
        <w:ind w:left="0" w:leftChars="0" w:firstLine="643"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b/>
          <w:bCs/>
          <w:kern w:val="2"/>
          <w:sz w:val="32"/>
          <w:szCs w:val="24"/>
          <w:lang w:val="en-US" w:eastAsia="zh-CN" w:bidi="ar-SA"/>
        </w:rPr>
        <w:t>推进知识产权高效转化运用。</w:t>
      </w:r>
      <w:r>
        <w:rPr>
          <w:rFonts w:hint="eastAsia" w:ascii="Times New Roman" w:hAnsi="Times New Roman" w:eastAsia="仿宋_GB2312" w:cs="Times New Roman"/>
          <w:kern w:val="2"/>
          <w:sz w:val="32"/>
          <w:szCs w:val="24"/>
          <w:lang w:val="en-US" w:eastAsia="zh-CN" w:bidi="ar-SA"/>
        </w:rPr>
        <w:t>推动知识产权管理融入专精特新企业创新全过程，培育一批国家级知识产权示范后备企业。开展高校院所专利产业化调查与专利盘活工作，强化专利市场评价。积极推广“开放许可”等转化模式，加大专利密集型产品备案工作推广力度，持续提升其知晓度与影响力。</w:t>
      </w:r>
    </w:p>
    <w:p w14:paraId="65A5768D">
      <w:pPr>
        <w:pStyle w:val="11"/>
        <w:keepNext w:val="0"/>
        <w:keepLines w:val="0"/>
        <w:pageBreakBefore w:val="0"/>
        <w:kinsoku/>
        <w:wordWrap/>
        <w:autoSpaceDE/>
        <w:autoSpaceDN/>
        <w:bidi w:val="0"/>
        <w:spacing w:line="580" w:lineRule="exact"/>
        <w:ind w:left="0" w:leftChars="0" w:firstLine="643" w:firstLineChars="200"/>
        <w:rPr>
          <w:rFonts w:hint="eastAsia" w:ascii="Times New Roman" w:hAnsi="Times New Roman" w:eastAsia="仿宋_GB2312" w:cs="Times New Roman"/>
          <w:b/>
          <w:bCs/>
          <w:color w:val="auto"/>
          <w:kern w:val="2"/>
          <w:sz w:val="32"/>
          <w:szCs w:val="24"/>
          <w:lang w:val="en-US" w:eastAsia="zh-CN" w:bidi="ar-SA"/>
        </w:rPr>
      </w:pPr>
      <w:r>
        <w:rPr>
          <w:rFonts w:hint="eastAsia" w:ascii="Times New Roman" w:hAnsi="Times New Roman" w:eastAsia="仿宋_GB2312" w:cs="Times New Roman"/>
          <w:b/>
          <w:bCs/>
          <w:kern w:val="2"/>
          <w:sz w:val="32"/>
          <w:szCs w:val="24"/>
          <w:lang w:val="en-US" w:eastAsia="zh-CN" w:bidi="ar-SA"/>
        </w:rPr>
        <w:t>深入实施商标品牌发展战略。</w:t>
      </w:r>
      <w:r>
        <w:rPr>
          <w:rFonts w:hint="eastAsia" w:ascii="Times New Roman" w:hAnsi="Times New Roman" w:eastAsia="仿宋_GB2312" w:cs="Times New Roman"/>
          <w:kern w:val="2"/>
          <w:sz w:val="32"/>
          <w:szCs w:val="24"/>
          <w:lang w:val="en-US" w:eastAsia="zh-CN" w:bidi="ar-SA"/>
        </w:rPr>
        <w:t>建立健全商标注册行业自律机制，发挥国家知识产权局商标业务揭阳受理窗口的靠前服务优势，完善商标品牌指导站工作体系，推动重点行业协会设立商标品牌指导站，着力打造特色鲜明、竞争力强的产业集群与区域品牌。</w:t>
      </w:r>
    </w:p>
    <w:p w14:paraId="44476E77">
      <w:pPr>
        <w:keepNext w:val="0"/>
        <w:keepLines w:val="0"/>
        <w:pageBreakBefore w:val="0"/>
        <w:widowControl w:val="0"/>
        <w:numPr>
          <w:ilvl w:val="0"/>
          <w:numId w:val="0"/>
        </w:numPr>
        <w:tabs>
          <w:tab w:val="left" w:pos="606"/>
        </w:tabs>
        <w:kinsoku/>
        <w:wordWrap/>
        <w:autoSpaceDE/>
        <w:autoSpaceDN/>
        <w:bidi w:val="0"/>
        <w:adjustRightInd/>
        <w:snapToGrid/>
        <w:spacing w:beforeAutospacing="0" w:afterAutospacing="0" w:line="580" w:lineRule="exact"/>
        <w:ind w:left="0" w:leftChars="0" w:right="0" w:rightChars="0" w:firstLine="640" w:firstLineChars="200"/>
        <w:textAlignment w:val="auto"/>
        <w:outlineLvl w:val="2"/>
        <w:rPr>
          <w:rFonts w:hint="eastAsia" w:ascii="Times New Roman" w:hAnsi="Times New Roman" w:eastAsia="楷体_GB2312" w:cs="Times New Roman"/>
          <w:color w:val="auto"/>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（三）构建</w:t>
      </w:r>
      <w:r>
        <w:rPr>
          <w:rFonts w:hint="eastAsia" w:ascii="Times New Roman" w:hAnsi="Times New Roman" w:eastAsia="楷体_GB2312" w:cs="Times New Roman"/>
          <w:color w:val="auto"/>
          <w:kern w:val="2"/>
          <w:sz w:val="32"/>
          <w:szCs w:val="32"/>
          <w:lang w:val="en-US" w:eastAsia="zh-CN" w:bidi="ar-SA"/>
        </w:rPr>
        <w:t>高效便捷的知识产权公共服务</w:t>
      </w:r>
      <w:r>
        <w:rPr>
          <w:rFonts w:hint="eastAsia" w:ascii="Times New Roman" w:hAnsi="Times New Roman" w:eastAsia="楷体_GB2312" w:cs="Times New Roman"/>
          <w:kern w:val="2"/>
          <w:sz w:val="32"/>
          <w:szCs w:val="32"/>
          <w:lang w:val="en-US" w:eastAsia="zh-CN" w:bidi="ar-SA"/>
        </w:rPr>
        <w:t>体系</w:t>
      </w:r>
      <w:bookmarkEnd w:id="22"/>
    </w:p>
    <w:p w14:paraId="11F39F66">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b/>
          <w:bCs/>
          <w:color w:val="auto"/>
          <w:kern w:val="2"/>
          <w:sz w:val="32"/>
          <w:szCs w:val="24"/>
          <w:lang w:val="en-US" w:eastAsia="zh-CN" w:bidi="ar-SA"/>
        </w:rPr>
        <w:t>完善知识产权公共服务体系。</w:t>
      </w:r>
      <w:r>
        <w:rPr>
          <w:rFonts w:hint="eastAsia" w:ascii="Times New Roman" w:hAnsi="Times New Roman" w:eastAsia="仿宋_GB2312" w:cs="Times New Roman"/>
          <w:color w:val="auto"/>
          <w:kern w:val="2"/>
          <w:sz w:val="32"/>
          <w:szCs w:val="24"/>
          <w:lang w:val="en-US" w:eastAsia="zh-CN" w:bidi="ar-SA"/>
        </w:rPr>
        <w:t>强化知识产权公共服务节点建设，持续提升市知识产权公共服务中心服务能力，强化省市协同联动，争取省知识产权保护中心支持，探索共同建设广东省知识产权保护中心揭阳分中心，依托省级资源，为优化营商环境、服务创新发展提供有力支撑。支持有条件的县（市、区）打造契合本地区创新发展需求的综合性知识产权公共服务机构，推动公共服务机构发挥基础支撑与引领示范作用，辐射带动区域内各类公共服务机构提升服务能力。对标对表加强网点建设，力争申报省级知识产权公共服务网点。</w:t>
      </w:r>
    </w:p>
    <w:p w14:paraId="2BE2A173">
      <w:pPr>
        <w:keepNext w:val="0"/>
        <w:keepLines w:val="0"/>
        <w:pageBreakBefore w:val="0"/>
        <w:widowControl w:val="0"/>
        <w:numPr>
          <w:ilvl w:val="0"/>
          <w:numId w:val="0"/>
        </w:numPr>
        <w:tabs>
          <w:tab w:val="left" w:pos="606"/>
        </w:tabs>
        <w:kinsoku/>
        <w:wordWrap/>
        <w:autoSpaceDE/>
        <w:autoSpaceDN/>
        <w:bidi w:val="0"/>
        <w:adjustRightInd/>
        <w:snapToGrid/>
        <w:spacing w:beforeAutospacing="0" w:afterAutospacing="0" w:line="580" w:lineRule="exact"/>
        <w:ind w:left="0" w:leftChars="0" w:right="0" w:rightChars="0" w:firstLine="643" w:firstLineChars="200"/>
        <w:textAlignment w:val="auto"/>
        <w:outlineLvl w:val="2"/>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b/>
          <w:bCs/>
          <w:color w:val="auto"/>
          <w:kern w:val="2"/>
          <w:sz w:val="32"/>
          <w:szCs w:val="24"/>
          <w:lang w:val="en-US" w:eastAsia="zh-CN" w:bidi="ar-SA"/>
        </w:rPr>
        <w:t>推动知识产权公共服务提质增效。</w:t>
      </w:r>
      <w:r>
        <w:rPr>
          <w:rFonts w:hint="eastAsia" w:ascii="Times New Roman" w:hAnsi="Times New Roman" w:eastAsia="仿宋_GB2312" w:cs="Times New Roman"/>
          <w:color w:val="auto"/>
          <w:kern w:val="2"/>
          <w:sz w:val="32"/>
          <w:szCs w:val="24"/>
          <w:lang w:val="en-US" w:eastAsia="zh-CN" w:bidi="ar-SA"/>
        </w:rPr>
        <w:t>持续深化商标注册申请便利化改革，提升国家知识产权局商标业务揭阳受理窗口</w:t>
      </w:r>
      <w:r>
        <w:rPr>
          <w:rFonts w:hint="eastAsia" w:ascii="Times New Roman" w:hAnsi="Times New Roman" w:eastAsia="仿宋_GB2312" w:cs="Times New Roman"/>
          <w:kern w:val="2"/>
          <w:sz w:val="32"/>
          <w:szCs w:val="24"/>
          <w:lang w:val="en-US" w:eastAsia="zh-CN" w:bidi="ar-SA"/>
        </w:rPr>
        <w:t>服务效能。引导知识产权公共服务</w:t>
      </w:r>
      <w:r>
        <w:rPr>
          <w:rFonts w:hint="eastAsia" w:ascii="Times New Roman" w:hAnsi="Times New Roman" w:eastAsia="仿宋_GB2312" w:cs="Times New Roman"/>
          <w:color w:val="auto"/>
          <w:kern w:val="2"/>
          <w:sz w:val="32"/>
          <w:szCs w:val="24"/>
          <w:lang w:val="en-US" w:eastAsia="zh-CN" w:bidi="ar-SA"/>
        </w:rPr>
        <w:t>机构面向重点实验</w:t>
      </w:r>
      <w:r>
        <w:rPr>
          <w:rFonts w:hint="eastAsia" w:ascii="Times New Roman" w:hAnsi="Times New Roman" w:eastAsia="仿宋_GB2312" w:cs="Times New Roman"/>
          <w:kern w:val="2"/>
          <w:sz w:val="32"/>
          <w:szCs w:val="24"/>
          <w:lang w:val="en-US" w:eastAsia="zh-CN" w:bidi="ar-SA"/>
        </w:rPr>
        <w:t>室、高校院所、科创型企业等提供免费或低成本公益性服务，并提供多层次、多样化知识产权增值服务。</w:t>
      </w:r>
    </w:p>
    <w:p w14:paraId="63A00DDA">
      <w:pPr>
        <w:pStyle w:val="12"/>
        <w:keepNext w:val="0"/>
        <w:keepLines w:val="0"/>
        <w:pageBreakBefore w:val="0"/>
        <w:widowControl/>
        <w:suppressLineNumbers w:val="0"/>
        <w:kinsoku/>
        <w:wordWrap/>
        <w:autoSpaceDE/>
        <w:autoSpaceDN/>
        <w:bidi w:val="0"/>
        <w:spacing w:before="0" w:beforeAutospacing="0" w:after="0" w:afterAutospacing="0" w:line="580" w:lineRule="exact"/>
        <w:ind w:left="0" w:leftChars="0" w:right="0" w:rightChars="0" w:firstLine="640" w:firstLineChars="200"/>
        <w:jc w:val="left"/>
        <w:outlineLvl w:val="1"/>
        <w:rPr>
          <w:rFonts w:hint="eastAsia" w:ascii="Times New Roman" w:hAnsi="Times New Roman" w:eastAsia="黑体" w:cs="Times New Roman"/>
          <w:sz w:val="32"/>
          <w:szCs w:val="32"/>
          <w:lang w:eastAsia="zh-CN"/>
        </w:rPr>
      </w:pPr>
      <w:bookmarkStart w:id="23" w:name="_Toc12542"/>
      <w:r>
        <w:rPr>
          <w:rFonts w:hint="eastAsia" w:ascii="Times New Roman" w:hAnsi="Times New Roman" w:eastAsia="黑体" w:cs="Times New Roman"/>
          <w:sz w:val="32"/>
          <w:szCs w:val="32"/>
          <w:lang w:val="en-US" w:eastAsia="zh-CN"/>
        </w:rPr>
        <w:t>四、深化三个监管协同，提升现代治理效能</w:t>
      </w:r>
      <w:bookmarkEnd w:id="23"/>
    </w:p>
    <w:p w14:paraId="127C267D">
      <w:pPr>
        <w:keepNext w:val="0"/>
        <w:keepLines w:val="0"/>
        <w:pageBreakBefore w:val="0"/>
        <w:widowControl w:val="0"/>
        <w:numPr>
          <w:ilvl w:val="0"/>
          <w:numId w:val="0"/>
        </w:numPr>
        <w:kinsoku/>
        <w:wordWrap/>
        <w:overflowPunct w:val="0"/>
        <w:topLinePunct/>
        <w:autoSpaceDE/>
        <w:autoSpaceDN/>
        <w:bidi w:val="0"/>
        <w:adjustRightInd w:val="0"/>
        <w:snapToGrid w:val="0"/>
        <w:spacing w:line="580" w:lineRule="exact"/>
        <w:ind w:left="0" w:leftChars="0" w:firstLine="640" w:firstLineChars="200"/>
        <w:jc w:val="both"/>
        <w:textAlignment w:val="top"/>
        <w:outlineLvl w:val="2"/>
        <w:rPr>
          <w:rFonts w:hint="eastAsia" w:ascii="Times New Roman" w:hAnsi="Times New Roman" w:eastAsia="仿宋_GB2312" w:cs="Times New Roman"/>
          <w:sz w:val="32"/>
        </w:rPr>
      </w:pPr>
      <w:bookmarkStart w:id="24" w:name="_Toc10838"/>
      <w:r>
        <w:rPr>
          <w:rFonts w:hint="eastAsia" w:ascii="Times New Roman" w:hAnsi="Times New Roman" w:eastAsia="楷体_GB2312" w:cs="Times New Roman"/>
          <w:sz w:val="32"/>
          <w:szCs w:val="32"/>
          <w:lang w:val="en-US"/>
        </w:rPr>
        <w:t>(一</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提升法治监管水平</w:t>
      </w:r>
      <w:bookmarkEnd w:id="24"/>
    </w:p>
    <w:p w14:paraId="1357A6E6">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sz w:val="32"/>
        </w:rPr>
      </w:pPr>
      <w:r>
        <w:rPr>
          <w:rFonts w:hint="eastAsia" w:ascii="Times New Roman" w:hAnsi="Times New Roman" w:eastAsia="仿宋_GB2312" w:cs="Times New Roman"/>
          <w:b/>
          <w:bCs/>
          <w:sz w:val="32"/>
        </w:rPr>
        <w:t>健全法治监管制度。</w:t>
      </w:r>
      <w:r>
        <w:rPr>
          <w:rFonts w:hint="eastAsia" w:ascii="Times New Roman" w:hAnsi="Times New Roman" w:eastAsia="仿宋_GB2312" w:cs="Times New Roman"/>
          <w:sz w:val="32"/>
        </w:rPr>
        <w:t>严格执行重大行政执法决定法制审核制度。优化执法监督机制，健全提级管辖、异地管辖制度，落实分类执法、行刑衔接、线索移交、联合办案机制，开展专项执法检查和行政执法案卷评查。全面应用全国市场监管行政执法办案系统，提高行政执法效率。</w:t>
      </w:r>
    </w:p>
    <w:p w14:paraId="08FC8B6D">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sz w:val="32"/>
        </w:rPr>
      </w:pPr>
      <w:r>
        <w:rPr>
          <w:rFonts w:hint="eastAsia" w:ascii="Times New Roman" w:hAnsi="Times New Roman" w:eastAsia="仿宋_GB2312" w:cs="Times New Roman"/>
          <w:b/>
          <w:bCs/>
          <w:sz w:val="32"/>
        </w:rPr>
        <w:t>提升法治监管效能。</w:t>
      </w:r>
      <w:r>
        <w:rPr>
          <w:rFonts w:hint="eastAsia" w:ascii="Times New Roman" w:hAnsi="Times New Roman" w:eastAsia="仿宋_GB2312" w:cs="Times New Roman"/>
          <w:sz w:val="32"/>
        </w:rPr>
        <w:t>加强执法人员专业素养和技能培训，落实学法用法、持证上岗、资格管理制度，打造一支专业化、数字化、规范化的执法队伍。推进人工智能、大数据、云计算等在执法办案中的应用。加强法治宣传教育，全面落实“谁执法谁普法”责任制，将普法融入监管执法全过程。</w:t>
      </w:r>
    </w:p>
    <w:p w14:paraId="040805A5">
      <w:pPr>
        <w:keepNext w:val="0"/>
        <w:keepLines w:val="0"/>
        <w:pageBreakBefore w:val="0"/>
        <w:widowControl w:val="0"/>
        <w:kinsoku/>
        <w:wordWrap/>
        <w:overflowPunct w:val="0"/>
        <w:topLinePunct/>
        <w:autoSpaceDE/>
        <w:autoSpaceDN/>
        <w:bidi w:val="0"/>
        <w:adjustRightInd w:val="0"/>
        <w:snapToGrid w:val="0"/>
        <w:spacing w:line="580" w:lineRule="exact"/>
        <w:ind w:left="0" w:leftChars="0" w:firstLine="640" w:firstLineChars="200"/>
        <w:jc w:val="both"/>
        <w:textAlignment w:val="top"/>
        <w:outlineLvl w:val="2"/>
        <w:rPr>
          <w:rFonts w:hint="eastAsia" w:ascii="Times New Roman" w:hAnsi="Times New Roman" w:eastAsia="楷体_GB2312" w:cs="Times New Roman"/>
          <w:sz w:val="32"/>
          <w:szCs w:val="32"/>
          <w:lang w:val="en-US"/>
        </w:rPr>
      </w:pPr>
      <w:bookmarkStart w:id="25" w:name="_Toc26214"/>
      <w:r>
        <w:rPr>
          <w:rFonts w:hint="eastAsia" w:ascii="Times New Roman" w:hAnsi="Times New Roman" w:eastAsia="楷体_GB2312" w:cs="Times New Roman"/>
          <w:sz w:val="32"/>
          <w:szCs w:val="32"/>
          <w:lang w:val="en-US"/>
        </w:rPr>
        <w:t>(二</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提升</w:t>
      </w:r>
      <w:r>
        <w:rPr>
          <w:rFonts w:hint="eastAsia" w:ascii="Times New Roman" w:hAnsi="Times New Roman" w:eastAsia="楷体_GB2312" w:cs="Times New Roman"/>
          <w:sz w:val="32"/>
          <w:szCs w:val="32"/>
          <w:lang w:val="en-US"/>
        </w:rPr>
        <w:t>信用监管</w:t>
      </w:r>
      <w:r>
        <w:rPr>
          <w:rFonts w:hint="eastAsia" w:ascii="Times New Roman" w:hAnsi="Times New Roman" w:eastAsia="楷体_GB2312" w:cs="Times New Roman"/>
          <w:sz w:val="32"/>
          <w:szCs w:val="32"/>
          <w:lang w:val="en-US" w:eastAsia="zh-CN"/>
        </w:rPr>
        <w:t>效能</w:t>
      </w:r>
      <w:bookmarkEnd w:id="25"/>
    </w:p>
    <w:p w14:paraId="374B54FF">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sz w:val="32"/>
        </w:rPr>
      </w:pPr>
      <w:r>
        <w:rPr>
          <w:rFonts w:hint="eastAsia" w:ascii="Times New Roman" w:hAnsi="Times New Roman" w:eastAsia="仿宋_GB2312" w:cs="Times New Roman"/>
          <w:b/>
          <w:bCs/>
          <w:sz w:val="32"/>
        </w:rPr>
        <w:t>健全信用监管新型机制。</w:t>
      </w:r>
      <w:r>
        <w:rPr>
          <w:rFonts w:hint="eastAsia" w:ascii="Times New Roman" w:hAnsi="Times New Roman" w:eastAsia="仿宋_GB2312" w:cs="Times New Roman"/>
          <w:sz w:val="32"/>
        </w:rPr>
        <w:t>全面深化“双随机、一公开”监管，推广双随机抽查“一查三用”制度，积极应用包容审慎监管、非现场监管、触发式监管等新型监管方式。开展信用监管举措创新试点，实施市场监管“信用+”行动，试行信用合规管理、“信用沙盒”监管，开展信用评价、信用标注、信用信息运用试点。</w:t>
      </w:r>
    </w:p>
    <w:p w14:paraId="634816B3">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sz w:val="32"/>
        </w:rPr>
      </w:pPr>
      <w:r>
        <w:rPr>
          <w:rFonts w:hint="eastAsia" w:ascii="Times New Roman" w:hAnsi="Times New Roman" w:eastAsia="仿宋_GB2312" w:cs="Times New Roman"/>
          <w:b/>
          <w:bCs/>
          <w:sz w:val="32"/>
        </w:rPr>
        <w:t>深入实施信用风险分类管理。</w:t>
      </w:r>
      <w:r>
        <w:rPr>
          <w:rFonts w:hint="eastAsia" w:ascii="Times New Roman" w:hAnsi="Times New Roman" w:eastAsia="仿宋_GB2312" w:cs="Times New Roman"/>
          <w:sz w:val="32"/>
        </w:rPr>
        <w:t>完善分类指标模型。持续推动分类结果与专业领域监管深度融合，推进信用在“三品一特”、认证认可、</w:t>
      </w:r>
      <w:r>
        <w:rPr>
          <w:rFonts w:hint="eastAsia" w:ascii="Times New Roman" w:hAnsi="Times New Roman" w:eastAsia="仿宋_GB2312" w:cs="Times New Roman"/>
          <w:color w:val="auto"/>
          <w:sz w:val="32"/>
        </w:rPr>
        <w:t>检验检测、计量等专业领域的运用，推动分类结果深度融入行政审批、专项检查、飞行检查、执法办案等环节。</w:t>
      </w:r>
      <w:r>
        <w:rPr>
          <w:rFonts w:hint="eastAsia" w:ascii="Times New Roman" w:hAnsi="Times New Roman" w:eastAsia="仿宋_GB2312" w:cs="Times New Roman"/>
          <w:color w:val="auto"/>
          <w:sz w:val="32"/>
          <w:lang w:eastAsia="zh-CN"/>
        </w:rPr>
        <w:t>推动专业领域实行分级分类信用监管。</w:t>
      </w:r>
      <w:r>
        <w:rPr>
          <w:rFonts w:hint="eastAsia" w:ascii="Times New Roman" w:hAnsi="Times New Roman" w:eastAsia="仿宋_GB2312" w:cs="Times New Roman"/>
          <w:sz w:val="32"/>
        </w:rPr>
        <w:t>优化信用修复服务，强化协同修复，落实信用修复“三书同达”制度。</w:t>
      </w:r>
    </w:p>
    <w:p w14:paraId="400A29F8">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sz w:val="32"/>
        </w:rPr>
      </w:pPr>
      <w:r>
        <w:rPr>
          <w:rFonts w:hint="eastAsia" w:ascii="Times New Roman" w:hAnsi="Times New Roman" w:eastAsia="仿宋_GB2312" w:cs="Times New Roman"/>
          <w:b/>
          <w:bCs/>
          <w:sz w:val="32"/>
        </w:rPr>
        <w:t>依法加大信用惩戒约束力度。</w:t>
      </w:r>
      <w:r>
        <w:rPr>
          <w:rFonts w:hint="eastAsia" w:ascii="Times New Roman" w:hAnsi="Times New Roman" w:eastAsia="仿宋_GB2312" w:cs="Times New Roman"/>
          <w:sz w:val="32"/>
        </w:rPr>
        <w:t>严格落实严重违法失信名单和经营异常名录管理制度，在市场准入、融资贷款、政府采购、招标投标、政策优惠、评奖评优等方面进行限制约束。加强涉企信用信息归集公示，强化部门间数据共享，探索推进向平台型企业、行业协会开放共享涉企信用数据。</w:t>
      </w:r>
    </w:p>
    <w:p w14:paraId="67F7AB9C">
      <w:pPr>
        <w:keepNext w:val="0"/>
        <w:keepLines w:val="0"/>
        <w:pageBreakBefore w:val="0"/>
        <w:widowControl w:val="0"/>
        <w:kinsoku/>
        <w:wordWrap/>
        <w:overflowPunct w:val="0"/>
        <w:topLinePunct/>
        <w:autoSpaceDE/>
        <w:autoSpaceDN/>
        <w:bidi w:val="0"/>
        <w:adjustRightInd w:val="0"/>
        <w:snapToGrid w:val="0"/>
        <w:spacing w:line="580" w:lineRule="exact"/>
        <w:ind w:left="0" w:leftChars="0" w:firstLine="640" w:firstLineChars="200"/>
        <w:jc w:val="both"/>
        <w:textAlignment w:val="top"/>
        <w:outlineLvl w:val="2"/>
        <w:rPr>
          <w:rFonts w:hint="eastAsia" w:ascii="Times New Roman" w:hAnsi="Times New Roman" w:eastAsia="楷体_GB2312" w:cs="Times New Roman"/>
          <w:color w:val="auto"/>
          <w:sz w:val="32"/>
          <w:szCs w:val="32"/>
          <w:lang w:val="en-US"/>
        </w:rPr>
      </w:pPr>
      <w:bookmarkStart w:id="26" w:name="_Toc27359"/>
      <w:r>
        <w:rPr>
          <w:rFonts w:hint="eastAsia" w:ascii="Times New Roman" w:hAnsi="Times New Roman" w:eastAsia="楷体_GB2312" w:cs="Times New Roman"/>
          <w:color w:val="auto"/>
          <w:sz w:val="32"/>
          <w:szCs w:val="32"/>
          <w:lang w:val="en-US"/>
        </w:rPr>
        <w:t>(三</w:t>
      </w: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val="en-US" w:eastAsia="zh-CN"/>
        </w:rPr>
        <w:t>提升</w:t>
      </w:r>
      <w:r>
        <w:rPr>
          <w:rFonts w:hint="eastAsia" w:ascii="Times New Roman" w:hAnsi="Times New Roman" w:eastAsia="楷体_GB2312" w:cs="Times New Roman"/>
          <w:color w:val="auto"/>
          <w:sz w:val="32"/>
          <w:szCs w:val="32"/>
          <w:lang w:val="en-US"/>
        </w:rPr>
        <w:t>智慧监管</w:t>
      </w:r>
      <w:r>
        <w:rPr>
          <w:rFonts w:hint="eastAsia" w:ascii="Times New Roman" w:hAnsi="Times New Roman" w:eastAsia="楷体_GB2312" w:cs="Times New Roman"/>
          <w:color w:val="auto"/>
          <w:sz w:val="32"/>
          <w:szCs w:val="32"/>
          <w:lang w:val="en-US" w:eastAsia="zh-CN"/>
        </w:rPr>
        <w:t>能力</w:t>
      </w:r>
      <w:bookmarkEnd w:id="26"/>
    </w:p>
    <w:p w14:paraId="596FDA01">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color w:val="auto"/>
          <w:sz w:val="32"/>
          <w:lang w:eastAsia="zh"/>
        </w:rPr>
      </w:pPr>
      <w:r>
        <w:rPr>
          <w:rFonts w:hint="eastAsia" w:ascii="Times New Roman" w:hAnsi="Times New Roman" w:eastAsia="仿宋_GB2312" w:cs="Times New Roman"/>
          <w:b/>
          <w:bCs/>
          <w:color w:val="auto"/>
          <w:sz w:val="32"/>
          <w:lang w:val="en-US" w:eastAsia="zh-CN"/>
        </w:rPr>
        <w:t>强化</w:t>
      </w:r>
      <w:r>
        <w:rPr>
          <w:rFonts w:hint="eastAsia" w:ascii="Times New Roman" w:hAnsi="Times New Roman" w:eastAsia="仿宋_GB2312" w:cs="Times New Roman"/>
          <w:b/>
          <w:bCs/>
          <w:color w:val="auto"/>
          <w:sz w:val="32"/>
          <w:lang w:eastAsia="zh"/>
        </w:rPr>
        <w:t>市场监管信息化系统</w:t>
      </w:r>
      <w:r>
        <w:rPr>
          <w:rFonts w:hint="eastAsia" w:ascii="Times New Roman" w:hAnsi="Times New Roman" w:eastAsia="仿宋_GB2312" w:cs="Times New Roman"/>
          <w:b/>
          <w:bCs/>
          <w:color w:val="auto"/>
          <w:sz w:val="32"/>
          <w:lang w:eastAsia="zh-CN"/>
        </w:rPr>
        <w:t>应用。</w:t>
      </w:r>
      <w:r>
        <w:rPr>
          <w:rFonts w:hint="eastAsia" w:ascii="Times New Roman" w:hAnsi="Times New Roman" w:eastAsia="仿宋_GB2312" w:cs="Times New Roman"/>
          <w:color w:val="auto"/>
          <w:sz w:val="32"/>
          <w:lang w:val="en-US" w:eastAsia="zh-CN"/>
        </w:rPr>
        <w:t>依托</w:t>
      </w:r>
      <w:r>
        <w:rPr>
          <w:rFonts w:hint="eastAsia" w:ascii="Times New Roman" w:hAnsi="Times New Roman" w:eastAsia="仿宋_GB2312" w:cs="Times New Roman"/>
          <w:color w:val="auto"/>
          <w:sz w:val="32"/>
          <w:lang w:eastAsia="zh"/>
        </w:rPr>
        <w:t>智慧监管一体化平台，</w:t>
      </w:r>
      <w:r>
        <w:rPr>
          <w:rFonts w:hint="eastAsia" w:ascii="Times New Roman" w:hAnsi="Times New Roman" w:eastAsia="仿宋_GB2312" w:cs="Times New Roman"/>
          <w:color w:val="auto"/>
          <w:sz w:val="32"/>
          <w:lang w:val="en-US" w:eastAsia="zh-CN"/>
        </w:rPr>
        <w:t>开展市场监管业务</w:t>
      </w:r>
      <w:r>
        <w:rPr>
          <w:rFonts w:hint="eastAsia" w:ascii="Times New Roman" w:hAnsi="Times New Roman" w:eastAsia="仿宋_GB2312" w:cs="Times New Roman"/>
          <w:color w:val="auto"/>
          <w:sz w:val="32"/>
          <w:lang w:eastAsia="zh"/>
        </w:rPr>
        <w:t>。</w:t>
      </w:r>
      <w:r>
        <w:rPr>
          <w:rFonts w:hint="eastAsia" w:ascii="Times New Roman" w:hAnsi="Times New Roman" w:eastAsia="仿宋_GB2312" w:cs="Times New Roman"/>
          <w:color w:val="auto"/>
          <w:sz w:val="32"/>
          <w:lang w:val="en-US" w:eastAsia="zh-CN"/>
        </w:rPr>
        <w:t>推广使用</w:t>
      </w:r>
      <w:r>
        <w:rPr>
          <w:rFonts w:hint="eastAsia" w:ascii="Times New Roman" w:hAnsi="Times New Roman" w:eastAsia="仿宋_GB2312" w:cs="Times New Roman"/>
          <w:color w:val="auto"/>
          <w:sz w:val="32"/>
          <w:lang w:eastAsia="zh"/>
        </w:rPr>
        <w:t>食品安全监管通、融合监管通。强化移动政务应用，</w:t>
      </w:r>
      <w:r>
        <w:rPr>
          <w:rFonts w:hint="eastAsia" w:ascii="Times New Roman" w:hAnsi="Times New Roman" w:eastAsia="仿宋_GB2312" w:cs="Times New Roman"/>
          <w:color w:val="auto"/>
          <w:sz w:val="32"/>
          <w:lang w:val="en-US" w:eastAsia="zh-CN"/>
        </w:rPr>
        <w:t>通过</w:t>
      </w:r>
      <w:r>
        <w:rPr>
          <w:rFonts w:hint="eastAsia" w:ascii="Times New Roman" w:hAnsi="Times New Roman" w:eastAsia="仿宋_GB2312" w:cs="Times New Roman"/>
          <w:color w:val="auto"/>
          <w:sz w:val="32"/>
          <w:lang w:eastAsia="zh"/>
        </w:rPr>
        <w:t>粤政易</w:t>
      </w:r>
      <w:r>
        <w:rPr>
          <w:rFonts w:hint="eastAsia" w:ascii="Times New Roman" w:hAnsi="Times New Roman" w:eastAsia="仿宋_GB2312" w:cs="Times New Roman"/>
          <w:color w:val="auto"/>
          <w:sz w:val="32"/>
          <w:lang w:val="en-US" w:eastAsia="zh-CN"/>
        </w:rPr>
        <w:t>接入</w:t>
      </w:r>
      <w:r>
        <w:rPr>
          <w:rFonts w:hint="eastAsia" w:ascii="Times New Roman" w:hAnsi="Times New Roman" w:eastAsia="仿宋_GB2312" w:cs="Times New Roman"/>
          <w:color w:val="auto"/>
          <w:sz w:val="32"/>
          <w:lang w:eastAsia="zh"/>
        </w:rPr>
        <w:t>市场监管应用。</w:t>
      </w:r>
    </w:p>
    <w:p w14:paraId="0C4C1D5B">
      <w:pPr>
        <w:keepNext w:val="0"/>
        <w:keepLines w:val="0"/>
        <w:pageBreakBefore w:val="0"/>
        <w:kinsoku/>
        <w:wordWrap/>
        <w:autoSpaceDE/>
        <w:autoSpaceDN/>
        <w:bidi w:val="0"/>
        <w:spacing w:line="580" w:lineRule="exact"/>
        <w:ind w:firstLine="643" w:firstLineChars="200"/>
        <w:rPr>
          <w:rFonts w:hint="eastAsia" w:ascii="Times New Roman" w:hAnsi="Times New Roman" w:eastAsia="仿宋_GB2312" w:cs="Times New Roman"/>
          <w:color w:val="auto"/>
          <w:sz w:val="32"/>
          <w:lang w:val="en-US" w:eastAsia="zh-CN"/>
        </w:rPr>
      </w:pPr>
      <w:r>
        <w:rPr>
          <w:rFonts w:hint="eastAsia" w:ascii="Times New Roman" w:hAnsi="Times New Roman" w:eastAsia="仿宋_GB2312" w:cs="Times New Roman"/>
          <w:b/>
          <w:bCs/>
          <w:color w:val="auto"/>
          <w:sz w:val="32"/>
          <w:lang w:val="en-US" w:eastAsia="zh-CN"/>
        </w:rPr>
        <w:t>加强数据归集共享与应用。</w:t>
      </w:r>
      <w:r>
        <w:rPr>
          <w:rFonts w:hint="default" w:ascii="Times New Roman" w:hAnsi="Times New Roman" w:eastAsia="仿宋_GB2312" w:cs="Times New Roman"/>
          <w:color w:val="auto"/>
          <w:sz w:val="32"/>
          <w:lang w:val="en-US" w:eastAsia="zh-CN"/>
        </w:rPr>
        <w:t>通过省局</w:t>
      </w:r>
      <w:r>
        <w:rPr>
          <w:rFonts w:hint="eastAsia" w:ascii="Times New Roman" w:hAnsi="Times New Roman" w:eastAsia="仿宋_GB2312" w:cs="Times New Roman"/>
          <w:color w:val="auto"/>
          <w:sz w:val="32"/>
          <w:lang w:val="en-US" w:eastAsia="zh-CN"/>
        </w:rPr>
        <w:t>大数据中心申请用数，</w:t>
      </w:r>
      <w:r>
        <w:rPr>
          <w:rFonts w:hint="eastAsia" w:ascii="仿宋_GB2312" w:hAnsi="仿宋_GB2312" w:eastAsia="仿宋_GB2312" w:cs="仿宋_GB2312"/>
          <w:color w:val="auto"/>
          <w:sz w:val="32"/>
          <w:szCs w:val="32"/>
          <w:lang w:val="en-US" w:eastAsia="zh-CN"/>
        </w:rPr>
        <w:t>加强与对应业务口沟通，查漏补缺，做好业务数据的归集工作，确保上报数据的及时性、准确性和全面性。</w:t>
      </w:r>
    </w:p>
    <w:p w14:paraId="1EE31244">
      <w:pPr>
        <w:keepNext w:val="0"/>
        <w:keepLines w:val="0"/>
        <w:pageBreakBefore w:val="0"/>
        <w:widowControl w:val="0"/>
        <w:numPr>
          <w:ilvl w:val="0"/>
          <w:numId w:val="4"/>
        </w:numPr>
        <w:kinsoku/>
        <w:wordWrap/>
        <w:overflowPunct w:val="0"/>
        <w:topLinePunct/>
        <w:autoSpaceDE/>
        <w:autoSpaceDN/>
        <w:bidi w:val="0"/>
        <w:adjustRightInd w:val="0"/>
        <w:snapToGrid w:val="0"/>
        <w:spacing w:line="580" w:lineRule="exact"/>
        <w:ind w:left="630" w:leftChars="0" w:firstLine="0" w:firstLineChars="0"/>
        <w:jc w:val="both"/>
        <w:textAlignment w:val="top"/>
        <w:outlineLvl w:val="1"/>
        <w:rPr>
          <w:rFonts w:hint="eastAsia" w:ascii="Times New Roman" w:hAnsi="Times New Roman" w:eastAsia="黑体" w:cs="Times New Roman"/>
          <w:sz w:val="32"/>
          <w:szCs w:val="32"/>
          <w:lang w:eastAsia="zh-CN"/>
        </w:rPr>
      </w:pPr>
      <w:bookmarkStart w:id="27" w:name="_Toc24743"/>
      <w:r>
        <w:rPr>
          <w:rFonts w:hint="eastAsia" w:ascii="Times New Roman" w:hAnsi="Times New Roman" w:eastAsia="黑体" w:cs="Times New Roman"/>
          <w:sz w:val="32"/>
          <w:szCs w:val="32"/>
          <w:lang w:val="en-US" w:eastAsia="zh-CN"/>
        </w:rPr>
        <w:t>坚守四大民生安全，筑牢群众健康防线</w:t>
      </w:r>
      <w:bookmarkEnd w:id="27"/>
    </w:p>
    <w:p w14:paraId="74FF6A16">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jc w:val="both"/>
        <w:textAlignment w:val="top"/>
        <w:outlineLvl w:val="2"/>
        <w:rPr>
          <w:rFonts w:hint="eastAsia" w:ascii="Times New Roman" w:hAnsi="Times New Roman" w:eastAsia="楷体_GB2312" w:cs="Times New Roman"/>
          <w:sz w:val="32"/>
          <w:szCs w:val="32"/>
          <w:lang w:val="en-US"/>
        </w:rPr>
      </w:pPr>
      <w:bookmarkStart w:id="28" w:name="_Toc11813"/>
      <w:r>
        <w:rPr>
          <w:rFonts w:hint="eastAsia" w:ascii="Times New Roman" w:hAnsi="Times New Roman" w:eastAsia="楷体_GB2312" w:cs="Times New Roman"/>
          <w:sz w:val="32"/>
          <w:szCs w:val="32"/>
          <w:lang w:val="en-US"/>
        </w:rPr>
        <w:t>(一</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强化</w:t>
      </w:r>
      <w:r>
        <w:rPr>
          <w:rFonts w:hint="eastAsia" w:ascii="Times New Roman" w:hAnsi="Times New Roman" w:eastAsia="楷体_GB2312" w:cs="Times New Roman"/>
          <w:sz w:val="32"/>
          <w:szCs w:val="32"/>
          <w:lang w:val="en-US"/>
        </w:rPr>
        <w:t>食品安全全链条监管</w:t>
      </w:r>
      <w:bookmarkEnd w:id="28"/>
    </w:p>
    <w:p w14:paraId="6587CA17">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b w:val="0"/>
          <w:bCs w:val="0"/>
          <w:sz w:val="32"/>
          <w:lang w:val="en-US" w:eastAsia="zh-CN"/>
        </w:rPr>
      </w:pPr>
      <w:r>
        <w:rPr>
          <w:rFonts w:hint="eastAsia" w:ascii="Times New Roman" w:hAnsi="Times New Roman" w:eastAsia="仿宋_GB2312" w:cs="Times New Roman"/>
          <w:b/>
          <w:bCs/>
          <w:sz w:val="32"/>
          <w:lang w:val="en-US" w:eastAsia="zh-CN"/>
        </w:rPr>
        <w:t>健全食品安全全链条监管体系。</w:t>
      </w:r>
      <w:r>
        <w:rPr>
          <w:rFonts w:hint="eastAsia" w:ascii="Times New Roman" w:hAnsi="Times New Roman" w:eastAsia="仿宋_GB2312" w:cs="Times New Roman"/>
          <w:b w:val="0"/>
          <w:bCs w:val="0"/>
          <w:sz w:val="32"/>
          <w:lang w:val="en-US" w:eastAsia="zh-CN"/>
        </w:rPr>
        <w:t>推动食用农产品协同监管，加强入市后质量安全管控；强化食品生产经营许可源头审查把关，规范市场准入管理；建立健全食品贮存、运输、寄递及配送全流程协同监管机制；加强网络食品销售新业态、新模式监管；健全餐饮服务全流程综合监管机制，规范餐饮经营行为。全面打通流通、经营、消费各关键环节，依法从严查处各类食品安全违法违规行为。</w:t>
      </w:r>
    </w:p>
    <w:p w14:paraId="090508D5">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b w:val="0"/>
          <w:bCs w:val="0"/>
          <w:sz w:val="32"/>
          <w:lang w:val="en-US" w:eastAsia="zh-CN"/>
        </w:rPr>
      </w:pPr>
      <w:r>
        <w:rPr>
          <w:rFonts w:hint="eastAsia" w:ascii="Times New Roman" w:hAnsi="Times New Roman" w:eastAsia="仿宋_GB2312" w:cs="Times New Roman"/>
          <w:b/>
          <w:bCs/>
          <w:sz w:val="32"/>
          <w:lang w:val="en-US" w:eastAsia="zh-CN"/>
        </w:rPr>
        <w:t>强化食品安全穿透式监管。</w:t>
      </w:r>
      <w:r>
        <w:rPr>
          <w:rFonts w:hint="eastAsia" w:ascii="Times New Roman" w:hAnsi="Times New Roman" w:eastAsia="仿宋_GB2312" w:cs="Times New Roman"/>
          <w:b w:val="0"/>
          <w:bCs w:val="0"/>
          <w:sz w:val="32"/>
          <w:lang w:val="en-US" w:eastAsia="zh-CN"/>
        </w:rPr>
        <w:t>落实食品生产企业风险分级管理，聚焦网络订餐、直播带货等新业态，压实平台与经营者主体责任，加强网络订餐监测与无堂食外卖监管。强化学校、养老机构等集中用餐单位协同监管，扩大“互联网+明厨亮灶”覆盖面，健全信用监管与社会共治机制，筑牢餐饮安全防线。治理食品行业潜规则，构建穿透式监管新模式，健全非法添加联合查处机制，及时查处涉刑案件。</w:t>
      </w:r>
    </w:p>
    <w:p w14:paraId="5CC159D4">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b w:val="0"/>
          <w:bCs w:val="0"/>
          <w:sz w:val="32"/>
          <w:lang w:val="en-US" w:eastAsia="zh-CN"/>
        </w:rPr>
      </w:pPr>
      <w:r>
        <w:rPr>
          <w:rFonts w:hint="eastAsia" w:ascii="Times New Roman" w:hAnsi="Times New Roman" w:eastAsia="仿宋_GB2312" w:cs="Times New Roman"/>
          <w:b/>
          <w:bCs/>
          <w:sz w:val="32"/>
          <w:lang w:val="en-US" w:eastAsia="zh-CN"/>
        </w:rPr>
        <w:t>建立健全食品安全追溯机制。</w:t>
      </w:r>
      <w:r>
        <w:rPr>
          <w:rFonts w:hint="eastAsia" w:ascii="Times New Roman" w:hAnsi="Times New Roman" w:eastAsia="仿宋_GB2312" w:cs="Times New Roman"/>
          <w:b w:val="0"/>
          <w:bCs w:val="0"/>
          <w:sz w:val="32"/>
          <w:lang w:val="en-US" w:eastAsia="zh-CN"/>
        </w:rPr>
        <w:t>推进智慧监管体系建设，推动企业追溯信息与监管部门共享。深化重点食用农产品产地准出与准入衔接，推动食品赋码互追，实现“从田头到餐桌”全链条追溯。</w:t>
      </w:r>
    </w:p>
    <w:p w14:paraId="17EA9447">
      <w:pPr>
        <w:keepNext w:val="0"/>
        <w:keepLines w:val="0"/>
        <w:pageBreakBefore w:val="0"/>
        <w:widowControl w:val="0"/>
        <w:kinsoku/>
        <w:wordWrap/>
        <w:overflowPunct w:val="0"/>
        <w:topLinePunct/>
        <w:autoSpaceDE/>
        <w:autoSpaceDN/>
        <w:bidi w:val="0"/>
        <w:adjustRightInd w:val="0"/>
        <w:snapToGrid w:val="0"/>
        <w:spacing w:line="580" w:lineRule="exact"/>
        <w:ind w:left="0" w:firstLine="640" w:firstLineChars="200"/>
        <w:jc w:val="both"/>
        <w:textAlignment w:val="top"/>
        <w:rPr>
          <w:rFonts w:hint="eastAsia" w:ascii="Times New Roman" w:hAnsi="Times New Roman" w:eastAsia="仿宋_GB2312" w:cs="Times New Roman"/>
          <w:b w:val="0"/>
          <w:bCs w:val="0"/>
          <w:sz w:val="32"/>
          <w:lang w:val="en-US" w:eastAsia="zh-CN"/>
        </w:rPr>
      </w:pPr>
    </w:p>
    <w:p w14:paraId="5273EFC6">
      <w:pPr>
        <w:keepNext w:val="0"/>
        <w:keepLines w:val="0"/>
        <w:pageBreakBefore w:val="0"/>
        <w:widowControl w:val="0"/>
        <w:kinsoku/>
        <w:wordWrap/>
        <w:overflowPunct w:val="0"/>
        <w:topLinePunct/>
        <w:autoSpaceDE/>
        <w:autoSpaceDN/>
        <w:bidi w:val="0"/>
        <w:adjustRightInd w:val="0"/>
        <w:snapToGrid w:val="0"/>
        <w:spacing w:line="580" w:lineRule="exact"/>
        <w:ind w:left="0" w:firstLine="640" w:firstLineChars="200"/>
        <w:jc w:val="both"/>
        <w:textAlignment w:val="top"/>
        <w:rPr>
          <w:rFonts w:hint="eastAsia" w:ascii="Times New Roman" w:hAnsi="Times New Roman" w:eastAsia="仿宋_GB2312" w:cs="Times New Roman"/>
          <w:b w:val="0"/>
          <w:bCs w:val="0"/>
          <w:sz w:val="32"/>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21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22" w:type="dxa"/>
            <w:noWrap w:val="0"/>
            <w:vAlign w:val="top"/>
          </w:tcPr>
          <w:p w14:paraId="33329048">
            <w:pPr>
              <w:keepNext w:val="0"/>
              <w:keepLines w:val="0"/>
              <w:pageBreakBefore w:val="0"/>
              <w:widowControl w:val="0"/>
              <w:kinsoku/>
              <w:wordWrap/>
              <w:overflowPunct w:val="0"/>
              <w:topLinePunct/>
              <w:bidi w:val="0"/>
              <w:adjustRightInd w:val="0"/>
              <w:snapToGrid w:val="0"/>
              <w:spacing w:line="580" w:lineRule="exact"/>
              <w:jc w:val="center"/>
              <w:textAlignment w:val="top"/>
              <w:rPr>
                <w:rFonts w:hint="eastAsia"/>
              </w:rPr>
            </w:pPr>
            <w:r>
              <w:rPr>
                <w:rFonts w:hint="default" w:ascii="Times New Roman" w:hAnsi="Times New Roman" w:eastAsia="黑体" w:cs="Times New Roman"/>
                <w:color w:val="auto"/>
                <w:sz w:val="28"/>
                <w:szCs w:val="28"/>
                <w:highlight w:val="none"/>
                <w:lang w:val="en-US" w:eastAsia="zh-CN"/>
              </w:rPr>
              <w:t>专栏</w:t>
            </w:r>
            <w:r>
              <w:rPr>
                <w:rFonts w:hint="eastAsia" w:ascii="Times New Roman" w:hAnsi="Times New Roman" w:eastAsia="黑体" w:cs="Times New Roman"/>
                <w:color w:val="auto"/>
                <w:sz w:val="28"/>
                <w:szCs w:val="28"/>
                <w:highlight w:val="none"/>
                <w:lang w:val="en-US" w:eastAsia="zh-CN"/>
              </w:rPr>
              <w:t>1</w:t>
            </w:r>
            <w:r>
              <w:rPr>
                <w:rFonts w:hint="default" w:ascii="Times New Roman" w:hAnsi="Times New Roman" w:eastAsia="黑体" w:cs="Times New Roman"/>
                <w:color w:val="auto"/>
                <w:sz w:val="28"/>
                <w:szCs w:val="28"/>
                <w:highlight w:val="none"/>
                <w:lang w:val="en-US" w:eastAsia="zh-CN"/>
              </w:rPr>
              <w:t>：食品安全监管</w:t>
            </w:r>
            <w:r>
              <w:rPr>
                <w:rFonts w:hint="eastAsia" w:ascii="Times New Roman" w:hAnsi="Times New Roman" w:eastAsia="黑体" w:cs="Times New Roman"/>
                <w:color w:val="auto"/>
                <w:sz w:val="28"/>
                <w:szCs w:val="28"/>
                <w:highlight w:val="none"/>
                <w:lang w:val="en-US" w:eastAsia="zh-CN"/>
              </w:rPr>
              <w:t>效能</w:t>
            </w:r>
            <w:r>
              <w:rPr>
                <w:rFonts w:hint="default" w:ascii="Times New Roman" w:hAnsi="Times New Roman" w:eastAsia="黑体" w:cs="Times New Roman"/>
                <w:color w:val="auto"/>
                <w:sz w:val="28"/>
                <w:szCs w:val="28"/>
                <w:highlight w:val="none"/>
                <w:lang w:val="en-US" w:eastAsia="zh-CN"/>
              </w:rPr>
              <w:t>提升工程</w:t>
            </w:r>
          </w:p>
        </w:tc>
      </w:tr>
      <w:tr w14:paraId="4785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522" w:type="dxa"/>
            <w:noWrap w:val="0"/>
            <w:vAlign w:val="top"/>
          </w:tcPr>
          <w:p w14:paraId="6CC5696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仿宋_GB2312" w:cs="Times New Roman"/>
                <w:color w:val="auto"/>
                <w:sz w:val="28"/>
                <w:szCs w:val="28"/>
                <w:highlight w:val="none"/>
                <w:vertAlign w:val="baseline"/>
                <w:lang w:val="en-US" w:eastAsia="zh-CN"/>
              </w:rPr>
            </w:pPr>
            <w:r>
              <w:rPr>
                <w:rFonts w:hint="eastAsia" w:ascii="Times New Roman" w:hAnsi="Times New Roman" w:eastAsia="仿宋_GB2312" w:cs="Times New Roman"/>
                <w:color w:val="auto"/>
                <w:sz w:val="28"/>
                <w:szCs w:val="28"/>
                <w:highlight w:val="none"/>
                <w:vertAlign w:val="baseline"/>
                <w:lang w:val="en-US" w:eastAsia="zh-CN"/>
              </w:rPr>
              <w:t>1、全面推进食品生产经营主体“互联网+AI监管”工作。认真贯彻落实党中央、国务院关于“人工智能+”和市场监管总局关于推行食品生产经营主体“互联网+AI监管”的工作要求，按照“分级建设、分类实施、分步推进”的总体部署，聚焦“平台接口建设、视频信息接入、组织动员发动”三大任务，合力推进工作走深走实。</w:t>
            </w:r>
          </w:p>
          <w:p w14:paraId="028BFD0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color w:val="auto"/>
                <w:sz w:val="28"/>
                <w:szCs w:val="28"/>
                <w:highlight w:val="none"/>
                <w:vertAlign w:val="baseline"/>
                <w:lang w:val="en-US" w:eastAsia="zh-CN"/>
              </w:rPr>
              <w:t>2、强化食品经营安全监管。强化风险监测，制定食品安全抽检监测计划，均衡实施抽检，全力识别和防范潜在风险；督促食品、特殊食品经营企业严格执行进货查验记录制度和标签标识管理等规定，有效防控食品安全隐患。加强食用农产品进入到批发、零售市场后的质量安全监管，开展食用农产品快速检测，以快检技术手段辅助强化食用农产品市场销售监管工作，强化食用农产品安全风险防控，切实保障人民群众食用农产品消费安全。</w:t>
            </w:r>
          </w:p>
        </w:tc>
      </w:tr>
    </w:tbl>
    <w:p w14:paraId="32EA9CE2">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jc w:val="both"/>
        <w:textAlignment w:val="top"/>
        <w:outlineLvl w:val="2"/>
        <w:rPr>
          <w:rFonts w:hint="eastAsia" w:ascii="Times New Roman" w:hAnsi="Times New Roman" w:eastAsia="楷体_GB2312" w:cs="Times New Roman"/>
          <w:sz w:val="32"/>
          <w:szCs w:val="32"/>
          <w:lang w:val="en-US" w:eastAsia="zh-CN"/>
        </w:rPr>
      </w:pPr>
      <w:bookmarkStart w:id="29" w:name="_Toc20442"/>
      <w:r>
        <w:rPr>
          <w:rFonts w:hint="eastAsia" w:ascii="Times New Roman" w:hAnsi="Times New Roman" w:eastAsia="楷体_GB2312" w:cs="Times New Roman"/>
          <w:sz w:val="32"/>
          <w:szCs w:val="32"/>
          <w:lang w:val="en-US"/>
        </w:rPr>
        <w:t>(二</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强化</w:t>
      </w:r>
      <w:r>
        <w:rPr>
          <w:rFonts w:hint="eastAsia" w:ascii="Times New Roman" w:hAnsi="Times New Roman" w:eastAsia="楷体_GB2312" w:cs="Times New Roman"/>
          <w:sz w:val="32"/>
          <w:szCs w:val="32"/>
          <w:lang w:val="en-US"/>
        </w:rPr>
        <w:t>“两品一械”</w:t>
      </w:r>
      <w:r>
        <w:rPr>
          <w:rFonts w:hint="eastAsia" w:ascii="Times New Roman" w:hAnsi="Times New Roman" w:eastAsia="楷体_GB2312" w:cs="Times New Roman"/>
          <w:sz w:val="32"/>
          <w:szCs w:val="32"/>
          <w:lang w:val="en-US" w:eastAsia="zh-CN"/>
        </w:rPr>
        <w:t>质量</w:t>
      </w:r>
      <w:r>
        <w:rPr>
          <w:rFonts w:hint="eastAsia" w:ascii="Times New Roman" w:hAnsi="Times New Roman" w:eastAsia="楷体_GB2312" w:cs="Times New Roman"/>
          <w:sz w:val="32"/>
          <w:szCs w:val="32"/>
          <w:lang w:val="en-US"/>
        </w:rPr>
        <w:t>安全监管</w:t>
      </w:r>
      <w:bookmarkEnd w:id="29"/>
    </w:p>
    <w:p w14:paraId="11AA7AE8">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color w:val="auto"/>
          <w:sz w:val="32"/>
          <w:lang w:eastAsia="zh"/>
        </w:rPr>
      </w:pPr>
      <w:r>
        <w:rPr>
          <w:rFonts w:hint="eastAsia" w:ascii="Times New Roman" w:hAnsi="Times New Roman" w:eastAsia="仿宋_GB2312" w:cs="Times New Roman"/>
          <w:b/>
          <w:bCs/>
          <w:color w:val="auto"/>
          <w:sz w:val="32"/>
          <w:lang w:eastAsia="zh"/>
        </w:rPr>
        <w:t>提高药</w:t>
      </w:r>
      <w:r>
        <w:rPr>
          <w:rFonts w:hint="eastAsia" w:ascii="Times New Roman" w:hAnsi="Times New Roman" w:eastAsia="仿宋_GB2312" w:cs="Times New Roman"/>
          <w:b/>
          <w:bCs/>
          <w:color w:val="auto"/>
          <w:sz w:val="32"/>
          <w:lang w:eastAsia="zh-CN"/>
        </w:rPr>
        <w:t>械</w:t>
      </w:r>
      <w:r>
        <w:rPr>
          <w:rFonts w:hint="eastAsia" w:ascii="Times New Roman" w:hAnsi="Times New Roman" w:eastAsia="仿宋_GB2312" w:cs="Times New Roman"/>
          <w:b/>
          <w:bCs/>
          <w:color w:val="auto"/>
          <w:sz w:val="32"/>
          <w:lang w:eastAsia="zh"/>
        </w:rPr>
        <w:t>审评审批质效。</w:t>
      </w:r>
      <w:r>
        <w:rPr>
          <w:rFonts w:hint="eastAsia" w:ascii="Times New Roman" w:hAnsi="Times New Roman" w:eastAsia="仿宋_GB2312" w:cs="Times New Roman"/>
          <w:color w:val="auto"/>
          <w:sz w:val="32"/>
          <w:lang w:eastAsia="zh"/>
        </w:rPr>
        <w:t>依托省级药品补充申请审评审批改革试点，秉持服务为先、提质增效、精准帮扶原则，优化审评审批服务，加速创新药械上市。主动对接省级前置服务通道，靠前介入企业申报环节，协调解决技术难题、梳理申报问题，指导企业规范整理申报材料，有效提升药械申报效率与审批通过率，筑牢大健康产业服务根基。</w:t>
      </w:r>
    </w:p>
    <w:p w14:paraId="5190DB9C">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color w:val="auto"/>
          <w:sz w:val="32"/>
          <w:lang w:eastAsia="zh"/>
        </w:rPr>
      </w:pPr>
      <w:r>
        <w:rPr>
          <w:rFonts w:hint="eastAsia" w:ascii="Times New Roman" w:hAnsi="Times New Roman" w:eastAsia="仿宋_GB2312" w:cs="Times New Roman"/>
          <w:b/>
          <w:bCs/>
          <w:color w:val="auto"/>
          <w:sz w:val="32"/>
          <w:lang w:eastAsia="zh"/>
        </w:rPr>
        <w:t>加强“两品一械”安全监管。</w:t>
      </w:r>
      <w:r>
        <w:rPr>
          <w:rFonts w:hint="eastAsia" w:ascii="Times New Roman" w:hAnsi="Times New Roman" w:eastAsia="仿宋_GB2312" w:cs="Times New Roman"/>
          <w:color w:val="auto"/>
          <w:sz w:val="32"/>
          <w:lang w:eastAsia="zh"/>
        </w:rPr>
        <w:t>落实全链条严监管要求，完善药品安全责任、法治及风险防控体系，强化监督检查、检验检测、药物警戒等核心能力建设。规范“两品一械”网络销售行为，健全线上风险监控机制，依托人工智能打造智慧监管应用场景，完善药品基础数据库，打通与省级药监平台数据对接通道。从严开展化妆品风险监测线索核查处置，健全医疗器械唯一标识体系，提升全生命周期监管质效。</w:t>
      </w:r>
    </w:p>
    <w:p w14:paraId="60CE3724">
      <w:pPr>
        <w:keepNext w:val="0"/>
        <w:keepLines w:val="0"/>
        <w:pageBreakBefore w:val="0"/>
        <w:widowControl w:val="0"/>
        <w:kinsoku/>
        <w:wordWrap/>
        <w:overflowPunct w:val="0"/>
        <w:topLinePunct/>
        <w:autoSpaceDE/>
        <w:autoSpaceDN/>
        <w:bidi w:val="0"/>
        <w:adjustRightInd w:val="0"/>
        <w:snapToGrid w:val="0"/>
        <w:spacing w:line="580" w:lineRule="exact"/>
        <w:ind w:firstLine="643" w:firstLineChars="200"/>
        <w:jc w:val="both"/>
        <w:textAlignment w:val="top"/>
        <w:outlineLvl w:val="2"/>
        <w:rPr>
          <w:rFonts w:hint="eastAsia" w:ascii="Times New Roman" w:hAnsi="Times New Roman" w:eastAsia="仿宋_GB2312" w:cs="Times New Roman"/>
          <w:color w:val="auto"/>
          <w:sz w:val="32"/>
          <w:lang w:eastAsia="zh"/>
        </w:rPr>
      </w:pPr>
      <w:bookmarkStart w:id="30" w:name="_Toc18465"/>
      <w:r>
        <w:rPr>
          <w:rFonts w:hint="eastAsia" w:ascii="Times New Roman" w:hAnsi="Times New Roman" w:eastAsia="仿宋_GB2312" w:cs="Times New Roman"/>
          <w:b/>
          <w:bCs/>
          <w:sz w:val="32"/>
        </w:rPr>
        <w:t>助力产业高质量发展。</w:t>
      </w:r>
      <w:r>
        <w:rPr>
          <w:rFonts w:hint="eastAsia" w:ascii="Times New Roman" w:hAnsi="Times New Roman" w:eastAsia="仿宋_GB2312" w:cs="Times New Roman"/>
          <w:color w:val="auto"/>
          <w:sz w:val="32"/>
          <w:lang w:eastAsia="zh"/>
        </w:rPr>
        <w:t>助推创新药、创新医疗器械获批上市，聚焦属地产业优势，赋能</w:t>
      </w:r>
      <w:r>
        <w:rPr>
          <w:rFonts w:hint="default" w:ascii="Times New Roman" w:hAnsi="Times New Roman" w:eastAsia="仿宋_GB2312" w:cs="Times New Roman"/>
          <w:color w:val="auto"/>
          <w:sz w:val="32"/>
          <w:lang w:eastAsia="zh"/>
        </w:rPr>
        <w:t>中医药传承创新</w:t>
      </w:r>
      <w:r>
        <w:rPr>
          <w:rFonts w:hint="eastAsia" w:ascii="Times New Roman" w:hAnsi="Times New Roman" w:eastAsia="仿宋_GB2312" w:cs="Times New Roman"/>
          <w:color w:val="auto"/>
          <w:sz w:val="32"/>
          <w:lang w:eastAsia="zh"/>
        </w:rPr>
        <w:t>与质量升级。主动融入粤港澳大湾区中药产业发展大局，组织辖区化妆品企业参与电子标签改革试点，激活区域“美丽经济”发展新动能。</w:t>
      </w:r>
    </w:p>
    <w:p w14:paraId="11018F16">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jc w:val="both"/>
        <w:textAlignment w:val="top"/>
        <w:outlineLvl w:val="2"/>
        <w:rPr>
          <w:rFonts w:hint="eastAsia" w:ascii="黑体" w:hAnsi="黑体" w:eastAsia="黑体" w:cs="黑体"/>
          <w:color w:val="FF0000"/>
          <w:sz w:val="32"/>
          <w:szCs w:val="32"/>
          <w:lang w:val="en-US" w:eastAsia="zh-CN"/>
        </w:rPr>
      </w:pPr>
      <w:r>
        <w:rPr>
          <w:rFonts w:hint="eastAsia" w:ascii="Times New Roman" w:hAnsi="Times New Roman" w:eastAsia="楷体_GB2312" w:cs="Times New Roman"/>
          <w:color w:val="auto"/>
          <w:sz w:val="32"/>
          <w:szCs w:val="32"/>
          <w:lang w:val="en-US"/>
        </w:rPr>
        <w:t>(三</w:t>
      </w:r>
      <w:r>
        <w:rPr>
          <w:rFonts w:hint="default" w:ascii="Times New Roman" w:hAnsi="Times New Roman" w:eastAsia="楷体_GB2312" w:cs="Times New Roman"/>
          <w:color w:val="auto"/>
          <w:sz w:val="32"/>
          <w:szCs w:val="32"/>
        </w:rPr>
        <w:t>）</w:t>
      </w:r>
      <w:bookmarkEnd w:id="30"/>
      <w:r>
        <w:rPr>
          <w:rFonts w:hint="eastAsia" w:ascii="Times New Roman" w:hAnsi="Times New Roman" w:eastAsia="楷体_GB2312" w:cs="Times New Roman"/>
          <w:color w:val="auto"/>
          <w:sz w:val="32"/>
          <w:szCs w:val="32"/>
          <w:lang w:val="en-US" w:eastAsia="zh-CN"/>
        </w:rPr>
        <w:t>健全</w:t>
      </w:r>
      <w:r>
        <w:rPr>
          <w:rFonts w:hint="default" w:ascii="Times New Roman" w:hAnsi="Times New Roman" w:eastAsia="楷体_GB2312" w:cs="Times New Roman"/>
          <w:color w:val="auto"/>
          <w:sz w:val="32"/>
          <w:szCs w:val="32"/>
          <w:lang w:val="en-US" w:eastAsia="zh-CN"/>
        </w:rPr>
        <w:t>工业产品质量安全</w:t>
      </w:r>
      <w:r>
        <w:rPr>
          <w:rFonts w:hint="eastAsia" w:ascii="Times New Roman" w:hAnsi="Times New Roman" w:eastAsia="楷体_GB2312" w:cs="Times New Roman"/>
          <w:color w:val="auto"/>
          <w:sz w:val="32"/>
          <w:szCs w:val="32"/>
          <w:lang w:val="en-US" w:eastAsia="zh-CN"/>
        </w:rPr>
        <w:t>治理体系</w:t>
      </w:r>
    </w:p>
    <w:p w14:paraId="5CF01BB6">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color w:val="auto"/>
          <w:sz w:val="32"/>
          <w:szCs w:val="32"/>
        </w:rPr>
      </w:pPr>
      <w:bookmarkStart w:id="31" w:name="_Toc4939"/>
      <w:r>
        <w:rPr>
          <w:rFonts w:hint="eastAsia" w:ascii="Times New Roman" w:hAnsi="Times New Roman" w:eastAsia="仿宋_GB2312" w:cs="Times New Roman"/>
          <w:b/>
          <w:bCs/>
          <w:color w:val="auto"/>
          <w:sz w:val="32"/>
          <w:szCs w:val="32"/>
          <w:lang w:val="en-US" w:eastAsia="zh-CN"/>
        </w:rPr>
        <w:t>健全工业产品风险防控机制。</w:t>
      </w:r>
      <w:r>
        <w:rPr>
          <w:rFonts w:hint="eastAsia" w:ascii="Times New Roman" w:hAnsi="Times New Roman" w:eastAsia="仿宋_GB2312" w:cs="Times New Roman"/>
          <w:color w:val="auto"/>
          <w:sz w:val="32"/>
          <w:szCs w:val="32"/>
          <w:lang w:val="en-US" w:eastAsia="zh-CN"/>
        </w:rPr>
        <w:t>强化重点产品源头风险排查与风险评估，加大重点领域执法力度，整治低价劣质、网络售假问题，</w:t>
      </w:r>
      <w:r>
        <w:rPr>
          <w:rFonts w:hint="eastAsia" w:ascii="Times New Roman" w:hAnsi="Times New Roman" w:eastAsia="仿宋_GB2312" w:cs="Times New Roman"/>
          <w:color w:val="auto"/>
          <w:sz w:val="32"/>
          <w:szCs w:val="32"/>
        </w:rPr>
        <w:t>打击内卷式</w:t>
      </w:r>
      <w:r>
        <w:rPr>
          <w:rFonts w:hint="eastAsia" w:ascii="Times New Roman" w:hAnsi="Times New Roman" w:eastAsia="仿宋_GB2312" w:cs="Times New Roman"/>
          <w:color w:val="auto"/>
          <w:sz w:val="32"/>
          <w:szCs w:val="32"/>
          <w:lang w:val="en-US" w:eastAsia="zh-CN"/>
        </w:rPr>
        <w:t>恶性竞争。</w:t>
      </w:r>
      <w:r>
        <w:rPr>
          <w:rFonts w:hint="eastAsia" w:ascii="Times New Roman" w:hAnsi="Times New Roman" w:eastAsia="仿宋_GB2312" w:cs="Times New Roman"/>
          <w:color w:val="auto"/>
          <w:sz w:val="32"/>
          <w:szCs w:val="32"/>
        </w:rPr>
        <w:t>强化新兴领域</w:t>
      </w:r>
      <w:r>
        <w:rPr>
          <w:rFonts w:hint="eastAsia" w:ascii="Times New Roman" w:hAnsi="Times New Roman" w:eastAsia="仿宋_GB2312" w:cs="Times New Roman"/>
          <w:color w:val="auto"/>
          <w:sz w:val="32"/>
          <w:szCs w:val="32"/>
          <w:lang w:eastAsia="zh-CN"/>
        </w:rPr>
        <w:t>产品</w:t>
      </w:r>
      <w:r>
        <w:rPr>
          <w:rFonts w:hint="eastAsia" w:ascii="Times New Roman" w:hAnsi="Times New Roman" w:eastAsia="仿宋_GB2312" w:cs="Times New Roman"/>
          <w:color w:val="auto"/>
          <w:sz w:val="32"/>
          <w:szCs w:val="32"/>
        </w:rPr>
        <w:t>质量监管</w:t>
      </w:r>
      <w:r>
        <w:rPr>
          <w:rFonts w:hint="eastAsia" w:ascii="Times New Roman" w:hAnsi="Times New Roman" w:eastAsia="仿宋_GB2312" w:cs="Times New Roman"/>
          <w:color w:val="auto"/>
          <w:sz w:val="32"/>
          <w:szCs w:val="32"/>
          <w:lang w:val="en-US" w:eastAsia="zh-CN"/>
        </w:rPr>
        <w:t>，动态更新行业潜规则清单，依托线索穿透、专项攻坚，严查规避监管的违法行为。</w:t>
      </w:r>
    </w:p>
    <w:p w14:paraId="76FBACD3">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eastAsia="zh-CN"/>
        </w:rPr>
        <w:t>优化</w:t>
      </w:r>
      <w:r>
        <w:rPr>
          <w:rFonts w:hint="eastAsia" w:ascii="Times New Roman" w:hAnsi="Times New Roman" w:eastAsia="仿宋_GB2312" w:cs="Times New Roman"/>
          <w:b/>
          <w:bCs/>
          <w:color w:val="auto"/>
          <w:sz w:val="32"/>
          <w:szCs w:val="32"/>
        </w:rPr>
        <w:t>工业产品质量分级管理</w:t>
      </w:r>
      <w:r>
        <w:rPr>
          <w:rFonts w:hint="eastAsia" w:ascii="Times New Roman" w:hAnsi="Times New Roman" w:eastAsia="仿宋_GB2312" w:cs="Times New Roman"/>
          <w:b/>
          <w:bCs/>
          <w:color w:val="auto"/>
          <w:sz w:val="32"/>
          <w:szCs w:val="32"/>
          <w:lang w:eastAsia="zh-CN"/>
        </w:rPr>
        <w:t>机制</w:t>
      </w: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color w:val="auto"/>
          <w:sz w:val="32"/>
          <w:szCs w:val="32"/>
        </w:rPr>
        <w:t>落实产品质量分级</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rPr>
        <w:t>质量信用分类</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质量失信负面清单</w:t>
      </w:r>
      <w:r>
        <w:rPr>
          <w:rFonts w:hint="eastAsia" w:ascii="Times New Roman" w:hAnsi="Times New Roman" w:eastAsia="仿宋_GB2312" w:cs="Times New Roman"/>
          <w:color w:val="auto"/>
          <w:sz w:val="32"/>
          <w:szCs w:val="32"/>
          <w:lang w:val="en-US" w:eastAsia="zh-CN"/>
        </w:rPr>
        <w:t>制度</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完善工业产品经营者分类信息</w:t>
      </w:r>
      <w:r>
        <w:rPr>
          <w:rFonts w:hint="eastAsia" w:ascii="Times New Roman" w:hAnsi="Times New Roman" w:eastAsia="仿宋_GB2312" w:cs="Times New Roman"/>
          <w:color w:val="auto"/>
          <w:sz w:val="32"/>
          <w:szCs w:val="32"/>
          <w:lang w:val="en-US" w:eastAsia="zh-CN"/>
        </w:rPr>
        <w:t>动态管理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加强</w:t>
      </w:r>
      <w:r>
        <w:rPr>
          <w:rFonts w:hint="eastAsia" w:ascii="Times New Roman" w:hAnsi="Times New Roman" w:eastAsia="仿宋_GB2312" w:cs="Times New Roman"/>
          <w:color w:val="auto"/>
          <w:sz w:val="32"/>
          <w:szCs w:val="32"/>
        </w:rPr>
        <w:t>高风险和重点产品抽检，推行</w:t>
      </w:r>
      <w:r>
        <w:rPr>
          <w:rFonts w:hint="eastAsia" w:ascii="Times New Roman" w:hAnsi="Times New Roman" w:eastAsia="仿宋_GB2312" w:cs="Times New Roman"/>
          <w:color w:val="auto"/>
          <w:sz w:val="32"/>
          <w:szCs w:val="32"/>
          <w:lang w:val="en-US" w:eastAsia="zh-CN"/>
        </w:rPr>
        <w:t>AI筛查+</w:t>
      </w:r>
      <w:r>
        <w:rPr>
          <w:rFonts w:hint="default" w:ascii="Times New Roman" w:hAnsi="Times New Roman" w:eastAsia="仿宋_GB2312" w:cs="Times New Roman"/>
          <w:b w:val="0"/>
          <w:bCs w:val="0"/>
          <w:color w:val="auto"/>
          <w:sz w:val="32"/>
          <w:szCs w:val="32"/>
          <w:highlight w:val="none"/>
          <w:lang w:val="en-US" w:eastAsia="zh-CN"/>
        </w:rPr>
        <w:t>快检</w:t>
      </w:r>
      <w:r>
        <w:rPr>
          <w:rFonts w:hint="eastAsia" w:ascii="Times New Roman" w:hAnsi="Times New Roman" w:eastAsia="仿宋_GB2312" w:cs="Times New Roman"/>
          <w:color w:val="auto"/>
          <w:sz w:val="32"/>
          <w:szCs w:val="32"/>
        </w:rPr>
        <w:t>+常规抽样模式</w:t>
      </w:r>
      <w:r>
        <w:rPr>
          <w:rFonts w:hint="eastAsia" w:ascii="Times New Roman" w:hAnsi="Times New Roman" w:eastAsia="仿宋_GB2312" w:cs="Times New Roman"/>
          <w:color w:val="auto"/>
          <w:sz w:val="32"/>
          <w:szCs w:val="32"/>
          <w:lang w:eastAsia="zh-CN"/>
        </w:rPr>
        <w:t>，提升问题发现效率</w:t>
      </w:r>
      <w:r>
        <w:rPr>
          <w:rFonts w:hint="eastAsia" w:ascii="Times New Roman" w:hAnsi="Times New Roman" w:eastAsia="仿宋_GB2312" w:cs="Times New Roman"/>
          <w:color w:val="auto"/>
          <w:sz w:val="32"/>
          <w:szCs w:val="32"/>
        </w:rPr>
        <w:t>。</w:t>
      </w:r>
    </w:p>
    <w:p w14:paraId="6B45DE83">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Style w:val="15"/>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bCs/>
          <w:color w:val="auto"/>
          <w:sz w:val="32"/>
          <w:szCs w:val="32"/>
          <w:lang w:eastAsia="zh-CN"/>
        </w:rPr>
        <w:t>强化</w:t>
      </w:r>
      <w:r>
        <w:rPr>
          <w:rFonts w:hint="eastAsia" w:ascii="Times New Roman" w:hAnsi="Times New Roman" w:eastAsia="仿宋_GB2312" w:cs="Times New Roman"/>
          <w:b/>
          <w:bCs/>
          <w:color w:val="auto"/>
          <w:sz w:val="32"/>
          <w:szCs w:val="32"/>
        </w:rPr>
        <w:t>工业产品</w:t>
      </w:r>
      <w:r>
        <w:rPr>
          <w:rFonts w:hint="eastAsia" w:ascii="Times New Roman" w:hAnsi="Times New Roman" w:eastAsia="仿宋_GB2312" w:cs="Times New Roman"/>
          <w:b/>
          <w:bCs/>
          <w:color w:val="auto"/>
          <w:sz w:val="32"/>
          <w:szCs w:val="32"/>
          <w:lang w:eastAsia="zh-CN"/>
        </w:rPr>
        <w:t>质量</w:t>
      </w:r>
      <w:r>
        <w:rPr>
          <w:rFonts w:hint="eastAsia" w:ascii="Times New Roman" w:hAnsi="Times New Roman" w:eastAsia="仿宋_GB2312" w:cs="Times New Roman"/>
          <w:b/>
          <w:bCs/>
          <w:color w:val="auto"/>
          <w:sz w:val="32"/>
          <w:szCs w:val="32"/>
        </w:rPr>
        <w:t>溯源</w:t>
      </w:r>
      <w:r>
        <w:rPr>
          <w:rFonts w:hint="eastAsia" w:ascii="Times New Roman" w:hAnsi="Times New Roman" w:eastAsia="仿宋_GB2312" w:cs="Times New Roman"/>
          <w:b/>
          <w:bCs/>
          <w:color w:val="auto"/>
          <w:sz w:val="32"/>
          <w:szCs w:val="32"/>
          <w:lang w:eastAsia="zh-CN"/>
        </w:rPr>
        <w:t>和</w:t>
      </w:r>
      <w:r>
        <w:rPr>
          <w:rFonts w:hint="eastAsia" w:ascii="Times New Roman" w:hAnsi="Times New Roman" w:eastAsia="仿宋_GB2312" w:cs="Times New Roman"/>
          <w:b/>
          <w:bCs/>
          <w:color w:val="auto"/>
          <w:sz w:val="32"/>
          <w:szCs w:val="32"/>
        </w:rPr>
        <w:t>缺陷召回</w:t>
      </w:r>
      <w:r>
        <w:rPr>
          <w:rFonts w:hint="eastAsia" w:ascii="Times New Roman" w:hAnsi="Times New Roman" w:eastAsia="仿宋_GB2312" w:cs="Times New Roman"/>
          <w:b/>
          <w:bCs/>
          <w:color w:val="auto"/>
          <w:sz w:val="32"/>
          <w:szCs w:val="32"/>
          <w:lang w:val="en-US" w:eastAsia="zh-CN"/>
        </w:rPr>
        <w:t>机制</w:t>
      </w: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color w:val="auto"/>
          <w:sz w:val="32"/>
          <w:szCs w:val="32"/>
          <w:lang w:val="en-US" w:eastAsia="zh-CN"/>
        </w:rPr>
        <w:t>落实</w:t>
      </w:r>
      <w:r>
        <w:rPr>
          <w:rFonts w:hint="default" w:ascii="Times New Roman" w:hAnsi="Times New Roman" w:eastAsia="仿宋_GB2312" w:cs="Times New Roman"/>
          <w:b w:val="0"/>
          <w:bCs w:val="0"/>
          <w:color w:val="auto"/>
          <w:sz w:val="32"/>
          <w:szCs w:val="32"/>
          <w:highlight w:val="none"/>
          <w:lang w:val="en-US" w:eastAsia="zh-CN"/>
        </w:rPr>
        <w:t>重点产品</w:t>
      </w:r>
      <w:r>
        <w:rPr>
          <w:rFonts w:hint="eastAsia" w:ascii="Times New Roman" w:hAnsi="Times New Roman" w:eastAsia="仿宋_GB2312" w:cs="Times New Roman"/>
          <w:b w:val="0"/>
          <w:bCs w:val="0"/>
          <w:color w:val="auto"/>
          <w:sz w:val="32"/>
          <w:szCs w:val="32"/>
          <w:highlight w:val="none"/>
          <w:lang w:val="en-US" w:eastAsia="zh-CN"/>
        </w:rPr>
        <w:t>生产赋码、流通验码、平台亮码、消费查码</w:t>
      </w:r>
      <w:r>
        <w:rPr>
          <w:rFonts w:hint="default" w:ascii="Times New Roman" w:hAnsi="Times New Roman" w:eastAsia="仿宋_GB2312" w:cs="Times New Roman"/>
          <w:b w:val="0"/>
          <w:bCs w:val="0"/>
          <w:color w:val="auto"/>
          <w:sz w:val="32"/>
          <w:szCs w:val="32"/>
          <w:highlight w:val="none"/>
          <w:lang w:val="en-US" w:eastAsia="zh-CN"/>
        </w:rPr>
        <w:t>的</w:t>
      </w:r>
      <w:r>
        <w:rPr>
          <w:rStyle w:val="15"/>
          <w:rFonts w:hint="default" w:ascii="Times New Roman" w:hAnsi="Times New Roman" w:eastAsia="仿宋_GB2312" w:cs="Times New Roman"/>
          <w:color w:val="auto"/>
          <w:sz w:val="32"/>
          <w:szCs w:val="32"/>
          <w:highlight w:val="none"/>
        </w:rPr>
        <w:t>闭环管理</w:t>
      </w:r>
      <w:r>
        <w:rPr>
          <w:rStyle w:val="15"/>
          <w:rFonts w:hint="eastAsia" w:ascii="Times New Roman" w:hAnsi="Times New Roman" w:eastAsia="仿宋_GB2312" w:cs="Times New Roman"/>
          <w:color w:val="auto"/>
          <w:sz w:val="32"/>
          <w:szCs w:val="32"/>
          <w:highlight w:val="none"/>
          <w:lang w:eastAsia="zh-CN"/>
        </w:rPr>
        <w:t>机制</w:t>
      </w:r>
      <w:r>
        <w:rPr>
          <w:rFonts w:hint="eastAsia" w:ascii="Times New Roman" w:hAnsi="Times New Roman" w:eastAsia="仿宋_GB2312" w:cs="Times New Roman"/>
          <w:color w:val="auto"/>
          <w:sz w:val="32"/>
          <w:szCs w:val="32"/>
        </w:rPr>
        <w:t>。</w:t>
      </w:r>
      <w:r>
        <w:rPr>
          <w:rStyle w:val="15"/>
          <w:rFonts w:hint="default" w:ascii="Times New Roman" w:hAnsi="Times New Roman" w:eastAsia="仿宋_GB2312" w:cs="Times New Roman"/>
          <w:color w:val="auto"/>
          <w:sz w:val="32"/>
          <w:szCs w:val="32"/>
          <w:highlight w:val="none"/>
        </w:rPr>
        <w:t>深化</w:t>
      </w:r>
      <w:r>
        <w:rPr>
          <w:rFonts w:hint="default" w:ascii="Times New Roman" w:hAnsi="Times New Roman" w:eastAsia="仿宋_GB2312" w:cs="Times New Roman"/>
          <w:b w:val="0"/>
          <w:bCs w:val="0"/>
          <w:color w:val="auto"/>
          <w:sz w:val="32"/>
          <w:szCs w:val="32"/>
          <w:highlight w:val="none"/>
          <w:lang w:val="en-US" w:eastAsia="zh-CN"/>
        </w:rPr>
        <w:t>缺陷产品召</w:t>
      </w:r>
      <w:r>
        <w:rPr>
          <w:rStyle w:val="15"/>
          <w:rFonts w:hint="default" w:ascii="Times New Roman" w:hAnsi="Times New Roman" w:eastAsia="仿宋_GB2312" w:cs="Times New Roman"/>
          <w:color w:val="auto"/>
          <w:sz w:val="32"/>
          <w:szCs w:val="32"/>
          <w:highlight w:val="none"/>
          <w:lang w:val="en-US" w:eastAsia="zh-CN"/>
        </w:rPr>
        <w:t>回联动机制，</w:t>
      </w:r>
      <w:r>
        <w:rPr>
          <w:rStyle w:val="15"/>
          <w:rFonts w:hint="default" w:ascii="Times New Roman" w:hAnsi="Times New Roman" w:eastAsia="仿宋_GB2312" w:cs="Times New Roman"/>
          <w:color w:val="auto"/>
          <w:sz w:val="32"/>
          <w:szCs w:val="32"/>
          <w:highlight w:val="none"/>
        </w:rPr>
        <w:t>提升缺陷调查和风险评估能力，</w:t>
      </w:r>
      <w:r>
        <w:rPr>
          <w:rStyle w:val="15"/>
          <w:rFonts w:hint="default" w:ascii="Times New Roman" w:hAnsi="Times New Roman" w:eastAsia="仿宋_GB2312" w:cs="Times New Roman"/>
          <w:color w:val="auto"/>
          <w:sz w:val="32"/>
          <w:szCs w:val="32"/>
          <w:highlight w:val="none"/>
          <w:lang w:val="en-US" w:eastAsia="zh-CN"/>
        </w:rPr>
        <w:t>督促企业履行主体责任，闭环处置质量风险。</w:t>
      </w:r>
    </w:p>
    <w:p w14:paraId="53E371CA">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default" w:ascii="Times New Roman" w:hAnsi="Times New Roman" w:eastAsia="仿宋_GB2312" w:cs="Times New Roman"/>
          <w:color w:val="auto"/>
          <w:sz w:val="32"/>
          <w:szCs w:val="32"/>
          <w:highlight w:val="none"/>
        </w:rPr>
      </w:pPr>
      <w:r>
        <w:rPr>
          <w:rStyle w:val="15"/>
          <w:rFonts w:hint="default" w:ascii="Times New Roman" w:hAnsi="Times New Roman" w:eastAsia="仿宋_GB2312" w:cs="Times New Roman"/>
          <w:b/>
          <w:bCs/>
          <w:color w:val="auto"/>
          <w:sz w:val="32"/>
          <w:szCs w:val="32"/>
          <w:highlight w:val="none"/>
          <w:lang w:val="en-US" w:eastAsia="zh-CN"/>
        </w:rPr>
        <w:t>创新协同治理模式。</w:t>
      </w:r>
      <w:r>
        <w:rPr>
          <w:rStyle w:val="15"/>
          <w:rFonts w:hint="default" w:ascii="Times New Roman" w:hAnsi="Times New Roman" w:eastAsia="仿宋_GB2312" w:cs="Times New Roman"/>
          <w:color w:val="auto"/>
          <w:sz w:val="32"/>
          <w:szCs w:val="32"/>
          <w:highlight w:val="none"/>
          <w:lang w:val="en-US" w:eastAsia="zh-CN"/>
        </w:rPr>
        <w:t>针对产业集聚区、电商平台、专业市场等开展专项治理，严格执行 “三书一函” 制度，压实属地责任。健全跨区域、跨部门会商与联合执法机制，凝聚监管合力。</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8D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noWrap w:val="0"/>
            <w:vAlign w:val="top"/>
          </w:tcPr>
          <w:p w14:paraId="61BEF11D">
            <w:pPr>
              <w:widowControl w:val="0"/>
              <w:wordWrap/>
              <w:adjustRightInd/>
              <w:snapToGrid/>
              <w:spacing w:line="590" w:lineRule="exact"/>
              <w:ind w:firstLine="0" w:firstLineChars="0"/>
              <w:jc w:val="center"/>
              <w:textAlignment w:val="auto"/>
              <w:rPr>
                <w:rFonts w:hint="default" w:ascii="Times New Roman" w:hAnsi="Times New Roman" w:eastAsia="楷体_GB2312"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专栏</w:t>
            </w:r>
            <w:r>
              <w:rPr>
                <w:rFonts w:hint="eastAsia" w:ascii="Times New Roman" w:hAnsi="Times New Roman" w:eastAsia="黑体" w:cs="Times New Roman"/>
                <w:color w:val="auto"/>
                <w:sz w:val="28"/>
                <w:szCs w:val="28"/>
                <w:highlight w:val="none"/>
                <w:lang w:val="en-US" w:eastAsia="zh-CN"/>
              </w:rPr>
              <w:t>2</w:t>
            </w:r>
            <w:r>
              <w:rPr>
                <w:rFonts w:hint="default" w:ascii="Times New Roman" w:hAnsi="Times New Roman" w:eastAsia="黑体" w:cs="Times New Roman"/>
                <w:color w:val="auto"/>
                <w:sz w:val="28"/>
                <w:szCs w:val="28"/>
                <w:highlight w:val="none"/>
                <w:lang w:val="en-US" w:eastAsia="zh-CN"/>
              </w:rPr>
              <w:t>：工业产品质量安全监管工程</w:t>
            </w:r>
          </w:p>
        </w:tc>
      </w:tr>
      <w:tr w14:paraId="0D23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noWrap w:val="0"/>
            <w:vAlign w:val="center"/>
          </w:tcPr>
          <w:p w14:paraId="798CF51C">
            <w:pPr>
              <w:pStyle w:val="4"/>
              <w:widowControl/>
              <w:numPr>
                <w:ilvl w:val="0"/>
                <w:numId w:val="0"/>
              </w:numPr>
              <w:wordWrap/>
              <w:adjustRightInd/>
              <w:snapToGrid w:val="0"/>
              <w:spacing w:line="460" w:lineRule="exact"/>
              <w:ind w:firstLine="560" w:firstLineChars="200"/>
              <w:jc w:val="left"/>
              <w:textAlignment w:val="auto"/>
              <w:rPr>
                <w:rFonts w:hint="eastAsia"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1.构建</w:t>
            </w:r>
            <w:r>
              <w:rPr>
                <w:rFonts w:hint="default" w:ascii="Times New Roman" w:hAnsi="Times New Roman" w:eastAsia="仿宋_GB2312" w:cs="Times New Roman"/>
                <w:color w:val="auto"/>
                <w:sz w:val="28"/>
                <w:szCs w:val="28"/>
                <w:highlight w:val="none"/>
              </w:rPr>
              <w:t>监</w:t>
            </w:r>
            <w:r>
              <w:rPr>
                <w:rFonts w:hint="default" w:ascii="Times New Roman" w:hAnsi="Times New Roman" w:eastAsia="仿宋_GB2312" w:cs="Times New Roman"/>
                <w:color w:val="auto"/>
                <w:sz w:val="28"/>
                <w:szCs w:val="28"/>
                <w:highlight w:val="none"/>
                <w:lang w:eastAsia="zh-CN"/>
              </w:rPr>
              <w:t>管抽查</w:t>
            </w:r>
            <w:r>
              <w:rPr>
                <w:rFonts w:hint="default" w:ascii="Times New Roman" w:hAnsi="Times New Roman" w:eastAsia="仿宋_GB2312" w:cs="Times New Roman"/>
                <w:color w:val="auto"/>
                <w:sz w:val="28"/>
                <w:szCs w:val="28"/>
                <w:highlight w:val="none"/>
              </w:rPr>
              <w:t>评价</w:t>
            </w:r>
            <w:r>
              <w:rPr>
                <w:rFonts w:hint="default" w:ascii="Times New Roman" w:hAnsi="Times New Roman" w:eastAsia="仿宋_GB2312" w:cs="Times New Roman"/>
                <w:color w:val="auto"/>
                <w:sz w:val="28"/>
                <w:szCs w:val="28"/>
                <w:highlight w:val="none"/>
                <w:lang w:eastAsia="zh-CN"/>
              </w:rPr>
              <w:t>机制</w:t>
            </w:r>
            <w:r>
              <w:rPr>
                <w:rFonts w:hint="default" w:ascii="Times New Roman" w:hAnsi="Times New Roman" w:eastAsia="仿宋_GB2312" w:cs="Times New Roman"/>
                <w:color w:val="auto"/>
                <w:sz w:val="28"/>
                <w:szCs w:val="28"/>
                <w:highlight w:val="none"/>
              </w:rPr>
              <w:t>。归集</w:t>
            </w:r>
            <w:r>
              <w:rPr>
                <w:rFonts w:hint="eastAsia" w:ascii="Times New Roman" w:hAnsi="Times New Roman" w:eastAsia="仿宋_GB2312" w:cs="Times New Roman"/>
                <w:color w:val="auto"/>
                <w:sz w:val="28"/>
                <w:szCs w:val="28"/>
                <w:highlight w:val="none"/>
                <w:lang w:eastAsia="zh-CN"/>
              </w:rPr>
              <w:t>市级每年年度</w:t>
            </w:r>
            <w:r>
              <w:rPr>
                <w:rFonts w:hint="default" w:ascii="Times New Roman" w:hAnsi="Times New Roman" w:eastAsia="仿宋_GB2312" w:cs="Times New Roman"/>
                <w:color w:val="auto"/>
                <w:sz w:val="28"/>
                <w:szCs w:val="28"/>
                <w:highlight w:val="none"/>
              </w:rPr>
              <w:t>监督抽查数</w:t>
            </w:r>
            <w:r>
              <w:rPr>
                <w:rFonts w:hint="eastAsia" w:ascii="Times New Roman" w:hAnsi="Times New Roman" w:eastAsia="仿宋_GB2312" w:cs="Times New Roman"/>
                <w:color w:val="auto"/>
                <w:sz w:val="28"/>
                <w:szCs w:val="28"/>
                <w:highlight w:val="none"/>
                <w:lang w:eastAsia="zh-CN"/>
              </w:rPr>
              <w:t>据</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制造业</w:t>
            </w:r>
            <w:r>
              <w:rPr>
                <w:rFonts w:hint="eastAsia" w:ascii="Times New Roman" w:hAnsi="Times New Roman" w:eastAsia="仿宋_GB2312" w:cs="Times New Roman"/>
                <w:color w:val="auto"/>
                <w:sz w:val="28"/>
                <w:szCs w:val="28"/>
                <w:highlight w:val="none"/>
                <w:lang w:eastAsia="zh-CN"/>
              </w:rPr>
              <w:t>行业分布特点、</w:t>
            </w:r>
            <w:r>
              <w:rPr>
                <w:rFonts w:hint="eastAsia" w:ascii="Times New Roman" w:hAnsi="Times New Roman" w:eastAsia="仿宋_GB2312" w:cs="Times New Roman"/>
                <w:color w:val="auto"/>
                <w:sz w:val="28"/>
                <w:szCs w:val="28"/>
                <w:highlight w:val="none"/>
                <w:lang w:val="en-US" w:eastAsia="zh-CN"/>
              </w:rPr>
              <w:t>12345（12315）消费者投诉举报产品类别</w:t>
            </w:r>
            <w:r>
              <w:rPr>
                <w:rFonts w:hint="default" w:ascii="Times New Roman" w:hAnsi="Times New Roman" w:eastAsia="仿宋_GB2312" w:cs="Times New Roman"/>
                <w:color w:val="auto"/>
                <w:sz w:val="28"/>
                <w:szCs w:val="28"/>
                <w:highlight w:val="none"/>
                <w:lang w:eastAsia="zh-CN"/>
              </w:rPr>
              <w:t>等关键</w:t>
            </w:r>
            <w:r>
              <w:rPr>
                <w:rFonts w:hint="eastAsia" w:ascii="Times New Roman" w:hAnsi="Times New Roman" w:eastAsia="仿宋_GB2312" w:cs="Times New Roman"/>
                <w:color w:val="auto"/>
                <w:sz w:val="28"/>
                <w:szCs w:val="28"/>
                <w:highlight w:val="none"/>
                <w:lang w:eastAsia="zh-CN"/>
              </w:rPr>
              <w:t>情况</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通过研判分析</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为精准配置监管资源、客观评价监管效能提供科学量化依据。</w:t>
            </w:r>
          </w:p>
          <w:p w14:paraId="4E7C09F2">
            <w:pPr>
              <w:pStyle w:val="4"/>
              <w:widowControl/>
              <w:numPr>
                <w:ilvl w:val="0"/>
                <w:numId w:val="0"/>
              </w:numPr>
              <w:wordWrap/>
              <w:adjustRightInd/>
              <w:snapToGrid w:val="0"/>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eastAsia"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val="en-US" w:eastAsia="zh-CN"/>
              </w:rPr>
              <w:t>.建立</w:t>
            </w:r>
            <w:r>
              <w:rPr>
                <w:rStyle w:val="15"/>
                <w:rFonts w:hint="eastAsia" w:eastAsia="仿宋_GB2312" w:cs="Times New Roman"/>
                <w:color w:val="auto"/>
                <w:sz w:val="28"/>
                <w:szCs w:val="28"/>
                <w:highlight w:val="none"/>
                <w:lang w:eastAsia="zh-CN"/>
              </w:rPr>
              <w:t>“低价高风险”产品</w:t>
            </w:r>
            <w:r>
              <w:rPr>
                <w:rFonts w:hint="default" w:ascii="Times New Roman" w:hAnsi="Times New Roman" w:eastAsia="仿宋_GB2312" w:cs="Times New Roman"/>
                <w:color w:val="auto"/>
                <w:sz w:val="28"/>
                <w:szCs w:val="28"/>
                <w:highlight w:val="none"/>
              </w:rPr>
              <w:t>防控</w:t>
            </w:r>
            <w:r>
              <w:rPr>
                <w:rFonts w:hint="default" w:ascii="Times New Roman" w:hAnsi="Times New Roman" w:eastAsia="仿宋_GB2312" w:cs="Times New Roman"/>
                <w:color w:val="auto"/>
                <w:sz w:val="28"/>
                <w:szCs w:val="28"/>
                <w:highlight w:val="none"/>
                <w:lang w:eastAsia="zh-CN"/>
              </w:rPr>
              <w:t>机制</w:t>
            </w:r>
            <w:r>
              <w:rPr>
                <w:rFonts w:hint="default" w:ascii="Times New Roman" w:hAnsi="Times New Roman" w:eastAsia="仿宋_GB2312" w:cs="Times New Roman"/>
                <w:color w:val="auto"/>
                <w:sz w:val="28"/>
                <w:szCs w:val="28"/>
                <w:highlight w:val="none"/>
              </w:rPr>
              <w:t>。“十五五”期间</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每年</w:t>
            </w:r>
            <w:r>
              <w:rPr>
                <w:rFonts w:hint="default" w:ascii="Times New Roman" w:hAnsi="Times New Roman" w:eastAsia="仿宋_GB2312" w:cs="Times New Roman"/>
                <w:color w:val="auto"/>
                <w:sz w:val="28"/>
                <w:szCs w:val="28"/>
                <w:highlight w:val="none"/>
                <w:lang w:eastAsia="zh-CN"/>
              </w:rPr>
              <w:t>组织</w:t>
            </w:r>
            <w:r>
              <w:rPr>
                <w:rFonts w:hint="default" w:ascii="Times New Roman" w:hAnsi="Times New Roman" w:eastAsia="仿宋_GB2312" w:cs="Times New Roman"/>
                <w:color w:val="auto"/>
                <w:sz w:val="28"/>
                <w:szCs w:val="28"/>
                <w:highlight w:val="none"/>
              </w:rPr>
              <w:t>对</w:t>
            </w:r>
            <w:r>
              <w:rPr>
                <w:rFonts w:hint="default" w:ascii="Times New Roman" w:hAnsi="Times New Roman" w:eastAsia="仿宋_GB2312" w:cs="Times New Roman"/>
                <w:color w:val="auto"/>
                <w:sz w:val="28"/>
                <w:szCs w:val="28"/>
                <w:highlight w:val="none"/>
                <w:lang w:eastAsia="zh-CN"/>
              </w:rPr>
              <w:t>低价高风险</w:t>
            </w:r>
            <w:r>
              <w:rPr>
                <w:rFonts w:hint="default" w:ascii="Times New Roman" w:hAnsi="Times New Roman" w:eastAsia="仿宋_GB2312" w:cs="Times New Roman"/>
                <w:color w:val="auto"/>
                <w:sz w:val="28"/>
                <w:szCs w:val="28"/>
                <w:highlight w:val="none"/>
              </w:rPr>
              <w:t>产品开展</w:t>
            </w:r>
            <w:r>
              <w:rPr>
                <w:rFonts w:hint="default" w:ascii="Times New Roman" w:hAnsi="Times New Roman" w:eastAsia="仿宋_GB2312" w:cs="Times New Roman"/>
                <w:color w:val="auto"/>
                <w:sz w:val="28"/>
                <w:szCs w:val="28"/>
                <w:highlight w:val="none"/>
                <w:lang w:eastAsia="zh-CN"/>
              </w:rPr>
              <w:t>评估</w:t>
            </w:r>
            <w:r>
              <w:rPr>
                <w:rFonts w:hint="default" w:ascii="Times New Roman" w:hAnsi="Times New Roman" w:eastAsia="仿宋_GB2312" w:cs="Times New Roman"/>
                <w:color w:val="auto"/>
                <w:sz w:val="28"/>
                <w:szCs w:val="28"/>
                <w:highlight w:val="none"/>
              </w:rPr>
              <w:t>调</w:t>
            </w:r>
            <w:r>
              <w:rPr>
                <w:rFonts w:hint="default" w:ascii="Times New Roman" w:hAnsi="Times New Roman" w:eastAsia="仿宋_GB2312" w:cs="Times New Roman"/>
                <w:color w:val="auto"/>
                <w:sz w:val="28"/>
                <w:szCs w:val="28"/>
                <w:highlight w:val="none"/>
                <w:lang w:eastAsia="zh-CN"/>
              </w:rPr>
              <w:t>查，</w:t>
            </w:r>
            <w:r>
              <w:rPr>
                <w:rFonts w:hint="default" w:ascii="Times New Roman" w:hAnsi="Times New Roman" w:eastAsia="仿宋_GB2312" w:cs="Times New Roman"/>
                <w:color w:val="auto"/>
                <w:sz w:val="28"/>
                <w:szCs w:val="28"/>
                <w:highlight w:val="none"/>
              </w:rPr>
              <w:t>对无法合理说明</w:t>
            </w:r>
            <w:r>
              <w:rPr>
                <w:rFonts w:hint="default" w:ascii="Times New Roman" w:hAnsi="Times New Roman" w:eastAsia="仿宋_GB2312" w:cs="Times New Roman"/>
                <w:color w:val="auto"/>
                <w:sz w:val="28"/>
                <w:szCs w:val="28"/>
                <w:highlight w:val="none"/>
                <w:lang w:eastAsia="zh-CN"/>
              </w:rPr>
              <w:t>成本构成的</w:t>
            </w:r>
            <w:r>
              <w:rPr>
                <w:rFonts w:hint="default" w:ascii="Times New Roman" w:hAnsi="Times New Roman" w:eastAsia="仿宋_GB2312" w:cs="Times New Roman"/>
                <w:color w:val="auto"/>
                <w:sz w:val="28"/>
                <w:szCs w:val="28"/>
                <w:highlight w:val="none"/>
              </w:rPr>
              <w:t>低价产品或企业纳入</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负面清单</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实施重点管理</w:t>
            </w:r>
            <w:r>
              <w:rPr>
                <w:rFonts w:hint="default" w:ascii="Times New Roman" w:hAnsi="Times New Roman" w:eastAsia="仿宋_GB2312" w:cs="Times New Roman"/>
                <w:color w:val="auto"/>
                <w:sz w:val="28"/>
                <w:szCs w:val="28"/>
                <w:highlight w:val="none"/>
                <w:lang w:eastAsia="zh-CN"/>
              </w:rPr>
              <w:t>。强化</w:t>
            </w:r>
            <w:r>
              <w:rPr>
                <w:rFonts w:hint="default" w:ascii="Times New Roman" w:hAnsi="Times New Roman" w:eastAsia="仿宋_GB2312" w:cs="Times New Roman"/>
                <w:color w:val="auto"/>
                <w:sz w:val="28"/>
                <w:szCs w:val="28"/>
                <w:highlight w:val="none"/>
              </w:rPr>
              <w:t>不合格产品后处理，确保处置率达</w:t>
            </w:r>
            <w:r>
              <w:rPr>
                <w:rStyle w:val="16"/>
                <w:rFonts w:hint="default" w:ascii="Times New Roman" w:hAnsi="Times New Roman" w:eastAsia="仿宋_GB2312" w:cs="Times New Roman"/>
                <w:b w:val="0"/>
                <w:bCs/>
                <w:color w:val="auto"/>
                <w:sz w:val="28"/>
                <w:szCs w:val="28"/>
                <w:highlight w:val="none"/>
              </w:rPr>
              <w:t>100%</w:t>
            </w:r>
            <w:r>
              <w:rPr>
                <w:rFonts w:hint="default" w:ascii="Times New Roman" w:hAnsi="Times New Roman" w:eastAsia="仿宋_GB2312" w:cs="Times New Roman"/>
                <w:bCs/>
                <w:color w:val="auto"/>
                <w:sz w:val="28"/>
                <w:szCs w:val="28"/>
                <w:highlight w:val="none"/>
              </w:rPr>
              <w:t>。</w:t>
            </w:r>
          </w:p>
          <w:p w14:paraId="12E596F7">
            <w:pPr>
              <w:widowControl w:val="0"/>
              <w:numPr>
                <w:ilvl w:val="0"/>
                <w:numId w:val="0"/>
              </w:numPr>
              <w:wordWrap/>
              <w:adjustRightInd/>
              <w:snapToGrid w:val="0"/>
              <w:spacing w:line="460" w:lineRule="exact"/>
              <w:ind w:firstLine="560" w:firstLineChars="200"/>
              <w:jc w:val="both"/>
              <w:textAlignment w:val="auto"/>
              <w:rPr>
                <w:rFonts w:hint="default" w:ascii="Times New Roman" w:hAnsi="Times New Roman" w:eastAsia="楷体_GB2312" w:cs="Times New Roman"/>
                <w:color w:val="auto"/>
                <w:sz w:val="28"/>
                <w:szCs w:val="28"/>
                <w:highlight w:val="none"/>
                <w:lang w:val="en-US" w:eastAsia="zh-CN"/>
              </w:rPr>
            </w:pPr>
            <w:r>
              <w:rPr>
                <w:rFonts w:hint="eastAsia" w:ascii="Times New Roman" w:hAnsi="Times New Roman"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kern w:val="2"/>
                <w:sz w:val="28"/>
                <w:szCs w:val="28"/>
                <w:highlight w:val="none"/>
                <w:lang w:val="en-US" w:eastAsia="zh-CN" w:bidi="ar-SA"/>
              </w:rPr>
              <w:t>.实施</w:t>
            </w:r>
            <w:r>
              <w:rPr>
                <w:rFonts w:hint="default" w:ascii="Times New Roman" w:hAnsi="Times New Roman" w:eastAsia="仿宋_GB2312" w:cs="Times New Roman"/>
                <w:color w:val="auto"/>
                <w:kern w:val="2"/>
                <w:sz w:val="28"/>
                <w:szCs w:val="28"/>
                <w:highlight w:val="none"/>
                <w:lang w:eastAsia="zh-CN" w:bidi="ar-SA"/>
              </w:rPr>
              <w:t>重点产品追溯全覆盖。</w:t>
            </w:r>
            <w:r>
              <w:rPr>
                <w:rFonts w:hint="eastAsia" w:ascii="Times New Roman" w:hAnsi="Times New Roman" w:eastAsia="仿宋_GB2312" w:cs="Times New Roman"/>
                <w:color w:val="auto"/>
                <w:kern w:val="2"/>
                <w:sz w:val="28"/>
                <w:szCs w:val="28"/>
                <w:highlight w:val="none"/>
                <w:lang w:eastAsia="zh-CN" w:bidi="ar-SA"/>
              </w:rPr>
              <w:t>依托“</w:t>
            </w:r>
            <w:r>
              <w:rPr>
                <w:rFonts w:hint="default" w:ascii="Times New Roman" w:hAnsi="Times New Roman" w:eastAsia="仿宋_GB2312" w:cs="Times New Roman"/>
                <w:color w:val="auto"/>
                <w:kern w:val="2"/>
                <w:sz w:val="28"/>
                <w:szCs w:val="28"/>
                <w:highlight w:val="none"/>
                <w:lang w:eastAsia="zh-CN" w:bidi="ar-SA"/>
              </w:rPr>
              <w:t>质量安全追溯服务平台</w:t>
            </w:r>
            <w:r>
              <w:rPr>
                <w:rFonts w:hint="eastAsia" w:ascii="Times New Roman" w:hAnsi="Times New Roman" w:eastAsia="仿宋_GB2312" w:cs="Times New Roman"/>
                <w:color w:val="auto"/>
                <w:kern w:val="2"/>
                <w:sz w:val="28"/>
                <w:szCs w:val="28"/>
                <w:highlight w:val="none"/>
                <w:lang w:eastAsia="zh-CN" w:bidi="ar-SA"/>
              </w:rPr>
              <w:t>”</w:t>
            </w:r>
            <w:r>
              <w:rPr>
                <w:rFonts w:hint="default" w:ascii="Times New Roman" w:hAnsi="Times New Roman" w:eastAsia="仿宋_GB2312" w:cs="Times New Roman"/>
                <w:color w:val="auto"/>
                <w:kern w:val="2"/>
                <w:sz w:val="28"/>
                <w:szCs w:val="28"/>
                <w:highlight w:val="none"/>
                <w:lang w:eastAsia="zh-CN" w:bidi="ar-SA"/>
              </w:rPr>
              <w:t>，</w:t>
            </w:r>
            <w:r>
              <w:rPr>
                <w:rFonts w:hint="default" w:ascii="Times New Roman" w:hAnsi="Times New Roman" w:eastAsia="仿宋_GB2312" w:cs="Times New Roman"/>
                <w:color w:val="auto"/>
                <w:kern w:val="2"/>
                <w:sz w:val="28"/>
                <w:szCs w:val="28"/>
                <w:highlight w:val="none"/>
                <w:lang w:val="en-US" w:eastAsia="zh-CN" w:bidi="ar-SA"/>
              </w:rPr>
              <w:t>畅通商品条码及其二维码等多种编码追溯途径，</w:t>
            </w:r>
            <w:r>
              <w:rPr>
                <w:rFonts w:hint="default" w:ascii="Times New Roman" w:hAnsi="Times New Roman" w:eastAsia="仿宋_GB2312" w:cs="Times New Roman"/>
                <w:color w:val="auto"/>
                <w:kern w:val="2"/>
                <w:sz w:val="28"/>
                <w:szCs w:val="28"/>
                <w:highlight w:val="none"/>
                <w:lang w:eastAsia="zh-CN" w:bidi="ar-SA"/>
              </w:rPr>
              <w:t>对实施工业产品生产许可、强制性认证管理及关系人身财产安全的产品，逐步实</w:t>
            </w:r>
            <w:r>
              <w:rPr>
                <w:rFonts w:hint="default" w:ascii="Times New Roman" w:hAnsi="Times New Roman" w:eastAsia="仿宋_GB2312" w:cs="Times New Roman"/>
                <w:color w:val="auto"/>
                <w:kern w:val="2"/>
                <w:sz w:val="28"/>
                <w:szCs w:val="28"/>
                <w:highlight w:val="none"/>
                <w:lang w:val="en-US" w:eastAsia="zh-CN" w:bidi="ar-SA"/>
              </w:rPr>
              <w:t>现</w:t>
            </w:r>
            <w:r>
              <w:rPr>
                <w:rFonts w:hint="default" w:ascii="Times New Roman" w:hAnsi="Times New Roman" w:eastAsia="仿宋_GB2312" w:cs="Times New Roman"/>
                <w:color w:val="auto"/>
                <w:kern w:val="2"/>
                <w:sz w:val="28"/>
                <w:szCs w:val="28"/>
                <w:highlight w:val="none"/>
                <w:lang w:eastAsia="zh-CN" w:bidi="ar-SA"/>
              </w:rPr>
              <w:t>质量安全追溯领域全覆盖。</w:t>
            </w:r>
            <w:r>
              <w:rPr>
                <w:rFonts w:hint="default" w:ascii="Times New Roman" w:hAnsi="Times New Roman" w:eastAsia="仿宋_GB2312" w:cs="Times New Roman"/>
                <w:color w:val="auto"/>
                <w:kern w:val="2"/>
                <w:sz w:val="28"/>
                <w:szCs w:val="28"/>
                <w:highlight w:val="none"/>
                <w:lang w:val="en-US" w:eastAsia="zh-CN" w:bidi="ar-SA"/>
              </w:rPr>
              <w:t>针对充电宝、安全帽、燃气灶具等重点网售产品，全面实施“生产源头赋码</w:t>
            </w:r>
            <w:r>
              <w:rPr>
                <w:rFonts w:hint="default" w:ascii="Times New Roman" w:hAnsi="Times New Roman" w:eastAsia="仿宋_GB2312" w:cs="Times New Roman"/>
                <w:color w:val="auto"/>
                <w:kern w:val="2"/>
                <w:sz w:val="28"/>
                <w:szCs w:val="28"/>
                <w:highlight w:val="none"/>
                <w:lang w:eastAsia="zh-CN" w:bidi="ar-SA"/>
              </w:rPr>
              <w:t>—销售</w:t>
            </w:r>
            <w:r>
              <w:rPr>
                <w:rFonts w:hint="default" w:ascii="Times New Roman" w:hAnsi="Times New Roman" w:eastAsia="仿宋_GB2312" w:cs="Times New Roman"/>
                <w:color w:val="auto"/>
                <w:kern w:val="2"/>
                <w:sz w:val="28"/>
                <w:szCs w:val="28"/>
                <w:highlight w:val="none"/>
                <w:lang w:val="en-US" w:eastAsia="zh-CN" w:bidi="ar-SA"/>
              </w:rPr>
              <w:t>平台验码亮码</w:t>
            </w:r>
            <w:r>
              <w:rPr>
                <w:rFonts w:hint="default" w:ascii="Times New Roman" w:hAnsi="Times New Roman" w:eastAsia="仿宋_GB2312" w:cs="Times New Roman"/>
                <w:color w:val="auto"/>
                <w:kern w:val="2"/>
                <w:sz w:val="28"/>
                <w:szCs w:val="28"/>
                <w:highlight w:val="none"/>
                <w:lang w:eastAsia="zh-CN" w:bidi="ar-SA"/>
              </w:rPr>
              <w:t>—</w:t>
            </w:r>
            <w:r>
              <w:rPr>
                <w:rFonts w:hint="default" w:ascii="Times New Roman" w:hAnsi="Times New Roman" w:eastAsia="仿宋_GB2312" w:cs="Times New Roman"/>
                <w:color w:val="auto"/>
                <w:kern w:val="2"/>
                <w:sz w:val="28"/>
                <w:szCs w:val="28"/>
                <w:highlight w:val="none"/>
                <w:lang w:val="en-US" w:eastAsia="zh-CN" w:bidi="ar-SA"/>
              </w:rPr>
              <w:t>消费者扫码识码”</w:t>
            </w:r>
            <w:r>
              <w:rPr>
                <w:rFonts w:hint="default" w:ascii="Times New Roman" w:hAnsi="Times New Roman" w:eastAsia="仿宋_GB2312" w:cs="Times New Roman"/>
                <w:color w:val="auto"/>
                <w:kern w:val="2"/>
                <w:sz w:val="28"/>
                <w:szCs w:val="28"/>
                <w:highlight w:val="none"/>
                <w:lang w:eastAsia="zh-CN" w:bidi="ar-SA"/>
              </w:rPr>
              <w:t>的全链条穿透式</w:t>
            </w:r>
            <w:r>
              <w:rPr>
                <w:rFonts w:hint="default" w:ascii="Times New Roman" w:hAnsi="Times New Roman" w:eastAsia="仿宋_GB2312" w:cs="Times New Roman"/>
                <w:color w:val="auto"/>
                <w:kern w:val="2"/>
                <w:sz w:val="28"/>
                <w:szCs w:val="28"/>
                <w:highlight w:val="none"/>
                <w:lang w:val="en-US" w:eastAsia="zh-CN" w:bidi="ar-SA"/>
              </w:rPr>
              <w:t>监管，压实各环节主体责任</w:t>
            </w:r>
            <w:r>
              <w:rPr>
                <w:rFonts w:hint="default" w:ascii="Times New Roman" w:hAnsi="Times New Roman" w:eastAsia="仿宋_GB2312" w:cs="Times New Roman"/>
                <w:color w:val="auto"/>
                <w:kern w:val="2"/>
                <w:sz w:val="28"/>
                <w:szCs w:val="28"/>
                <w:highlight w:val="none"/>
                <w:lang w:eastAsia="zh-CN" w:bidi="ar-SA"/>
              </w:rPr>
              <w:t>。</w:t>
            </w:r>
          </w:p>
        </w:tc>
      </w:tr>
      <w:bookmarkEnd w:id="31"/>
    </w:tbl>
    <w:p w14:paraId="60A2EFC5">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jc w:val="both"/>
        <w:textAlignment w:val="top"/>
        <w:outlineLvl w:val="2"/>
        <w:rPr>
          <w:rFonts w:hint="eastAsia" w:ascii="Times New Roman" w:hAnsi="Times New Roman" w:eastAsia="楷体_GB2312" w:cs="Times New Roman"/>
          <w:b/>
          <w:bCs/>
          <w:color w:val="FF0000"/>
          <w:sz w:val="32"/>
          <w:lang w:eastAsia="zh-CN"/>
        </w:rPr>
      </w:pPr>
      <w:bookmarkStart w:id="32" w:name="_Toc28989"/>
      <w:r>
        <w:rPr>
          <w:rFonts w:hint="eastAsia" w:ascii="Times New Roman" w:hAnsi="Times New Roman" w:eastAsia="楷体_GB2312" w:cs="Times New Roman"/>
          <w:sz w:val="32"/>
          <w:szCs w:val="32"/>
          <w:lang w:val="en-US"/>
        </w:rPr>
        <w:t>(四</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健全</w:t>
      </w:r>
      <w:r>
        <w:rPr>
          <w:rFonts w:hint="eastAsia" w:ascii="Times New Roman" w:hAnsi="Times New Roman" w:eastAsia="楷体_GB2312" w:cs="Times New Roman"/>
          <w:sz w:val="32"/>
          <w:szCs w:val="32"/>
          <w:lang w:val="en-US"/>
        </w:rPr>
        <w:t>特种设备安全</w:t>
      </w:r>
      <w:r>
        <w:rPr>
          <w:rFonts w:hint="eastAsia" w:ascii="Times New Roman" w:hAnsi="Times New Roman" w:eastAsia="楷体_GB2312" w:cs="Times New Roman"/>
          <w:sz w:val="32"/>
          <w:szCs w:val="32"/>
          <w:lang w:val="en-US" w:eastAsia="zh-CN"/>
        </w:rPr>
        <w:t>治理体系</w:t>
      </w:r>
    </w:p>
    <w:p w14:paraId="0C78D805">
      <w:pPr>
        <w:keepNext w:val="0"/>
        <w:keepLines w:val="0"/>
        <w:pageBreakBefore w:val="0"/>
        <w:widowControl w:val="0"/>
        <w:kinsoku/>
        <w:wordWrap/>
        <w:overflowPunct w:val="0"/>
        <w:topLinePunct/>
        <w:autoSpaceDE/>
        <w:autoSpaceDN/>
        <w:bidi w:val="0"/>
        <w:adjustRightInd w:val="0"/>
        <w:snapToGrid w:val="0"/>
        <w:spacing w:line="580" w:lineRule="exact"/>
        <w:ind w:firstLine="643" w:firstLineChars="200"/>
        <w:jc w:val="both"/>
        <w:textAlignment w:val="top"/>
        <w:rPr>
          <w:rFonts w:hint="eastAsia" w:ascii="Times New Roman" w:hAnsi="Times New Roman" w:eastAsia="仿宋_GB2312" w:cs="Times New Roman"/>
          <w:sz w:val="32"/>
          <w:lang w:eastAsia="zh-CN"/>
        </w:rPr>
      </w:pPr>
      <w:r>
        <w:rPr>
          <w:rFonts w:hint="eastAsia" w:ascii="Times New Roman" w:hAnsi="Times New Roman" w:eastAsia="仿宋_GB2312" w:cs="Times New Roman"/>
          <w:b/>
          <w:bCs/>
          <w:sz w:val="32"/>
        </w:rPr>
        <w:t>健全特种设备安全责任机制。</w:t>
      </w:r>
      <w:r>
        <w:rPr>
          <w:rFonts w:hint="eastAsia" w:ascii="Times New Roman" w:hAnsi="Times New Roman" w:eastAsia="仿宋_GB2312" w:cs="Times New Roman"/>
          <w:b w:val="0"/>
          <w:bCs w:val="0"/>
          <w:sz w:val="32"/>
          <w:lang w:eastAsia="zh-CN"/>
        </w:rPr>
        <w:t>常态化落</w:t>
      </w:r>
      <w:r>
        <w:rPr>
          <w:rFonts w:hint="eastAsia" w:ascii="Times New Roman" w:hAnsi="Times New Roman" w:eastAsia="仿宋_GB2312" w:cs="Times New Roman"/>
          <w:b w:val="0"/>
          <w:bCs w:val="0"/>
          <w:color w:val="auto"/>
          <w:sz w:val="32"/>
          <w:lang w:eastAsia="zh-CN"/>
        </w:rPr>
        <w:t>实特种设备“两个规定”，</w:t>
      </w:r>
      <w:r>
        <w:rPr>
          <w:rFonts w:hint="eastAsia" w:ascii="Times New Roman" w:hAnsi="Times New Roman" w:eastAsia="仿宋_GB2312" w:cs="Times New Roman"/>
          <w:color w:val="auto"/>
          <w:sz w:val="32"/>
          <w:szCs w:val="32"/>
          <w:lang w:eastAsia="zh"/>
        </w:rPr>
        <w:t>落实</w:t>
      </w:r>
      <w:r>
        <w:rPr>
          <w:rFonts w:hint="eastAsia" w:ascii="Times New Roman" w:hAnsi="Times New Roman" w:eastAsia="仿宋_GB2312" w:cs="Times New Roman"/>
          <w:color w:val="auto"/>
          <w:sz w:val="32"/>
        </w:rPr>
        <w:t>特种设备生产</w:t>
      </w:r>
      <w:r>
        <w:rPr>
          <w:rFonts w:hint="eastAsia" w:ascii="Times New Roman" w:hAnsi="Times New Roman" w:eastAsia="仿宋_GB2312" w:cs="Times New Roman"/>
          <w:color w:val="auto"/>
          <w:sz w:val="32"/>
          <w:lang w:val="en-US" w:eastAsia="zh-CN"/>
        </w:rPr>
        <w:t>和</w:t>
      </w:r>
      <w:r>
        <w:rPr>
          <w:rFonts w:hint="eastAsia" w:ascii="Times New Roman" w:hAnsi="Times New Roman" w:eastAsia="仿宋_GB2312" w:cs="Times New Roman"/>
          <w:color w:val="auto"/>
          <w:sz w:val="32"/>
        </w:rPr>
        <w:t>使用单位主体</w:t>
      </w:r>
      <w:r>
        <w:rPr>
          <w:rFonts w:hint="eastAsia" w:ascii="Times New Roman" w:hAnsi="Times New Roman" w:eastAsia="仿宋_GB2312" w:cs="Times New Roman"/>
          <w:sz w:val="32"/>
        </w:rPr>
        <w:t>责任，主要负责人严格履行安全第一责任人责任，</w:t>
      </w:r>
      <w:r>
        <w:rPr>
          <w:rFonts w:hint="eastAsia" w:ascii="Times New Roman" w:hAnsi="Times New Roman" w:eastAsia="仿宋_GB2312" w:cs="Times New Roman"/>
          <w:sz w:val="32"/>
          <w:lang w:eastAsia="zh-CN"/>
        </w:rPr>
        <w:t>按要求配齐安全总监、安全员，健全“日管控、周排查、月调度”制度。强化电梯维保单位日常保障责任，落实电梯责任保险制度。</w:t>
      </w:r>
    </w:p>
    <w:p w14:paraId="759D5569">
      <w:pPr>
        <w:keepNext w:val="0"/>
        <w:keepLines w:val="0"/>
        <w:pageBreakBefore w:val="0"/>
        <w:widowControl w:val="0"/>
        <w:kinsoku/>
        <w:wordWrap/>
        <w:overflowPunct w:val="0"/>
        <w:topLinePunct/>
        <w:autoSpaceDE/>
        <w:autoSpaceDN/>
        <w:bidi w:val="0"/>
        <w:adjustRightInd w:val="0"/>
        <w:snapToGrid w:val="0"/>
        <w:spacing w:line="580" w:lineRule="exact"/>
        <w:ind w:left="0" w:firstLine="643" w:firstLineChars="200"/>
        <w:jc w:val="both"/>
        <w:textAlignment w:val="top"/>
        <w:rPr>
          <w:rFonts w:hint="eastAsia" w:ascii="Times New Roman" w:hAnsi="Times New Roman" w:eastAsia="仿宋_GB2312" w:cs="Times New Roman"/>
          <w:sz w:val="32"/>
        </w:rPr>
      </w:pPr>
      <w:r>
        <w:rPr>
          <w:rFonts w:hint="eastAsia" w:ascii="Times New Roman" w:hAnsi="Times New Roman" w:eastAsia="仿宋_GB2312" w:cs="Times New Roman"/>
          <w:b/>
          <w:bCs/>
          <w:sz w:val="32"/>
          <w:lang w:eastAsia="zh-CN"/>
        </w:rPr>
        <w:t>强化</w:t>
      </w:r>
      <w:r>
        <w:rPr>
          <w:rFonts w:hint="eastAsia" w:ascii="Times New Roman" w:hAnsi="Times New Roman" w:eastAsia="仿宋_GB2312" w:cs="Times New Roman"/>
          <w:b/>
          <w:bCs/>
          <w:sz w:val="32"/>
        </w:rPr>
        <w:t>特种设备风险隐患排查治理。</w:t>
      </w:r>
      <w:r>
        <w:rPr>
          <w:rFonts w:hint="eastAsia" w:ascii="Times New Roman" w:hAnsi="Times New Roman" w:eastAsia="仿宋_GB2312" w:cs="Times New Roman"/>
          <w:b w:val="0"/>
          <w:bCs w:val="0"/>
          <w:sz w:val="32"/>
          <w:lang w:eastAsia="zh-CN"/>
        </w:rPr>
        <w:t>建设特种设备全生命周期追溯体系，</w:t>
      </w:r>
      <w:r>
        <w:rPr>
          <w:rFonts w:hint="eastAsia" w:ascii="Times New Roman" w:hAnsi="Times New Roman" w:eastAsia="仿宋_GB2312" w:cs="Times New Roman"/>
          <w:sz w:val="32"/>
        </w:rPr>
        <w:t>建立健全特种设备安全分级分类监管机制，深入开展特种设备专项整治，推动安全监管工作的制度化、规范化和常态化。加强安全生产宣传教育培训，保障特种设备</w:t>
      </w:r>
      <w:r>
        <w:rPr>
          <w:rFonts w:hint="eastAsia" w:ascii="Times New Roman" w:hAnsi="Times New Roman" w:eastAsia="仿宋_GB2312" w:cs="Times New Roman"/>
          <w:sz w:val="32"/>
          <w:lang w:val="en-US" w:eastAsia="zh-CN"/>
        </w:rPr>
        <w:t>安全监管</w:t>
      </w:r>
      <w:r>
        <w:rPr>
          <w:rFonts w:hint="eastAsia" w:ascii="Times New Roman" w:hAnsi="Times New Roman" w:eastAsia="仿宋_GB2312" w:cs="Times New Roman"/>
          <w:sz w:val="32"/>
        </w:rPr>
        <w:t>新政策、新</w:t>
      </w:r>
      <w:r>
        <w:rPr>
          <w:rFonts w:hint="eastAsia" w:ascii="Times New Roman" w:hAnsi="Times New Roman" w:eastAsia="仿宋_GB2312" w:cs="Times New Roman"/>
          <w:sz w:val="32"/>
          <w:lang w:val="en-US" w:eastAsia="zh-CN"/>
        </w:rPr>
        <w:t>规范、新</w:t>
      </w:r>
      <w:r>
        <w:rPr>
          <w:rFonts w:hint="eastAsia" w:ascii="Times New Roman" w:hAnsi="Times New Roman" w:eastAsia="仿宋_GB2312" w:cs="Times New Roman"/>
          <w:sz w:val="32"/>
        </w:rPr>
        <w:t>要求</w:t>
      </w:r>
      <w:r>
        <w:rPr>
          <w:rFonts w:hint="eastAsia" w:ascii="Times New Roman" w:hAnsi="Times New Roman" w:eastAsia="仿宋_GB2312" w:cs="Times New Roman"/>
          <w:sz w:val="32"/>
          <w:lang w:val="en-US" w:eastAsia="zh-CN"/>
        </w:rPr>
        <w:t>落实</w:t>
      </w:r>
      <w:r>
        <w:rPr>
          <w:rFonts w:hint="eastAsia" w:ascii="Times New Roman" w:hAnsi="Times New Roman" w:eastAsia="仿宋_GB2312" w:cs="Times New Roman"/>
          <w:sz w:val="32"/>
        </w:rPr>
        <w:t>到位。</w:t>
      </w:r>
    </w:p>
    <w:p w14:paraId="42709B82">
      <w:pPr>
        <w:keepNext w:val="0"/>
        <w:keepLines w:val="0"/>
        <w:pageBreakBefore w:val="0"/>
        <w:widowControl w:val="0"/>
        <w:kinsoku/>
        <w:wordWrap/>
        <w:overflowPunct w:val="0"/>
        <w:topLinePunct/>
        <w:autoSpaceDE/>
        <w:autoSpaceDN/>
        <w:bidi w:val="0"/>
        <w:adjustRightInd w:val="0"/>
        <w:snapToGrid w:val="0"/>
        <w:spacing w:line="580" w:lineRule="exact"/>
        <w:ind w:firstLine="643" w:firstLineChars="200"/>
        <w:jc w:val="both"/>
        <w:textAlignment w:val="top"/>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b/>
          <w:bCs/>
          <w:sz w:val="32"/>
        </w:rPr>
        <w:t>强化重点特种设备安全监管。</w:t>
      </w:r>
      <w:r>
        <w:rPr>
          <w:rFonts w:hint="eastAsia" w:ascii="Times New Roman" w:hAnsi="Times New Roman" w:eastAsia="仿宋_GB2312" w:cs="Times New Roman"/>
          <w:b w:val="0"/>
          <w:bCs w:val="0"/>
          <w:sz w:val="32"/>
          <w:lang w:eastAsia="zh-CN"/>
        </w:rPr>
        <w:t>依托特种设备电子监察系统平台功能，建立全市统一的特种设备数据底座。推进广东特检揭阳大南海检验基地建设</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规范</w:t>
      </w:r>
      <w:r>
        <w:rPr>
          <w:rFonts w:hint="eastAsia" w:ascii="Times New Roman" w:hAnsi="Times New Roman" w:eastAsia="仿宋_GB2312" w:cs="Times New Roman"/>
          <w:sz w:val="32"/>
        </w:rPr>
        <w:t>气瓶质量安全追溯信息</w:t>
      </w:r>
      <w:r>
        <w:rPr>
          <w:rFonts w:hint="eastAsia" w:ascii="Times New Roman" w:hAnsi="Times New Roman" w:eastAsia="仿宋_GB2312" w:cs="Times New Roman"/>
          <w:sz w:val="32"/>
          <w:lang w:val="en-US" w:eastAsia="zh-CN"/>
        </w:rPr>
        <w:t>管理</w:t>
      </w:r>
      <w:r>
        <w:rPr>
          <w:rFonts w:hint="eastAsia" w:ascii="Times New Roman" w:hAnsi="Times New Roman" w:eastAsia="仿宋_GB2312" w:cs="Times New Roman"/>
          <w:sz w:val="32"/>
        </w:rPr>
        <w:t>，推动老旧电梯更新改造，推进电梯维保“反内卷”</w:t>
      </w:r>
    </w:p>
    <w:p w14:paraId="72832D34">
      <w:pPr>
        <w:keepNext w:val="0"/>
        <w:keepLines w:val="0"/>
        <w:pageBreakBefore w:val="0"/>
        <w:widowControl w:val="0"/>
        <w:kinsoku/>
        <w:wordWrap/>
        <w:overflowPunct w:val="0"/>
        <w:topLinePunct/>
        <w:autoSpaceDE/>
        <w:autoSpaceDN/>
        <w:bidi w:val="0"/>
        <w:adjustRightInd w:val="0"/>
        <w:snapToGrid w:val="0"/>
        <w:spacing w:line="580" w:lineRule="exact"/>
        <w:jc w:val="both"/>
        <w:textAlignment w:val="top"/>
        <w:rPr>
          <w:rFonts w:hint="eastAsia" w:ascii="Times New Roman" w:hAnsi="Times New Roman" w:eastAsia="仿宋_GB2312" w:cs="Times New Roman"/>
          <w:sz w:val="32"/>
        </w:rPr>
      </w:pPr>
      <w:r>
        <w:rPr>
          <w:rFonts w:hint="eastAsia" w:ascii="Times New Roman" w:hAnsi="Times New Roman" w:eastAsia="仿宋_GB2312" w:cs="Times New Roman"/>
          <w:sz w:val="32"/>
        </w:rPr>
        <w:t>行动。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7F52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20" w:type="dxa"/>
            <w:noWrap w:val="0"/>
            <w:vAlign w:val="top"/>
          </w:tcPr>
          <w:p w14:paraId="1C934663">
            <w:pPr>
              <w:widowControl w:val="0"/>
              <w:numPr>
                <w:ilvl w:val="0"/>
                <w:numId w:val="0"/>
              </w:numPr>
              <w:wordWrap/>
              <w:adjustRightInd/>
              <w:snapToGrid w:val="0"/>
              <w:spacing w:line="460" w:lineRule="exact"/>
              <w:jc w:val="center"/>
              <w:textAlignment w:val="auto"/>
              <w:rPr>
                <w:rFonts w:hint="default" w:ascii="Times New Roman" w:hAnsi="Times New Roman" w:eastAsia="仿宋_GB2312" w:cs="Times New Roman"/>
                <w:sz w:val="32"/>
                <w:lang w:val="en-US" w:eastAsia="zh-CN"/>
              </w:rPr>
            </w:pPr>
            <w:r>
              <w:rPr>
                <w:rFonts w:hint="eastAsia" w:ascii="Times New Roman" w:hAnsi="Times New Roman" w:eastAsia="黑体" w:cs="Times New Roman"/>
                <w:color w:val="auto"/>
                <w:sz w:val="28"/>
                <w:szCs w:val="28"/>
                <w:highlight w:val="none"/>
                <w:lang w:val="en-US" w:eastAsia="zh-CN"/>
              </w:rPr>
              <w:t>专栏3</w:t>
            </w:r>
            <w:r>
              <w:rPr>
                <w:rFonts w:hint="default"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特种设备安全基础设施专项</w:t>
            </w:r>
          </w:p>
        </w:tc>
      </w:tr>
      <w:tr w14:paraId="0DCB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trPr>
        <w:tc>
          <w:tcPr>
            <w:tcW w:w="8520" w:type="dxa"/>
            <w:noWrap w:val="0"/>
            <w:vAlign w:val="center"/>
          </w:tcPr>
          <w:p w14:paraId="5A5E6E1F">
            <w:pPr>
              <w:widowControl w:val="0"/>
              <w:numPr>
                <w:ilvl w:val="0"/>
                <w:numId w:val="0"/>
              </w:numPr>
              <w:wordWrap/>
              <w:adjustRightInd/>
              <w:snapToGrid w:val="0"/>
              <w:spacing w:line="460" w:lineRule="exact"/>
              <w:ind w:firstLine="560" w:firstLineChars="200"/>
              <w:jc w:val="both"/>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1.规范</w:t>
            </w:r>
            <w:r>
              <w:rPr>
                <w:rFonts w:hint="default" w:ascii="Times New Roman" w:hAnsi="Times New Roman" w:eastAsia="仿宋_GB2312" w:cs="Times New Roman"/>
                <w:color w:val="auto"/>
                <w:kern w:val="2"/>
                <w:sz w:val="28"/>
                <w:szCs w:val="28"/>
                <w:highlight w:val="none"/>
                <w:lang w:val="en-US" w:eastAsia="zh-CN" w:bidi="ar-SA"/>
              </w:rPr>
              <w:t>气瓶质量安全追溯信息</w:t>
            </w:r>
            <w:r>
              <w:rPr>
                <w:rFonts w:hint="eastAsia" w:ascii="Times New Roman" w:hAnsi="Times New Roman" w:eastAsia="仿宋_GB2312" w:cs="Times New Roman"/>
                <w:color w:val="auto"/>
                <w:kern w:val="2"/>
                <w:sz w:val="28"/>
                <w:szCs w:val="28"/>
                <w:highlight w:val="none"/>
                <w:lang w:val="en-US" w:eastAsia="zh-CN" w:bidi="ar-SA"/>
              </w:rPr>
              <w:t>管理，</w:t>
            </w:r>
            <w:r>
              <w:rPr>
                <w:rFonts w:hint="default" w:ascii="Times New Roman" w:hAnsi="Times New Roman" w:eastAsia="仿宋_GB2312" w:cs="Times New Roman"/>
                <w:color w:val="auto"/>
                <w:kern w:val="2"/>
                <w:sz w:val="28"/>
                <w:szCs w:val="28"/>
                <w:highlight w:val="none"/>
                <w:lang w:val="en-US" w:eastAsia="zh-CN" w:bidi="ar-SA"/>
              </w:rPr>
              <w:t>建立气瓶安全全生命周期追溯体系。</w:t>
            </w:r>
          </w:p>
          <w:p w14:paraId="26FD9CFD">
            <w:pPr>
              <w:widowControl w:val="0"/>
              <w:numPr>
                <w:ilvl w:val="0"/>
                <w:numId w:val="0"/>
              </w:numPr>
              <w:wordWrap/>
              <w:adjustRightInd/>
              <w:snapToGrid w:val="0"/>
              <w:spacing w:line="460" w:lineRule="exact"/>
              <w:ind w:firstLine="560" w:firstLineChars="200"/>
              <w:jc w:val="both"/>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2.开展涉危化品特种设备、压力管道、起重机械、电梯、大型游乐设施、叉车等安全隐患专项治理和“回头看”。</w:t>
            </w:r>
          </w:p>
          <w:p w14:paraId="221C8619">
            <w:pPr>
              <w:widowControl w:val="0"/>
              <w:numPr>
                <w:ilvl w:val="0"/>
                <w:numId w:val="0"/>
              </w:numPr>
              <w:wordWrap/>
              <w:adjustRightInd/>
              <w:snapToGrid w:val="0"/>
              <w:spacing w:line="460" w:lineRule="exact"/>
              <w:ind w:firstLine="560" w:firstLineChars="200"/>
              <w:jc w:val="both"/>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3.推进广东特检揭阳大南海检验基地建设，发挥技术支撑和保障作用、助力地方产业转型升级。</w:t>
            </w:r>
          </w:p>
        </w:tc>
      </w:tr>
    </w:tbl>
    <w:p w14:paraId="0196031B">
      <w:pPr>
        <w:keepNext w:val="0"/>
        <w:keepLines w:val="0"/>
        <w:pageBreakBefore w:val="0"/>
        <w:widowControl w:val="0"/>
        <w:numPr>
          <w:ilvl w:val="0"/>
          <w:numId w:val="0"/>
        </w:numPr>
        <w:kinsoku/>
        <w:wordWrap/>
        <w:overflowPunct w:val="0"/>
        <w:topLinePunct/>
        <w:autoSpaceDE/>
        <w:autoSpaceDN/>
        <w:bidi w:val="0"/>
        <w:adjustRightInd w:val="0"/>
        <w:snapToGrid w:val="0"/>
        <w:spacing w:line="580" w:lineRule="exact"/>
        <w:ind w:left="0" w:leftChars="0" w:firstLine="640" w:firstLineChars="200"/>
        <w:jc w:val="both"/>
        <w:textAlignment w:val="top"/>
        <w:outlineLvl w:val="1"/>
        <w:rPr>
          <w:rFonts w:hint="eastAsia" w:ascii="黑体" w:hAnsi="黑体" w:eastAsia="黑体" w:cs="黑体"/>
          <w:color w:val="FF0000"/>
          <w:sz w:val="32"/>
          <w:szCs w:val="32"/>
          <w:lang w:val="en-US" w:eastAsia="zh-CN"/>
        </w:rPr>
      </w:pPr>
      <w:r>
        <w:rPr>
          <w:rFonts w:hint="eastAsia" w:ascii="Times New Roman" w:hAnsi="Times New Roman" w:eastAsia="黑体" w:cs="Times New Roman"/>
          <w:sz w:val="32"/>
          <w:szCs w:val="32"/>
          <w:lang w:val="en-US" w:eastAsia="zh-CN"/>
        </w:rPr>
        <w:t>六、夯实基础要素支撑，强化事业发展保障</w:t>
      </w:r>
      <w:bookmarkEnd w:id="32"/>
    </w:p>
    <w:p w14:paraId="63AA31CC">
      <w:pPr>
        <w:keepNext w:val="0"/>
        <w:keepLines w:val="0"/>
        <w:pageBreakBefore w:val="0"/>
        <w:widowControl w:val="0"/>
        <w:kinsoku/>
        <w:wordWrap/>
        <w:overflowPunct w:val="0"/>
        <w:topLinePunct/>
        <w:autoSpaceDE/>
        <w:autoSpaceDN/>
        <w:bidi w:val="0"/>
        <w:adjustRightInd w:val="0"/>
        <w:snapToGrid w:val="0"/>
        <w:spacing w:line="580" w:lineRule="exact"/>
        <w:ind w:left="0" w:firstLine="640" w:firstLineChars="200"/>
        <w:jc w:val="both"/>
        <w:textAlignment w:val="top"/>
        <w:rPr>
          <w:rFonts w:hint="eastAsia" w:ascii="Times New Roman" w:hAnsi="Times New Roman" w:eastAsia="仿宋_GB2312" w:cs="Times New Roman"/>
          <w:sz w:val="32"/>
        </w:rPr>
      </w:pPr>
      <w:bookmarkStart w:id="33" w:name="_Toc18120"/>
      <w:r>
        <w:rPr>
          <w:rFonts w:hint="eastAsia" w:ascii="Times New Roman" w:hAnsi="Times New Roman" w:eastAsia="仿宋_GB2312" w:cs="Times New Roman"/>
          <w:sz w:val="32"/>
        </w:rPr>
        <w:t>全方位夯实市场监管发展要素保障，系统推进五大支撑体系建设：聚力打造专业化人才梯队，引育各领域专业骨干并搭建专家智库；大力补强基层监管软硬件实力，以标准化建设、结对共建、智能装备赋能基层履职；搭建多方联动的社会共治体系，压实经营主体责任、激活行业自律、拓宽社会监督渠道；厚植“监管为民、护航和美揭阳”特色监管文化，抓实作风廉政教育与正面宣传引导；统筹完善应急处置体系，健全统一指挥、联动响应的舆情与安全事故处置机制，全面夯实事业长远发展根基。</w:t>
      </w:r>
      <w:bookmarkEnd w:id="33"/>
    </w:p>
    <w:p w14:paraId="6EB00D99">
      <w:pPr>
        <w:keepNext w:val="0"/>
        <w:keepLines w:val="0"/>
        <w:pageBreakBefore w:val="0"/>
        <w:widowControl w:val="0"/>
        <w:kinsoku/>
        <w:wordWrap/>
        <w:overflowPunct w:val="0"/>
        <w:topLinePunct/>
        <w:autoSpaceDE/>
        <w:autoSpaceDN/>
        <w:bidi w:val="0"/>
        <w:adjustRightInd w:val="0"/>
        <w:snapToGrid w:val="0"/>
        <w:spacing w:line="580" w:lineRule="exact"/>
        <w:ind w:left="0" w:firstLine="640" w:firstLineChars="200"/>
        <w:jc w:val="both"/>
        <w:textAlignment w:val="top"/>
        <w:rPr>
          <w:rFonts w:hint="eastAsia" w:ascii="Times New Roman" w:hAnsi="Times New Roman" w:eastAsia="仿宋_GB2312" w:cs="Times New Roman"/>
          <w:sz w:val="32"/>
        </w:rPr>
      </w:pPr>
    </w:p>
    <w:p w14:paraId="1C9CEDEC">
      <w:pPr>
        <w:keepNext w:val="0"/>
        <w:keepLines w:val="0"/>
        <w:pageBreakBefore w:val="0"/>
        <w:widowControl w:val="0"/>
        <w:kinsoku/>
        <w:wordWrap/>
        <w:overflowPunct w:val="0"/>
        <w:topLinePunct/>
        <w:bidi w:val="0"/>
        <w:adjustRightInd w:val="0"/>
        <w:snapToGrid w:val="0"/>
        <w:spacing w:line="580" w:lineRule="exact"/>
        <w:jc w:val="both"/>
        <w:textAlignment w:val="top"/>
        <w:rPr>
          <w:rFonts w:hint="eastAsia" w:ascii="Times New Roman" w:hAnsi="Times New Roman" w:eastAsia="仿宋_GB2312" w:cs="Times New Roman"/>
          <w:sz w:val="32"/>
        </w:rPr>
      </w:pPr>
    </w:p>
    <w:tbl>
      <w:tblPr>
        <w:tblStyle w:val="14"/>
        <w:tblpPr w:leftFromText="180" w:rightFromText="180" w:vertAnchor="text" w:horzAnchor="page" w:tblpX="1806" w:tblpY="3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345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22" w:type="dxa"/>
            <w:noWrap w:val="0"/>
            <w:vAlign w:val="top"/>
          </w:tcPr>
          <w:p w14:paraId="465048CF">
            <w:pPr>
              <w:keepNext w:val="0"/>
              <w:keepLines w:val="0"/>
              <w:pageBreakBefore w:val="0"/>
              <w:widowControl w:val="0"/>
              <w:kinsoku/>
              <w:wordWrap/>
              <w:overflowPunct w:val="0"/>
              <w:topLinePunct/>
              <w:bidi w:val="0"/>
              <w:adjustRightInd w:val="0"/>
              <w:snapToGrid w:val="0"/>
              <w:spacing w:line="580" w:lineRule="exact"/>
              <w:jc w:val="center"/>
              <w:textAlignment w:val="top"/>
              <w:rPr>
                <w:rFonts w:hint="default" w:ascii="Times New Roman" w:hAnsi="Times New Roman" w:eastAsia="仿宋_GB2312" w:cs="Times New Roman"/>
                <w:sz w:val="32"/>
                <w:lang w:val="en-US"/>
              </w:rPr>
            </w:pPr>
            <w:r>
              <w:rPr>
                <w:rFonts w:hint="eastAsia" w:ascii="Times New Roman" w:hAnsi="Times New Roman" w:eastAsia="黑体" w:cs="Times New Roman"/>
                <w:color w:val="auto"/>
                <w:sz w:val="28"/>
                <w:szCs w:val="28"/>
                <w:highlight w:val="none"/>
                <w:lang w:val="en-US" w:eastAsia="zh-CN"/>
              </w:rPr>
              <w:t>专栏4</w:t>
            </w:r>
            <w:r>
              <w:rPr>
                <w:rFonts w:hint="default"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基础要素支撑保障工程</w:t>
            </w:r>
          </w:p>
        </w:tc>
      </w:tr>
      <w:tr w14:paraId="0EB0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8522" w:type="dxa"/>
            <w:noWrap w:val="0"/>
            <w:vAlign w:val="top"/>
          </w:tcPr>
          <w:p w14:paraId="2AF8A37B">
            <w:pPr>
              <w:widowControl w:val="0"/>
              <w:numPr>
                <w:ilvl w:val="0"/>
                <w:numId w:val="0"/>
              </w:numPr>
              <w:wordWrap/>
              <w:adjustRightInd/>
              <w:snapToGrid w:val="0"/>
              <w:spacing w:line="460" w:lineRule="exact"/>
              <w:ind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kern w:val="2"/>
                <w:sz w:val="28"/>
                <w:szCs w:val="28"/>
                <w:highlight w:val="none"/>
                <w:lang w:val="en-US" w:eastAsia="zh-CN" w:bidi="ar-SA"/>
              </w:rPr>
              <w:t>建强高素质专业化人才队伍。聚焦市场监管重点领域，精准引育专业人才，优化队伍结构。完善职称评审、考核评价和容错纠错机制，提升监管队伍专业化水平。整合高校、科研院所及行业资源组建专家智库，集聚专业智力支撑，服务科学决策和精准监管。</w:t>
            </w:r>
          </w:p>
          <w:p w14:paraId="0D70DAA5">
            <w:pPr>
              <w:widowControl w:val="0"/>
              <w:numPr>
                <w:ilvl w:val="0"/>
                <w:numId w:val="0"/>
              </w:numPr>
              <w:wordWrap/>
              <w:adjustRightInd/>
              <w:snapToGrid w:val="0"/>
              <w:spacing w:line="460" w:lineRule="exact"/>
              <w:ind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kern w:val="2"/>
                <w:sz w:val="28"/>
                <w:szCs w:val="28"/>
                <w:highlight w:val="none"/>
                <w:lang w:val="en-US" w:eastAsia="zh-CN" w:bidi="ar-SA"/>
              </w:rPr>
              <w:t>全面提升基层监管能力。实施基层能力提升工程，常态化开展业务培训，优化基层人员队伍结构。推进基层监管所标准化、规范化、星级化建设，推动资源下沉基层。创新市局与基层所“结对共建”模式，配齐智能执法装备，提升基层实战监管效能。</w:t>
            </w:r>
          </w:p>
          <w:p w14:paraId="14E4EEE1">
            <w:pPr>
              <w:widowControl w:val="0"/>
              <w:numPr>
                <w:ilvl w:val="0"/>
                <w:numId w:val="0"/>
              </w:numPr>
              <w:wordWrap/>
              <w:adjustRightInd/>
              <w:snapToGrid w:val="0"/>
              <w:spacing w:line="460" w:lineRule="exact"/>
              <w:ind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kern w:val="2"/>
                <w:sz w:val="28"/>
                <w:szCs w:val="28"/>
                <w:highlight w:val="none"/>
                <w:lang w:val="en-US" w:eastAsia="zh-CN" w:bidi="ar-SA"/>
              </w:rPr>
              <w:t>构建市场监管社会共治格局。压实经营主体首要责任，细化重点领域监管责任清单。引导行业协会自律自治，发挥行业专业治理优势，推进行业诚信建设。畅通政务投诉举报渠道，落实多元监督机制，整合各方力量，构建全方位市场监管社会共治体系。</w:t>
            </w:r>
          </w:p>
          <w:p w14:paraId="354FED46">
            <w:pPr>
              <w:widowControl w:val="0"/>
              <w:numPr>
                <w:ilvl w:val="0"/>
                <w:numId w:val="0"/>
              </w:numPr>
              <w:wordWrap/>
              <w:adjustRightInd/>
              <w:snapToGrid w:val="0"/>
              <w:spacing w:line="460" w:lineRule="exact"/>
              <w:ind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kern w:val="2"/>
                <w:sz w:val="28"/>
                <w:szCs w:val="28"/>
                <w:highlight w:val="none"/>
                <w:lang w:val="en-US" w:eastAsia="zh-CN" w:bidi="ar-SA"/>
              </w:rPr>
              <w:t>培育新时代市场监管文化。立足“监管为民、护航和美揭阳”理念，常态化开展作风与廉政教育，涵养清廉政治生态。依托各类党建、青年学习载体打造市监特色文化。深化政媒协作，强化正面宣传与科普引导，凝聚市场监管高质量发展精神力量。</w:t>
            </w:r>
          </w:p>
          <w:p w14:paraId="08FF2E25">
            <w:pPr>
              <w:widowControl w:val="0"/>
              <w:numPr>
                <w:ilvl w:val="0"/>
                <w:numId w:val="0"/>
              </w:numPr>
              <w:wordWrap/>
              <w:adjustRightInd/>
              <w:snapToGrid w:val="0"/>
              <w:spacing w:line="4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Times New Roman" w:hAnsi="Times New Roman" w:eastAsia="仿宋_GB2312" w:cs="Times New Roman"/>
                <w:color w:val="auto"/>
                <w:kern w:val="2"/>
                <w:sz w:val="28"/>
                <w:szCs w:val="28"/>
                <w:highlight w:val="none"/>
                <w:lang w:val="en-US" w:eastAsia="zh-CN" w:bidi="ar-SA"/>
              </w:rPr>
              <w:t>5、</w:t>
            </w:r>
            <w:r>
              <w:rPr>
                <w:rFonts w:hint="default" w:ascii="Times New Roman" w:hAnsi="Times New Roman" w:eastAsia="仿宋_GB2312" w:cs="Times New Roman"/>
                <w:color w:val="auto"/>
                <w:kern w:val="2"/>
                <w:sz w:val="28"/>
                <w:szCs w:val="28"/>
                <w:highlight w:val="none"/>
                <w:lang w:val="en-US" w:eastAsia="zh-CN" w:bidi="ar-SA"/>
              </w:rPr>
              <w:t>提升舆情应急处置能力。坚持全市一盘棋，健全市场监管应急指挥体系，常态化开展应急培训和演练，夯实基层处置能力。完善舆情联动处置机制，创新监测手段，强化风险排查与快速响应，提升突发事件、网络舆情化解能力。</w:t>
            </w:r>
          </w:p>
        </w:tc>
      </w:tr>
    </w:tbl>
    <w:p w14:paraId="4B406A54">
      <w:pPr>
        <w:keepNext w:val="0"/>
        <w:keepLines w:val="0"/>
        <w:pageBreakBefore w:val="0"/>
        <w:widowControl w:val="0"/>
        <w:kinsoku/>
        <w:wordWrap/>
        <w:overflowPunct w:val="0"/>
        <w:topLinePunct/>
        <w:bidi w:val="0"/>
        <w:adjustRightInd w:val="0"/>
        <w:snapToGrid w:val="0"/>
        <w:spacing w:line="580" w:lineRule="exact"/>
        <w:jc w:val="both"/>
        <w:textAlignment w:val="top"/>
        <w:rPr>
          <w:rFonts w:hint="eastAsia" w:ascii="黑体" w:hAnsi="黑体" w:eastAsia="黑体" w:cs="黑体"/>
          <w:color w:val="auto"/>
          <w:sz w:val="32"/>
          <w:lang w:val="en-US" w:eastAsia="zh-CN"/>
        </w:rPr>
      </w:pPr>
    </w:p>
    <w:p w14:paraId="4134F0D8">
      <w:pPr>
        <w:keepNext w:val="0"/>
        <w:keepLines w:val="0"/>
        <w:pageBreakBefore w:val="0"/>
        <w:widowControl w:val="0"/>
        <w:numPr>
          <w:ilvl w:val="0"/>
          <w:numId w:val="5"/>
        </w:numPr>
        <w:kinsoku/>
        <w:wordWrap/>
        <w:overflowPunct w:val="0"/>
        <w:topLinePunct/>
        <w:bidi w:val="0"/>
        <w:adjustRightInd w:val="0"/>
        <w:snapToGrid w:val="0"/>
        <w:spacing w:line="580" w:lineRule="exact"/>
        <w:ind w:left="0" w:leftChars="0" w:firstLine="640" w:firstLineChars="200"/>
        <w:jc w:val="center"/>
        <w:textAlignment w:val="top"/>
        <w:outlineLvl w:val="0"/>
        <w:rPr>
          <w:rFonts w:hint="eastAsia" w:ascii="黑体" w:hAnsi="黑体" w:eastAsia="黑体" w:cs="黑体"/>
          <w:color w:val="auto"/>
          <w:sz w:val="32"/>
          <w:lang w:val="en-US" w:eastAsia="zh-CN"/>
        </w:rPr>
      </w:pPr>
      <w:bookmarkStart w:id="34" w:name="_Toc11785"/>
      <w:r>
        <w:rPr>
          <w:rFonts w:hint="eastAsia" w:ascii="黑体" w:hAnsi="黑体" w:eastAsia="黑体" w:cs="黑体"/>
          <w:color w:val="auto"/>
          <w:sz w:val="32"/>
          <w:lang w:val="en-US" w:eastAsia="zh-CN"/>
        </w:rPr>
        <w:t>实施保障</w:t>
      </w:r>
      <w:bookmarkEnd w:id="34"/>
    </w:p>
    <w:p w14:paraId="4DCE3670">
      <w:pPr>
        <w:keepNext w:val="0"/>
        <w:keepLines w:val="0"/>
        <w:pageBreakBefore w:val="0"/>
        <w:widowControl w:val="0"/>
        <w:numPr>
          <w:ilvl w:val="0"/>
          <w:numId w:val="0"/>
        </w:numPr>
        <w:kinsoku/>
        <w:wordWrap/>
        <w:overflowPunct w:val="0"/>
        <w:topLinePunct/>
        <w:autoSpaceDE/>
        <w:autoSpaceDN/>
        <w:bidi w:val="0"/>
        <w:adjustRightInd w:val="0"/>
        <w:snapToGrid w:val="0"/>
        <w:spacing w:line="580" w:lineRule="exact"/>
        <w:jc w:val="both"/>
        <w:textAlignment w:val="top"/>
        <w:outlineLvl w:val="1"/>
        <w:rPr>
          <w:rFonts w:hint="eastAsia" w:ascii="黑体" w:hAnsi="黑体" w:eastAsia="黑体" w:cs="黑体"/>
          <w:color w:val="FF0000"/>
          <w:sz w:val="32"/>
          <w:szCs w:val="32"/>
          <w:lang w:val="en-US" w:eastAsia="zh-CN"/>
        </w:rPr>
      </w:pPr>
    </w:p>
    <w:p w14:paraId="2B1D3690">
      <w:pPr>
        <w:keepNext w:val="0"/>
        <w:keepLines w:val="0"/>
        <w:pageBreakBefore w:val="0"/>
        <w:widowControl w:val="0"/>
        <w:numPr>
          <w:ilvl w:val="0"/>
          <w:numId w:val="0"/>
        </w:numPr>
        <w:kinsoku/>
        <w:wordWrap/>
        <w:overflowPunct w:val="0"/>
        <w:topLinePunct/>
        <w:autoSpaceDE/>
        <w:autoSpaceDN/>
        <w:bidi w:val="0"/>
        <w:adjustRightInd w:val="0"/>
        <w:snapToGrid w:val="0"/>
        <w:spacing w:line="580" w:lineRule="exact"/>
        <w:ind w:firstLine="640" w:firstLineChars="200"/>
        <w:jc w:val="both"/>
        <w:textAlignment w:val="top"/>
        <w:rPr>
          <w:rFonts w:hint="eastAsia" w:ascii="Times New Roman" w:hAnsi="Times New Roman" w:eastAsia="仿宋_GB2312" w:cs="Times New Roman"/>
          <w:color w:val="auto"/>
          <w:sz w:val="32"/>
        </w:rPr>
      </w:pPr>
      <w:r>
        <w:rPr>
          <w:rFonts w:hint="eastAsia" w:ascii="Times New Roman" w:hAnsi="Times New Roman" w:eastAsia="楷体_GB2312" w:cs="Times New Roman"/>
          <w:sz w:val="32"/>
          <w:szCs w:val="32"/>
          <w:lang w:val="en-US" w:eastAsia="zh-CN"/>
        </w:rPr>
        <w:t>（一）强化组织领导。</w:t>
      </w:r>
      <w:r>
        <w:rPr>
          <w:rFonts w:hint="eastAsia" w:ascii="Times New Roman" w:hAnsi="Times New Roman" w:eastAsia="仿宋_GB2312" w:cs="Times New Roman"/>
          <w:color w:val="auto"/>
          <w:sz w:val="32"/>
        </w:rPr>
        <w:t>加强党对市场监管工作的全面领导，发挥党总揽全局、协调各方的坚强领导核心作用，</w:t>
      </w:r>
      <w:r>
        <w:rPr>
          <w:rFonts w:hint="eastAsia" w:ascii="Times New Roman" w:hAnsi="Times New Roman" w:eastAsia="仿宋_GB2312" w:cs="Times New Roman"/>
          <w:color w:val="auto"/>
          <w:sz w:val="32"/>
          <w:lang w:val="en-US" w:eastAsia="zh-CN"/>
        </w:rPr>
        <w:t>搭建部门协同、上下联动工作格局，细化工作举措、压实岗位责任，坚持问题导向、结果导向，靶向攻坚市场监管领域突出短板难题。</w:t>
      </w:r>
    </w:p>
    <w:p w14:paraId="6E8FAC60">
      <w:pPr>
        <w:keepNext w:val="0"/>
        <w:keepLines w:val="0"/>
        <w:pageBreakBefore w:val="0"/>
        <w:widowControl w:val="0"/>
        <w:numPr>
          <w:ilvl w:val="0"/>
          <w:numId w:val="0"/>
        </w:numPr>
        <w:kinsoku/>
        <w:wordWrap/>
        <w:overflowPunct w:val="0"/>
        <w:topLinePunct/>
        <w:autoSpaceDE/>
        <w:autoSpaceDN/>
        <w:bidi w:val="0"/>
        <w:adjustRightInd w:val="0"/>
        <w:snapToGrid w:val="0"/>
        <w:spacing w:line="580" w:lineRule="exact"/>
        <w:ind w:firstLine="640" w:firstLineChars="200"/>
        <w:jc w:val="both"/>
        <w:textAlignment w:val="top"/>
        <w:rPr>
          <w:rFonts w:hint="eastAsia" w:ascii="Times New Roman" w:hAnsi="Times New Roman" w:eastAsia="仿宋_GB2312" w:cs="Times New Roman"/>
          <w:color w:val="auto"/>
          <w:sz w:val="32"/>
          <w:lang w:val="en-US" w:eastAsia="zh-CN"/>
        </w:rPr>
      </w:pPr>
      <w:r>
        <w:rPr>
          <w:rFonts w:hint="eastAsia" w:ascii="Times New Roman" w:hAnsi="Times New Roman" w:eastAsia="楷体_GB2312" w:cs="Times New Roman"/>
          <w:sz w:val="32"/>
          <w:szCs w:val="32"/>
          <w:lang w:val="en-US" w:eastAsia="zh-CN"/>
        </w:rPr>
        <w:t>（二）夯实政策经费支撑。</w:t>
      </w:r>
      <w:r>
        <w:rPr>
          <w:rFonts w:hint="eastAsia" w:ascii="Times New Roman" w:hAnsi="Times New Roman" w:eastAsia="仿宋_GB2312" w:cs="Times New Roman"/>
          <w:color w:val="auto"/>
          <w:sz w:val="32"/>
          <w:lang w:val="en-US" w:eastAsia="zh-CN"/>
        </w:rPr>
        <w:t>健全规划配套政策体系，推动有效市场和有为政府深度融合，将规划任务纳入年度重点部署，鼓励重点领域改革创新、先行先试。完善财政经费保障机制，统筹资金测算、优化支出结构，推动资金资源向基层倾斜，规范项目资金管理，保障“十五五”规划有序推进。</w:t>
      </w:r>
    </w:p>
    <w:p w14:paraId="7F0376A3">
      <w:pPr>
        <w:keepNext w:val="0"/>
        <w:keepLines w:val="0"/>
        <w:pageBreakBefore w:val="0"/>
        <w:widowControl w:val="0"/>
        <w:numPr>
          <w:ilvl w:val="0"/>
          <w:numId w:val="0"/>
        </w:numPr>
        <w:kinsoku/>
        <w:wordWrap/>
        <w:overflowPunct w:val="0"/>
        <w:topLinePunct/>
        <w:autoSpaceDE/>
        <w:autoSpaceDN/>
        <w:bidi w:val="0"/>
        <w:adjustRightInd w:val="0"/>
        <w:snapToGrid w:val="0"/>
        <w:spacing w:line="580" w:lineRule="exact"/>
        <w:ind w:firstLine="640" w:firstLineChars="200"/>
        <w:jc w:val="both"/>
        <w:textAlignment w:val="top"/>
        <w:rPr>
          <w:rFonts w:hint="eastAsia" w:ascii="Times New Roman" w:hAnsi="Times New Roman" w:eastAsia="仿宋_GB2312" w:cs="Times New Roman"/>
          <w:color w:val="auto"/>
          <w:sz w:val="32"/>
        </w:rPr>
      </w:pPr>
      <w:r>
        <w:rPr>
          <w:rFonts w:hint="eastAsia" w:ascii="Times New Roman" w:hAnsi="Times New Roman" w:eastAsia="楷体_GB2312" w:cs="Times New Roman"/>
          <w:sz w:val="32"/>
          <w:szCs w:val="32"/>
          <w:lang w:val="en-US" w:eastAsia="zh-CN"/>
        </w:rPr>
        <w:t>（三）健全评估督导机制。</w:t>
      </w:r>
      <w:r>
        <w:rPr>
          <w:rFonts w:hint="eastAsia" w:ascii="Times New Roman" w:hAnsi="Times New Roman" w:eastAsia="仿宋_GB2312" w:cs="Times New Roman"/>
          <w:color w:val="auto"/>
          <w:sz w:val="32"/>
          <w:lang w:val="en-US" w:eastAsia="zh-CN"/>
        </w:rPr>
        <w:t>常态化开展规划动态监测、中期评估和总结评估，及时排查解决实施堵点、难点问题，畅通信息反馈渠道，总结推广先进经验做法，确保各项工作落地见效、提质增效。</w:t>
      </w: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257E2">
    <w:pPr>
      <w:pStyle w:val="7"/>
    </w:pPr>
    <w:r>
      <w:rPr>
        <w:sz w:val="18"/>
      </w:rPr>
      <w:pict>
        <v:shape id="_x0000_s4097" o:spid="_x0000_s4097" o:spt="202" type="#_x0000_t202" style="position:absolute;left:0pt;margin-top:-7.45pt;height:18.45pt;width:61.35pt;mso-position-horizontal:inside;mso-position-horizontal-relative:margin;z-index:251659264;mso-width-relative:page;mso-height-relative:page;" filled="f" stroked="f" coordsize="21600,21600">
          <v:path/>
          <v:fill on="f" focussize="0,0"/>
          <v:stroke on="f" weight="1.25pt"/>
          <v:imagedata o:title=""/>
          <o:lock v:ext="edit" aspectratio="f"/>
          <v:textbox inset="0mm,0mm,0mm,0mm">
            <w:txbxContent>
              <w:p w14:paraId="18535CDF">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AE5A8"/>
    <w:multiLevelType w:val="singleLevel"/>
    <w:tmpl w:val="9F7AE5A8"/>
    <w:lvl w:ilvl="0" w:tentative="0">
      <w:start w:val="4"/>
      <w:numFmt w:val="chineseCounting"/>
      <w:suff w:val="space"/>
      <w:lvlText w:val="第%1章"/>
      <w:lvlJc w:val="left"/>
      <w:rPr>
        <w:rFonts w:hint="eastAsia"/>
      </w:rPr>
    </w:lvl>
  </w:abstractNum>
  <w:abstractNum w:abstractNumId="1">
    <w:nsid w:val="A2081D7E"/>
    <w:multiLevelType w:val="singleLevel"/>
    <w:tmpl w:val="A2081D7E"/>
    <w:lvl w:ilvl="0" w:tentative="0">
      <w:start w:val="1"/>
      <w:numFmt w:val="chineseCounting"/>
      <w:suff w:val="space"/>
      <w:lvlText w:val="第%1章"/>
      <w:lvlJc w:val="left"/>
      <w:rPr>
        <w:rFonts w:hint="eastAsia"/>
      </w:rPr>
    </w:lvl>
  </w:abstractNum>
  <w:abstractNum w:abstractNumId="2">
    <w:nsid w:val="ADBEBB6D"/>
    <w:multiLevelType w:val="singleLevel"/>
    <w:tmpl w:val="ADBEBB6D"/>
    <w:lvl w:ilvl="0" w:tentative="0">
      <w:start w:val="2"/>
      <w:numFmt w:val="chineseCounting"/>
      <w:suff w:val="nothing"/>
      <w:lvlText w:val="%1、"/>
      <w:lvlJc w:val="left"/>
      <w:rPr>
        <w:rFonts w:hint="eastAsia"/>
      </w:rPr>
    </w:lvl>
  </w:abstractNum>
  <w:abstractNum w:abstractNumId="3">
    <w:nsid w:val="3533014C"/>
    <w:multiLevelType w:val="singleLevel"/>
    <w:tmpl w:val="3533014C"/>
    <w:lvl w:ilvl="0" w:tentative="0">
      <w:start w:val="5"/>
      <w:numFmt w:val="chineseCounting"/>
      <w:suff w:val="nothing"/>
      <w:lvlText w:val="%1、"/>
      <w:lvlJc w:val="left"/>
      <w:rPr>
        <w:rFonts w:hint="eastAsia"/>
      </w:rPr>
    </w:lvl>
  </w:abstractNum>
  <w:abstractNum w:abstractNumId="4">
    <w:nsid w:val="5902BA75"/>
    <w:multiLevelType w:val="singleLevel"/>
    <w:tmpl w:val="5902BA75"/>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5EA49A6"/>
    <w:rsid w:val="00005402"/>
    <w:rsid w:val="00125081"/>
    <w:rsid w:val="001A64C4"/>
    <w:rsid w:val="00207852"/>
    <w:rsid w:val="00294959"/>
    <w:rsid w:val="002C61F7"/>
    <w:rsid w:val="002C6B02"/>
    <w:rsid w:val="00416146"/>
    <w:rsid w:val="0046375D"/>
    <w:rsid w:val="005C6ADC"/>
    <w:rsid w:val="006B31C3"/>
    <w:rsid w:val="00773916"/>
    <w:rsid w:val="007E2EF7"/>
    <w:rsid w:val="008B1170"/>
    <w:rsid w:val="009224FE"/>
    <w:rsid w:val="00951FEE"/>
    <w:rsid w:val="00973FB8"/>
    <w:rsid w:val="00B76409"/>
    <w:rsid w:val="00C26F9F"/>
    <w:rsid w:val="00C85F20"/>
    <w:rsid w:val="00C91C98"/>
    <w:rsid w:val="00DC7C1D"/>
    <w:rsid w:val="00DF14BB"/>
    <w:rsid w:val="00E6284A"/>
    <w:rsid w:val="01052E15"/>
    <w:rsid w:val="01066A48"/>
    <w:rsid w:val="010C0502"/>
    <w:rsid w:val="01170F3C"/>
    <w:rsid w:val="01253372"/>
    <w:rsid w:val="012F49BE"/>
    <w:rsid w:val="013E4434"/>
    <w:rsid w:val="01415CD2"/>
    <w:rsid w:val="01583748"/>
    <w:rsid w:val="015E6884"/>
    <w:rsid w:val="016E2F6B"/>
    <w:rsid w:val="018207C5"/>
    <w:rsid w:val="0192652E"/>
    <w:rsid w:val="019D115B"/>
    <w:rsid w:val="01A77D3E"/>
    <w:rsid w:val="01AD5116"/>
    <w:rsid w:val="01B01053"/>
    <w:rsid w:val="01B841E6"/>
    <w:rsid w:val="01BA0D46"/>
    <w:rsid w:val="01BB3CD7"/>
    <w:rsid w:val="01C0753F"/>
    <w:rsid w:val="01C506B1"/>
    <w:rsid w:val="01F33470"/>
    <w:rsid w:val="023F2212"/>
    <w:rsid w:val="023F66B6"/>
    <w:rsid w:val="025C7268"/>
    <w:rsid w:val="027A149C"/>
    <w:rsid w:val="028B18FB"/>
    <w:rsid w:val="02915A49"/>
    <w:rsid w:val="02BA3F8E"/>
    <w:rsid w:val="02C80459"/>
    <w:rsid w:val="02CF65DF"/>
    <w:rsid w:val="03165668"/>
    <w:rsid w:val="03634626"/>
    <w:rsid w:val="03710AF1"/>
    <w:rsid w:val="03C274DB"/>
    <w:rsid w:val="03DF0BE7"/>
    <w:rsid w:val="03E2226C"/>
    <w:rsid w:val="03EA43FF"/>
    <w:rsid w:val="03F52369"/>
    <w:rsid w:val="03F62C62"/>
    <w:rsid w:val="0409052E"/>
    <w:rsid w:val="044133A7"/>
    <w:rsid w:val="04736067"/>
    <w:rsid w:val="047A39D5"/>
    <w:rsid w:val="049D5915"/>
    <w:rsid w:val="04A42800"/>
    <w:rsid w:val="04BA2DFB"/>
    <w:rsid w:val="04C646BC"/>
    <w:rsid w:val="04C92FA9"/>
    <w:rsid w:val="04D408FB"/>
    <w:rsid w:val="051F632A"/>
    <w:rsid w:val="053A6389"/>
    <w:rsid w:val="053C0C8A"/>
    <w:rsid w:val="055D2DDD"/>
    <w:rsid w:val="056B1570"/>
    <w:rsid w:val="058D14E6"/>
    <w:rsid w:val="059B00A7"/>
    <w:rsid w:val="05A30D0A"/>
    <w:rsid w:val="05A87FAC"/>
    <w:rsid w:val="05AA02EA"/>
    <w:rsid w:val="05D03D42"/>
    <w:rsid w:val="05F45A09"/>
    <w:rsid w:val="06231E4A"/>
    <w:rsid w:val="06257970"/>
    <w:rsid w:val="062C3EA5"/>
    <w:rsid w:val="063662BE"/>
    <w:rsid w:val="06451DC1"/>
    <w:rsid w:val="065D710A"/>
    <w:rsid w:val="066F5090"/>
    <w:rsid w:val="06782196"/>
    <w:rsid w:val="06826B71"/>
    <w:rsid w:val="069F5975"/>
    <w:rsid w:val="06B036DE"/>
    <w:rsid w:val="06B156A8"/>
    <w:rsid w:val="06B17456"/>
    <w:rsid w:val="06BE7B0C"/>
    <w:rsid w:val="06C278B5"/>
    <w:rsid w:val="06DC2725"/>
    <w:rsid w:val="06DF2215"/>
    <w:rsid w:val="06FD08ED"/>
    <w:rsid w:val="070005F5"/>
    <w:rsid w:val="070D0B30"/>
    <w:rsid w:val="07106873"/>
    <w:rsid w:val="07221C59"/>
    <w:rsid w:val="072916E2"/>
    <w:rsid w:val="07577FFE"/>
    <w:rsid w:val="07591FC8"/>
    <w:rsid w:val="07691ADF"/>
    <w:rsid w:val="077E37DC"/>
    <w:rsid w:val="078B3965"/>
    <w:rsid w:val="07A041E0"/>
    <w:rsid w:val="07B82EF6"/>
    <w:rsid w:val="07BE007D"/>
    <w:rsid w:val="07C13A95"/>
    <w:rsid w:val="07FC2953"/>
    <w:rsid w:val="081F5E64"/>
    <w:rsid w:val="08422A5C"/>
    <w:rsid w:val="0878647D"/>
    <w:rsid w:val="087A0447"/>
    <w:rsid w:val="0882554E"/>
    <w:rsid w:val="089B03BE"/>
    <w:rsid w:val="08D4742C"/>
    <w:rsid w:val="08D631A4"/>
    <w:rsid w:val="08E51639"/>
    <w:rsid w:val="08F16230"/>
    <w:rsid w:val="08FA1588"/>
    <w:rsid w:val="09167A44"/>
    <w:rsid w:val="091B66A3"/>
    <w:rsid w:val="091F0FEF"/>
    <w:rsid w:val="094221DB"/>
    <w:rsid w:val="0969226A"/>
    <w:rsid w:val="0969387C"/>
    <w:rsid w:val="09694018"/>
    <w:rsid w:val="098A1833"/>
    <w:rsid w:val="09A552C3"/>
    <w:rsid w:val="09CA0F5B"/>
    <w:rsid w:val="09D04097"/>
    <w:rsid w:val="09D61B19"/>
    <w:rsid w:val="09D83091"/>
    <w:rsid w:val="09DC0C8E"/>
    <w:rsid w:val="0A03621B"/>
    <w:rsid w:val="0A085925"/>
    <w:rsid w:val="0A516F86"/>
    <w:rsid w:val="0A9D21CB"/>
    <w:rsid w:val="0AAC240E"/>
    <w:rsid w:val="0AB47515"/>
    <w:rsid w:val="0AB57D10"/>
    <w:rsid w:val="0AC41A8D"/>
    <w:rsid w:val="0AD05F14"/>
    <w:rsid w:val="0AD33E3F"/>
    <w:rsid w:val="0B2001E5"/>
    <w:rsid w:val="0B2C354F"/>
    <w:rsid w:val="0B5C5BE2"/>
    <w:rsid w:val="0B5E5DFE"/>
    <w:rsid w:val="0B6947A3"/>
    <w:rsid w:val="0B8C3FEE"/>
    <w:rsid w:val="0B8D069C"/>
    <w:rsid w:val="0B8D66E4"/>
    <w:rsid w:val="0B8E5FB8"/>
    <w:rsid w:val="0BBC2B8E"/>
    <w:rsid w:val="0BC33EB3"/>
    <w:rsid w:val="0BC47E38"/>
    <w:rsid w:val="0C087B18"/>
    <w:rsid w:val="0C0A7D34"/>
    <w:rsid w:val="0C0F0EA7"/>
    <w:rsid w:val="0C71390F"/>
    <w:rsid w:val="0C7156BE"/>
    <w:rsid w:val="0C8573BB"/>
    <w:rsid w:val="0C874EE1"/>
    <w:rsid w:val="0C946333"/>
    <w:rsid w:val="0C994C14"/>
    <w:rsid w:val="0CA737D5"/>
    <w:rsid w:val="0CB23101"/>
    <w:rsid w:val="0CB80122"/>
    <w:rsid w:val="0CBD2EAF"/>
    <w:rsid w:val="0CF87B8D"/>
    <w:rsid w:val="0D110C4F"/>
    <w:rsid w:val="0D1D5845"/>
    <w:rsid w:val="0D316917"/>
    <w:rsid w:val="0D466B4A"/>
    <w:rsid w:val="0D617952"/>
    <w:rsid w:val="0DA970D9"/>
    <w:rsid w:val="0DC14423"/>
    <w:rsid w:val="0DC45CC1"/>
    <w:rsid w:val="0DDC7AB4"/>
    <w:rsid w:val="0DE80AB1"/>
    <w:rsid w:val="0E150E4B"/>
    <w:rsid w:val="0E1E1875"/>
    <w:rsid w:val="0E26697C"/>
    <w:rsid w:val="0E4532A6"/>
    <w:rsid w:val="0E456E02"/>
    <w:rsid w:val="0E603C3C"/>
    <w:rsid w:val="0E721BC1"/>
    <w:rsid w:val="0E876762"/>
    <w:rsid w:val="0EDB31DD"/>
    <w:rsid w:val="0EDD34DE"/>
    <w:rsid w:val="0EDF7256"/>
    <w:rsid w:val="0EE7435D"/>
    <w:rsid w:val="0F006D9D"/>
    <w:rsid w:val="0F1B5DB5"/>
    <w:rsid w:val="0F2E7001"/>
    <w:rsid w:val="0F2E7BCE"/>
    <w:rsid w:val="0F307AB2"/>
    <w:rsid w:val="0F4E2C89"/>
    <w:rsid w:val="0F64642D"/>
    <w:rsid w:val="0F6C6610"/>
    <w:rsid w:val="0FA95154"/>
    <w:rsid w:val="0FB029A1"/>
    <w:rsid w:val="0FB0474F"/>
    <w:rsid w:val="0FD83FA2"/>
    <w:rsid w:val="0FDA17CC"/>
    <w:rsid w:val="0FE8213B"/>
    <w:rsid w:val="0FFF7484"/>
    <w:rsid w:val="100131FC"/>
    <w:rsid w:val="10112518"/>
    <w:rsid w:val="10134CDE"/>
    <w:rsid w:val="10141182"/>
    <w:rsid w:val="10390BE8"/>
    <w:rsid w:val="10524731"/>
    <w:rsid w:val="106A58FD"/>
    <w:rsid w:val="108C6F6A"/>
    <w:rsid w:val="10E24DDC"/>
    <w:rsid w:val="10EC306F"/>
    <w:rsid w:val="110436B7"/>
    <w:rsid w:val="114525FF"/>
    <w:rsid w:val="116369AF"/>
    <w:rsid w:val="11761CAB"/>
    <w:rsid w:val="11837062"/>
    <w:rsid w:val="118539B9"/>
    <w:rsid w:val="119F2CCD"/>
    <w:rsid w:val="11C664AC"/>
    <w:rsid w:val="11C73FD2"/>
    <w:rsid w:val="11CC3396"/>
    <w:rsid w:val="11FF551A"/>
    <w:rsid w:val="12152F8F"/>
    <w:rsid w:val="121D1E44"/>
    <w:rsid w:val="122D652B"/>
    <w:rsid w:val="123C676E"/>
    <w:rsid w:val="124D2729"/>
    <w:rsid w:val="124D74FD"/>
    <w:rsid w:val="125647DA"/>
    <w:rsid w:val="126637EB"/>
    <w:rsid w:val="128B14A3"/>
    <w:rsid w:val="128C0DC5"/>
    <w:rsid w:val="129E11D6"/>
    <w:rsid w:val="12AB2AEE"/>
    <w:rsid w:val="12C02EFB"/>
    <w:rsid w:val="12D20E80"/>
    <w:rsid w:val="12D22C2E"/>
    <w:rsid w:val="12E110C3"/>
    <w:rsid w:val="12F048B5"/>
    <w:rsid w:val="12F62DC0"/>
    <w:rsid w:val="130C4392"/>
    <w:rsid w:val="13261699"/>
    <w:rsid w:val="132F62D2"/>
    <w:rsid w:val="1333116B"/>
    <w:rsid w:val="13580A0A"/>
    <w:rsid w:val="136E0BA9"/>
    <w:rsid w:val="13791560"/>
    <w:rsid w:val="138C7281"/>
    <w:rsid w:val="138F0B1F"/>
    <w:rsid w:val="13FE2973"/>
    <w:rsid w:val="14092680"/>
    <w:rsid w:val="142F2A6F"/>
    <w:rsid w:val="1432417D"/>
    <w:rsid w:val="14661880"/>
    <w:rsid w:val="14832432"/>
    <w:rsid w:val="148443FC"/>
    <w:rsid w:val="148F600B"/>
    <w:rsid w:val="14A300CE"/>
    <w:rsid w:val="14C52A4A"/>
    <w:rsid w:val="14CF5677"/>
    <w:rsid w:val="14E1184E"/>
    <w:rsid w:val="14EA0703"/>
    <w:rsid w:val="14F50E56"/>
    <w:rsid w:val="14F5683C"/>
    <w:rsid w:val="150177FB"/>
    <w:rsid w:val="15282FD9"/>
    <w:rsid w:val="152F25BA"/>
    <w:rsid w:val="153320AA"/>
    <w:rsid w:val="155B6F0B"/>
    <w:rsid w:val="15712BD2"/>
    <w:rsid w:val="158346B4"/>
    <w:rsid w:val="159F14ED"/>
    <w:rsid w:val="15B34F99"/>
    <w:rsid w:val="15C40F54"/>
    <w:rsid w:val="15D20258"/>
    <w:rsid w:val="15D20D5F"/>
    <w:rsid w:val="15DA0777"/>
    <w:rsid w:val="15DF5D8E"/>
    <w:rsid w:val="15F555B1"/>
    <w:rsid w:val="15F7184A"/>
    <w:rsid w:val="1626576B"/>
    <w:rsid w:val="1638724C"/>
    <w:rsid w:val="163A1216"/>
    <w:rsid w:val="16467BBB"/>
    <w:rsid w:val="16473933"/>
    <w:rsid w:val="165D4F05"/>
    <w:rsid w:val="16734728"/>
    <w:rsid w:val="16897F26"/>
    <w:rsid w:val="168C7304"/>
    <w:rsid w:val="16AE750E"/>
    <w:rsid w:val="16D03928"/>
    <w:rsid w:val="16D276A1"/>
    <w:rsid w:val="17171557"/>
    <w:rsid w:val="1726179A"/>
    <w:rsid w:val="175063E5"/>
    <w:rsid w:val="175A0568"/>
    <w:rsid w:val="1768590F"/>
    <w:rsid w:val="1772678E"/>
    <w:rsid w:val="1776002C"/>
    <w:rsid w:val="17B33D43"/>
    <w:rsid w:val="17B374D2"/>
    <w:rsid w:val="17B80644"/>
    <w:rsid w:val="17CD0467"/>
    <w:rsid w:val="17EE050A"/>
    <w:rsid w:val="1807337A"/>
    <w:rsid w:val="18167A61"/>
    <w:rsid w:val="182E4DAB"/>
    <w:rsid w:val="18622CA6"/>
    <w:rsid w:val="186C33DA"/>
    <w:rsid w:val="18716A45"/>
    <w:rsid w:val="18843C86"/>
    <w:rsid w:val="18BA15DC"/>
    <w:rsid w:val="18C66D91"/>
    <w:rsid w:val="18DA0A8E"/>
    <w:rsid w:val="19280238"/>
    <w:rsid w:val="193B4223"/>
    <w:rsid w:val="196646E6"/>
    <w:rsid w:val="19762565"/>
    <w:rsid w:val="199C52E7"/>
    <w:rsid w:val="1A02204B"/>
    <w:rsid w:val="1A1104E0"/>
    <w:rsid w:val="1A332204"/>
    <w:rsid w:val="1A7F18ED"/>
    <w:rsid w:val="1A8C0D86"/>
    <w:rsid w:val="1AA44EB0"/>
    <w:rsid w:val="1AB5530F"/>
    <w:rsid w:val="1AC306D2"/>
    <w:rsid w:val="1ACD2659"/>
    <w:rsid w:val="1ACE4623"/>
    <w:rsid w:val="1AE856E5"/>
    <w:rsid w:val="1AE9320B"/>
    <w:rsid w:val="1AF851FC"/>
    <w:rsid w:val="1AFA0F74"/>
    <w:rsid w:val="1AFF658A"/>
    <w:rsid w:val="1B07040F"/>
    <w:rsid w:val="1B1A7868"/>
    <w:rsid w:val="1B223E33"/>
    <w:rsid w:val="1B2349D2"/>
    <w:rsid w:val="1B273F83"/>
    <w:rsid w:val="1B2B3823"/>
    <w:rsid w:val="1B375D24"/>
    <w:rsid w:val="1B414DF5"/>
    <w:rsid w:val="1B661988"/>
    <w:rsid w:val="1B741AA6"/>
    <w:rsid w:val="1B8558EE"/>
    <w:rsid w:val="1B8A22F8"/>
    <w:rsid w:val="1B9413C8"/>
    <w:rsid w:val="1BAB1282"/>
    <w:rsid w:val="1BD6553D"/>
    <w:rsid w:val="1BDB4749"/>
    <w:rsid w:val="1BE42984"/>
    <w:rsid w:val="1BEE6D2B"/>
    <w:rsid w:val="1C033E58"/>
    <w:rsid w:val="1C0F0A4F"/>
    <w:rsid w:val="1C16284B"/>
    <w:rsid w:val="1C1C3178"/>
    <w:rsid w:val="1C5E0A39"/>
    <w:rsid w:val="1C705992"/>
    <w:rsid w:val="1C8431EB"/>
    <w:rsid w:val="1CB33AD0"/>
    <w:rsid w:val="1CDD28FB"/>
    <w:rsid w:val="1CDF0421"/>
    <w:rsid w:val="1CE1063D"/>
    <w:rsid w:val="1CE974F2"/>
    <w:rsid w:val="1D1C78C7"/>
    <w:rsid w:val="1D3C1D18"/>
    <w:rsid w:val="1D464944"/>
    <w:rsid w:val="1D4B5AB7"/>
    <w:rsid w:val="1D9C6312"/>
    <w:rsid w:val="1DD67903"/>
    <w:rsid w:val="1DD761AF"/>
    <w:rsid w:val="1E2A1B70"/>
    <w:rsid w:val="1E303C6E"/>
    <w:rsid w:val="1E3649B9"/>
    <w:rsid w:val="1E4F5A7B"/>
    <w:rsid w:val="1E550D90"/>
    <w:rsid w:val="1E6257AE"/>
    <w:rsid w:val="1E934925"/>
    <w:rsid w:val="1EAD3B95"/>
    <w:rsid w:val="1EB33F5D"/>
    <w:rsid w:val="1EB60CEE"/>
    <w:rsid w:val="1EB853CE"/>
    <w:rsid w:val="1EBB6C6C"/>
    <w:rsid w:val="1EBD4792"/>
    <w:rsid w:val="1EDF295B"/>
    <w:rsid w:val="1F10520A"/>
    <w:rsid w:val="1F2D7B6A"/>
    <w:rsid w:val="1F38650F"/>
    <w:rsid w:val="1F4629DA"/>
    <w:rsid w:val="1F5B1F97"/>
    <w:rsid w:val="1F6043F4"/>
    <w:rsid w:val="1F6B41EE"/>
    <w:rsid w:val="1F80513E"/>
    <w:rsid w:val="1FA7568D"/>
    <w:rsid w:val="1FCA456F"/>
    <w:rsid w:val="1FCF4810"/>
    <w:rsid w:val="1FE12702"/>
    <w:rsid w:val="20084133"/>
    <w:rsid w:val="201C2ED4"/>
    <w:rsid w:val="203C3F13"/>
    <w:rsid w:val="203C6565"/>
    <w:rsid w:val="20621A95"/>
    <w:rsid w:val="207D067D"/>
    <w:rsid w:val="208512E0"/>
    <w:rsid w:val="20B9542D"/>
    <w:rsid w:val="20D858B3"/>
    <w:rsid w:val="20DF4EBD"/>
    <w:rsid w:val="20E47E40"/>
    <w:rsid w:val="21004E0A"/>
    <w:rsid w:val="211F239D"/>
    <w:rsid w:val="21577120"/>
    <w:rsid w:val="21715943"/>
    <w:rsid w:val="217750CC"/>
    <w:rsid w:val="217A4849"/>
    <w:rsid w:val="21874276"/>
    <w:rsid w:val="218A13C1"/>
    <w:rsid w:val="21A02DB6"/>
    <w:rsid w:val="21AA2676"/>
    <w:rsid w:val="21B06830"/>
    <w:rsid w:val="21F030D1"/>
    <w:rsid w:val="21F7620D"/>
    <w:rsid w:val="21F93D33"/>
    <w:rsid w:val="221943D6"/>
    <w:rsid w:val="22280ABD"/>
    <w:rsid w:val="223034CD"/>
    <w:rsid w:val="223D43F2"/>
    <w:rsid w:val="22432E10"/>
    <w:rsid w:val="22484CBB"/>
    <w:rsid w:val="22745AB0"/>
    <w:rsid w:val="228026A7"/>
    <w:rsid w:val="22804328"/>
    <w:rsid w:val="22821F7B"/>
    <w:rsid w:val="22851A6B"/>
    <w:rsid w:val="228D1E28"/>
    <w:rsid w:val="22995516"/>
    <w:rsid w:val="22BD1205"/>
    <w:rsid w:val="22C0640C"/>
    <w:rsid w:val="22CE51C0"/>
    <w:rsid w:val="22E5075C"/>
    <w:rsid w:val="22F015DA"/>
    <w:rsid w:val="22FA4207"/>
    <w:rsid w:val="23056708"/>
    <w:rsid w:val="23111551"/>
    <w:rsid w:val="23312AC9"/>
    <w:rsid w:val="23661A03"/>
    <w:rsid w:val="23734083"/>
    <w:rsid w:val="23757D31"/>
    <w:rsid w:val="237A41C3"/>
    <w:rsid w:val="237C10C0"/>
    <w:rsid w:val="237C1CB0"/>
    <w:rsid w:val="23841D23"/>
    <w:rsid w:val="23C97BAE"/>
    <w:rsid w:val="23DD1433"/>
    <w:rsid w:val="23E32EED"/>
    <w:rsid w:val="2400407B"/>
    <w:rsid w:val="241035B6"/>
    <w:rsid w:val="246A716A"/>
    <w:rsid w:val="246F71A4"/>
    <w:rsid w:val="24883A94"/>
    <w:rsid w:val="248E2A06"/>
    <w:rsid w:val="24D26ABE"/>
    <w:rsid w:val="24E27B2B"/>
    <w:rsid w:val="24F37160"/>
    <w:rsid w:val="25096983"/>
    <w:rsid w:val="25113A8A"/>
    <w:rsid w:val="251A0B90"/>
    <w:rsid w:val="253634F0"/>
    <w:rsid w:val="254E709E"/>
    <w:rsid w:val="255100E4"/>
    <w:rsid w:val="258B2073"/>
    <w:rsid w:val="258B7398"/>
    <w:rsid w:val="25E1520A"/>
    <w:rsid w:val="25F413E1"/>
    <w:rsid w:val="260158AC"/>
    <w:rsid w:val="26105AEF"/>
    <w:rsid w:val="26263A75"/>
    <w:rsid w:val="262B46D7"/>
    <w:rsid w:val="2634591B"/>
    <w:rsid w:val="26354676"/>
    <w:rsid w:val="265D33FA"/>
    <w:rsid w:val="266F0A68"/>
    <w:rsid w:val="2674607E"/>
    <w:rsid w:val="267C13D7"/>
    <w:rsid w:val="267F463D"/>
    <w:rsid w:val="268564DD"/>
    <w:rsid w:val="268C02CD"/>
    <w:rsid w:val="269C65BC"/>
    <w:rsid w:val="26A5092E"/>
    <w:rsid w:val="26A71DD2"/>
    <w:rsid w:val="26B26BA7"/>
    <w:rsid w:val="26C37006"/>
    <w:rsid w:val="26D21177"/>
    <w:rsid w:val="26E2748C"/>
    <w:rsid w:val="26E66850"/>
    <w:rsid w:val="26EC030B"/>
    <w:rsid w:val="26F85C43"/>
    <w:rsid w:val="27040E85"/>
    <w:rsid w:val="27070CA1"/>
    <w:rsid w:val="27391076"/>
    <w:rsid w:val="2751016E"/>
    <w:rsid w:val="27673E35"/>
    <w:rsid w:val="27756415"/>
    <w:rsid w:val="27871DE1"/>
    <w:rsid w:val="278F1783"/>
    <w:rsid w:val="279369D8"/>
    <w:rsid w:val="279B2689"/>
    <w:rsid w:val="27B11350"/>
    <w:rsid w:val="27D05536"/>
    <w:rsid w:val="27D17500"/>
    <w:rsid w:val="27DF39CB"/>
    <w:rsid w:val="27E17743"/>
    <w:rsid w:val="27EB6814"/>
    <w:rsid w:val="27F51441"/>
    <w:rsid w:val="281E2746"/>
    <w:rsid w:val="28237D5C"/>
    <w:rsid w:val="283755B5"/>
    <w:rsid w:val="284F6DA3"/>
    <w:rsid w:val="28537F15"/>
    <w:rsid w:val="285A12A4"/>
    <w:rsid w:val="286452FA"/>
    <w:rsid w:val="2870314D"/>
    <w:rsid w:val="28844BDA"/>
    <w:rsid w:val="288D699E"/>
    <w:rsid w:val="28956780"/>
    <w:rsid w:val="28A45311"/>
    <w:rsid w:val="28B52CC0"/>
    <w:rsid w:val="291160AF"/>
    <w:rsid w:val="29192F0D"/>
    <w:rsid w:val="29290B96"/>
    <w:rsid w:val="29424212"/>
    <w:rsid w:val="294855A0"/>
    <w:rsid w:val="294F2DD3"/>
    <w:rsid w:val="295D104C"/>
    <w:rsid w:val="297665B1"/>
    <w:rsid w:val="29791BFE"/>
    <w:rsid w:val="297A3FA6"/>
    <w:rsid w:val="29893309"/>
    <w:rsid w:val="29946A38"/>
    <w:rsid w:val="29A268B5"/>
    <w:rsid w:val="29BF3AB4"/>
    <w:rsid w:val="29C959E4"/>
    <w:rsid w:val="29CE74E7"/>
    <w:rsid w:val="29D64532"/>
    <w:rsid w:val="29D66E54"/>
    <w:rsid w:val="29D90298"/>
    <w:rsid w:val="29F3375E"/>
    <w:rsid w:val="2A1D07DB"/>
    <w:rsid w:val="2A3B6C95"/>
    <w:rsid w:val="2A3D2C2B"/>
    <w:rsid w:val="2A830F86"/>
    <w:rsid w:val="2A8E6137"/>
    <w:rsid w:val="2A922278"/>
    <w:rsid w:val="2AA64C74"/>
    <w:rsid w:val="2AE337D3"/>
    <w:rsid w:val="2AF07C9E"/>
    <w:rsid w:val="2B397896"/>
    <w:rsid w:val="2B406E77"/>
    <w:rsid w:val="2B58303C"/>
    <w:rsid w:val="2B5F386C"/>
    <w:rsid w:val="2B6C1A1A"/>
    <w:rsid w:val="2B6C7C6C"/>
    <w:rsid w:val="2B917617"/>
    <w:rsid w:val="2B950CCA"/>
    <w:rsid w:val="2B97468F"/>
    <w:rsid w:val="2BA20995"/>
    <w:rsid w:val="2BE912BD"/>
    <w:rsid w:val="2C02412C"/>
    <w:rsid w:val="2C155C0E"/>
    <w:rsid w:val="2C267E1B"/>
    <w:rsid w:val="2C3B13EC"/>
    <w:rsid w:val="2C583D4C"/>
    <w:rsid w:val="2C5B55EB"/>
    <w:rsid w:val="2C73640A"/>
    <w:rsid w:val="2C8D7E9A"/>
    <w:rsid w:val="2CD94E8D"/>
    <w:rsid w:val="2CE34819"/>
    <w:rsid w:val="2CE76283"/>
    <w:rsid w:val="2CFC5020"/>
    <w:rsid w:val="2D085772"/>
    <w:rsid w:val="2D105F7D"/>
    <w:rsid w:val="2D542766"/>
    <w:rsid w:val="2D542A06"/>
    <w:rsid w:val="2D736C6D"/>
    <w:rsid w:val="2DA60AE7"/>
    <w:rsid w:val="2DBD4F22"/>
    <w:rsid w:val="2DD54982"/>
    <w:rsid w:val="2DEC0BF0"/>
    <w:rsid w:val="2DFA155F"/>
    <w:rsid w:val="2DFB52D7"/>
    <w:rsid w:val="2E04418C"/>
    <w:rsid w:val="2E36630F"/>
    <w:rsid w:val="2E383E35"/>
    <w:rsid w:val="2E400F3C"/>
    <w:rsid w:val="2E440A2C"/>
    <w:rsid w:val="2E507CF4"/>
    <w:rsid w:val="2E532A1D"/>
    <w:rsid w:val="2E5A1FFE"/>
    <w:rsid w:val="2E6768C5"/>
    <w:rsid w:val="2E6A113B"/>
    <w:rsid w:val="2E7D3F3E"/>
    <w:rsid w:val="2E7E6154"/>
    <w:rsid w:val="2E9F118E"/>
    <w:rsid w:val="2EA119DB"/>
    <w:rsid w:val="2EC237E1"/>
    <w:rsid w:val="2EC8340B"/>
    <w:rsid w:val="2ED27DE6"/>
    <w:rsid w:val="2EDA6C9B"/>
    <w:rsid w:val="2EE04762"/>
    <w:rsid w:val="2EEC2E34"/>
    <w:rsid w:val="2F0957D2"/>
    <w:rsid w:val="2F11223B"/>
    <w:rsid w:val="2F1523C9"/>
    <w:rsid w:val="2F416D1A"/>
    <w:rsid w:val="2F462582"/>
    <w:rsid w:val="2F6F3FA5"/>
    <w:rsid w:val="2F7215C9"/>
    <w:rsid w:val="2FD00849"/>
    <w:rsid w:val="2FE853E7"/>
    <w:rsid w:val="2FFF10AF"/>
    <w:rsid w:val="300C37CC"/>
    <w:rsid w:val="301E2C0E"/>
    <w:rsid w:val="303B5643"/>
    <w:rsid w:val="304B42F4"/>
    <w:rsid w:val="30711881"/>
    <w:rsid w:val="30843362"/>
    <w:rsid w:val="30A93316"/>
    <w:rsid w:val="30BF3918"/>
    <w:rsid w:val="30CE6CD3"/>
    <w:rsid w:val="30DB2905"/>
    <w:rsid w:val="30EE2A56"/>
    <w:rsid w:val="30F954B4"/>
    <w:rsid w:val="30FC114A"/>
    <w:rsid w:val="3106021B"/>
    <w:rsid w:val="310D3357"/>
    <w:rsid w:val="31132938"/>
    <w:rsid w:val="311F752F"/>
    <w:rsid w:val="31434FCB"/>
    <w:rsid w:val="314F1BC2"/>
    <w:rsid w:val="31813D45"/>
    <w:rsid w:val="318D26EA"/>
    <w:rsid w:val="319A249E"/>
    <w:rsid w:val="319D0432"/>
    <w:rsid w:val="31AF2660"/>
    <w:rsid w:val="31B954E7"/>
    <w:rsid w:val="31C559E0"/>
    <w:rsid w:val="320F404A"/>
    <w:rsid w:val="321D581C"/>
    <w:rsid w:val="322D17D7"/>
    <w:rsid w:val="322D55F0"/>
    <w:rsid w:val="322F5AE9"/>
    <w:rsid w:val="32340DB8"/>
    <w:rsid w:val="32B141B6"/>
    <w:rsid w:val="32B61940"/>
    <w:rsid w:val="32ED1692"/>
    <w:rsid w:val="33010C9A"/>
    <w:rsid w:val="331533CF"/>
    <w:rsid w:val="33180DAC"/>
    <w:rsid w:val="3328091C"/>
    <w:rsid w:val="334175BF"/>
    <w:rsid w:val="334212B2"/>
    <w:rsid w:val="334B2535"/>
    <w:rsid w:val="33604201"/>
    <w:rsid w:val="338027AA"/>
    <w:rsid w:val="33813B89"/>
    <w:rsid w:val="338A5DC3"/>
    <w:rsid w:val="33B977C6"/>
    <w:rsid w:val="33BA4810"/>
    <w:rsid w:val="33C1667B"/>
    <w:rsid w:val="33FA38F3"/>
    <w:rsid w:val="341E6BA4"/>
    <w:rsid w:val="342866FA"/>
    <w:rsid w:val="34863EA0"/>
    <w:rsid w:val="34B73B25"/>
    <w:rsid w:val="34B955A4"/>
    <w:rsid w:val="34D97C7D"/>
    <w:rsid w:val="34E70363"/>
    <w:rsid w:val="34FB61C2"/>
    <w:rsid w:val="34FB7FB2"/>
    <w:rsid w:val="34FC3138"/>
    <w:rsid w:val="351E5CB3"/>
    <w:rsid w:val="351F4050"/>
    <w:rsid w:val="35243365"/>
    <w:rsid w:val="352670DE"/>
    <w:rsid w:val="352C1711"/>
    <w:rsid w:val="353A4937"/>
    <w:rsid w:val="354457B6"/>
    <w:rsid w:val="354A5584"/>
    <w:rsid w:val="358160C2"/>
    <w:rsid w:val="35973B37"/>
    <w:rsid w:val="35DE52C2"/>
    <w:rsid w:val="35E11C95"/>
    <w:rsid w:val="35E30B2B"/>
    <w:rsid w:val="360567E1"/>
    <w:rsid w:val="36070CBD"/>
    <w:rsid w:val="36274EBB"/>
    <w:rsid w:val="36280C33"/>
    <w:rsid w:val="364F61C0"/>
    <w:rsid w:val="365032E8"/>
    <w:rsid w:val="365E6403"/>
    <w:rsid w:val="36630C68"/>
    <w:rsid w:val="36716136"/>
    <w:rsid w:val="36A06BCC"/>
    <w:rsid w:val="36B6623F"/>
    <w:rsid w:val="36BD5820"/>
    <w:rsid w:val="36C97D20"/>
    <w:rsid w:val="370D6DF5"/>
    <w:rsid w:val="370E7E29"/>
    <w:rsid w:val="371D006C"/>
    <w:rsid w:val="3733163E"/>
    <w:rsid w:val="37497946"/>
    <w:rsid w:val="37533A8E"/>
    <w:rsid w:val="375566FE"/>
    <w:rsid w:val="375B525D"/>
    <w:rsid w:val="37644500"/>
    <w:rsid w:val="37647A49"/>
    <w:rsid w:val="37781747"/>
    <w:rsid w:val="37797999"/>
    <w:rsid w:val="3787198A"/>
    <w:rsid w:val="379E0DAD"/>
    <w:rsid w:val="37A12A4B"/>
    <w:rsid w:val="37B7401D"/>
    <w:rsid w:val="37CC4E69"/>
    <w:rsid w:val="38170EE7"/>
    <w:rsid w:val="381E409C"/>
    <w:rsid w:val="388A64A1"/>
    <w:rsid w:val="389D0E0E"/>
    <w:rsid w:val="38A50319"/>
    <w:rsid w:val="38C369F1"/>
    <w:rsid w:val="38F566EC"/>
    <w:rsid w:val="39072D82"/>
    <w:rsid w:val="39074284"/>
    <w:rsid w:val="39616936"/>
    <w:rsid w:val="39930ABA"/>
    <w:rsid w:val="39943C53"/>
    <w:rsid w:val="39AB5E03"/>
    <w:rsid w:val="39B50A30"/>
    <w:rsid w:val="39D864CC"/>
    <w:rsid w:val="39D92970"/>
    <w:rsid w:val="39E11A28"/>
    <w:rsid w:val="39E9692C"/>
    <w:rsid w:val="39EF5BD8"/>
    <w:rsid w:val="39F552D0"/>
    <w:rsid w:val="3A144893"/>
    <w:rsid w:val="3A233BEC"/>
    <w:rsid w:val="3A3260E4"/>
    <w:rsid w:val="3A4F678F"/>
    <w:rsid w:val="3A612966"/>
    <w:rsid w:val="3A647D60"/>
    <w:rsid w:val="3A657C25"/>
    <w:rsid w:val="3A8515BF"/>
    <w:rsid w:val="3A9B7C26"/>
    <w:rsid w:val="3AA80595"/>
    <w:rsid w:val="3AC30F2B"/>
    <w:rsid w:val="3AED36B0"/>
    <w:rsid w:val="3AED7886"/>
    <w:rsid w:val="3AEE24DA"/>
    <w:rsid w:val="3AF85796"/>
    <w:rsid w:val="3B0752BB"/>
    <w:rsid w:val="3B1D1724"/>
    <w:rsid w:val="3B520363"/>
    <w:rsid w:val="3B621599"/>
    <w:rsid w:val="3B635C7F"/>
    <w:rsid w:val="3B712735"/>
    <w:rsid w:val="3B8D4CB6"/>
    <w:rsid w:val="3B9763AB"/>
    <w:rsid w:val="3B9B5A04"/>
    <w:rsid w:val="3BA0301A"/>
    <w:rsid w:val="3BA23236"/>
    <w:rsid w:val="3BBE2F14"/>
    <w:rsid w:val="3C110554"/>
    <w:rsid w:val="3C127E7E"/>
    <w:rsid w:val="3C522566"/>
    <w:rsid w:val="3C6D114E"/>
    <w:rsid w:val="3C913FFA"/>
    <w:rsid w:val="3C9568F7"/>
    <w:rsid w:val="3CA21308"/>
    <w:rsid w:val="3CB13613"/>
    <w:rsid w:val="3CCD6091"/>
    <w:rsid w:val="3CE37662"/>
    <w:rsid w:val="3D1C383D"/>
    <w:rsid w:val="3D1C4922"/>
    <w:rsid w:val="3D346110"/>
    <w:rsid w:val="3D4218E5"/>
    <w:rsid w:val="3D840E45"/>
    <w:rsid w:val="3D8F130B"/>
    <w:rsid w:val="3DA512EA"/>
    <w:rsid w:val="3DAB4624"/>
    <w:rsid w:val="3DAB63D2"/>
    <w:rsid w:val="3DB669EF"/>
    <w:rsid w:val="3DD11BB1"/>
    <w:rsid w:val="3DE713D4"/>
    <w:rsid w:val="3DF25FC8"/>
    <w:rsid w:val="3E127363"/>
    <w:rsid w:val="3E225321"/>
    <w:rsid w:val="3E477760"/>
    <w:rsid w:val="3E495BEB"/>
    <w:rsid w:val="3E82566A"/>
    <w:rsid w:val="3E864749"/>
    <w:rsid w:val="3EE51C57"/>
    <w:rsid w:val="3EE81E18"/>
    <w:rsid w:val="3EF773F5"/>
    <w:rsid w:val="3F255D10"/>
    <w:rsid w:val="3F2F6B8F"/>
    <w:rsid w:val="3F5B7984"/>
    <w:rsid w:val="3F5D36FC"/>
    <w:rsid w:val="3F5EB2C1"/>
    <w:rsid w:val="3F632CDC"/>
    <w:rsid w:val="3F7D78FA"/>
    <w:rsid w:val="3F8F0561"/>
    <w:rsid w:val="3F9410E8"/>
    <w:rsid w:val="3FA96941"/>
    <w:rsid w:val="3FDF05B5"/>
    <w:rsid w:val="3FE1257F"/>
    <w:rsid w:val="40104C12"/>
    <w:rsid w:val="401C35B7"/>
    <w:rsid w:val="40442B0E"/>
    <w:rsid w:val="405B2574"/>
    <w:rsid w:val="4070745F"/>
    <w:rsid w:val="40AD420F"/>
    <w:rsid w:val="40B7508E"/>
    <w:rsid w:val="40E86709"/>
    <w:rsid w:val="41055DF9"/>
    <w:rsid w:val="410F6C78"/>
    <w:rsid w:val="41170808"/>
    <w:rsid w:val="41272213"/>
    <w:rsid w:val="41287D39"/>
    <w:rsid w:val="41306F18"/>
    <w:rsid w:val="41414A6D"/>
    <w:rsid w:val="414D77A0"/>
    <w:rsid w:val="41914247"/>
    <w:rsid w:val="4191768D"/>
    <w:rsid w:val="41967399"/>
    <w:rsid w:val="41990C37"/>
    <w:rsid w:val="41A27AEC"/>
    <w:rsid w:val="41B15F81"/>
    <w:rsid w:val="41C71300"/>
    <w:rsid w:val="41DE4C7E"/>
    <w:rsid w:val="41E77BF5"/>
    <w:rsid w:val="41F56C46"/>
    <w:rsid w:val="42165DE4"/>
    <w:rsid w:val="422A188F"/>
    <w:rsid w:val="42446DF5"/>
    <w:rsid w:val="424741EF"/>
    <w:rsid w:val="42691573"/>
    <w:rsid w:val="426923B8"/>
    <w:rsid w:val="428072A5"/>
    <w:rsid w:val="42975177"/>
    <w:rsid w:val="42D737C5"/>
    <w:rsid w:val="42E44134"/>
    <w:rsid w:val="42F223AD"/>
    <w:rsid w:val="432D7889"/>
    <w:rsid w:val="43394075"/>
    <w:rsid w:val="43455FF6"/>
    <w:rsid w:val="435412BA"/>
    <w:rsid w:val="435A14A9"/>
    <w:rsid w:val="437B23A2"/>
    <w:rsid w:val="437C611B"/>
    <w:rsid w:val="439128F1"/>
    <w:rsid w:val="43994F1E"/>
    <w:rsid w:val="43A86F10"/>
    <w:rsid w:val="43B43B06"/>
    <w:rsid w:val="43B6162D"/>
    <w:rsid w:val="43C0796C"/>
    <w:rsid w:val="43C755E8"/>
    <w:rsid w:val="43CF1050"/>
    <w:rsid w:val="43D61CCF"/>
    <w:rsid w:val="43D9356D"/>
    <w:rsid w:val="440B79EF"/>
    <w:rsid w:val="440C56F0"/>
    <w:rsid w:val="442567B2"/>
    <w:rsid w:val="44646F08"/>
    <w:rsid w:val="446C2633"/>
    <w:rsid w:val="44727C49"/>
    <w:rsid w:val="447B63D2"/>
    <w:rsid w:val="44C1472D"/>
    <w:rsid w:val="44D53D34"/>
    <w:rsid w:val="44DA759D"/>
    <w:rsid w:val="44E37C18"/>
    <w:rsid w:val="44FB75C1"/>
    <w:rsid w:val="450071F1"/>
    <w:rsid w:val="450D34CE"/>
    <w:rsid w:val="45240818"/>
    <w:rsid w:val="45361337"/>
    <w:rsid w:val="454A4722"/>
    <w:rsid w:val="4568104C"/>
    <w:rsid w:val="456904E4"/>
    <w:rsid w:val="456D21BF"/>
    <w:rsid w:val="4588349D"/>
    <w:rsid w:val="458D5615"/>
    <w:rsid w:val="459312A9"/>
    <w:rsid w:val="459736E0"/>
    <w:rsid w:val="459B31D0"/>
    <w:rsid w:val="459C0CF6"/>
    <w:rsid w:val="45AA6F6F"/>
    <w:rsid w:val="45B61DB8"/>
    <w:rsid w:val="45D02C29"/>
    <w:rsid w:val="45DD5AE7"/>
    <w:rsid w:val="45EA49A6"/>
    <w:rsid w:val="45ED50AE"/>
    <w:rsid w:val="46051AAF"/>
    <w:rsid w:val="465A46DA"/>
    <w:rsid w:val="466A2DB8"/>
    <w:rsid w:val="46761547"/>
    <w:rsid w:val="46A460B4"/>
    <w:rsid w:val="46AC4F69"/>
    <w:rsid w:val="46B856BC"/>
    <w:rsid w:val="46C2487A"/>
    <w:rsid w:val="46C329DE"/>
    <w:rsid w:val="46C6602A"/>
    <w:rsid w:val="46C87FF5"/>
    <w:rsid w:val="46CB1893"/>
    <w:rsid w:val="46D544C0"/>
    <w:rsid w:val="46E91D19"/>
    <w:rsid w:val="46EA4CBA"/>
    <w:rsid w:val="46EC3681"/>
    <w:rsid w:val="46EE732F"/>
    <w:rsid w:val="471F573B"/>
    <w:rsid w:val="474829B9"/>
    <w:rsid w:val="476D76EC"/>
    <w:rsid w:val="47745A86"/>
    <w:rsid w:val="477E30E1"/>
    <w:rsid w:val="47835CCA"/>
    <w:rsid w:val="47C54534"/>
    <w:rsid w:val="47CA0235"/>
    <w:rsid w:val="47CB7671"/>
    <w:rsid w:val="47D93B3C"/>
    <w:rsid w:val="47E50732"/>
    <w:rsid w:val="47EA7AF7"/>
    <w:rsid w:val="48256D81"/>
    <w:rsid w:val="488520C4"/>
    <w:rsid w:val="48873598"/>
    <w:rsid w:val="48B60321"/>
    <w:rsid w:val="48B819A3"/>
    <w:rsid w:val="48CC4C12"/>
    <w:rsid w:val="48D93B91"/>
    <w:rsid w:val="48DC18F7"/>
    <w:rsid w:val="493C6A78"/>
    <w:rsid w:val="495F010F"/>
    <w:rsid w:val="498126DD"/>
    <w:rsid w:val="49951CE4"/>
    <w:rsid w:val="499E503D"/>
    <w:rsid w:val="49A75550"/>
    <w:rsid w:val="49A95790"/>
    <w:rsid w:val="49AF724A"/>
    <w:rsid w:val="49BB2901"/>
    <w:rsid w:val="49CA5E32"/>
    <w:rsid w:val="49CB3958"/>
    <w:rsid w:val="49DC1574"/>
    <w:rsid w:val="49F27137"/>
    <w:rsid w:val="4A0B1011"/>
    <w:rsid w:val="4A2117CA"/>
    <w:rsid w:val="4A227A1C"/>
    <w:rsid w:val="4A365275"/>
    <w:rsid w:val="4A4C6847"/>
    <w:rsid w:val="4A655B5A"/>
    <w:rsid w:val="4A712751"/>
    <w:rsid w:val="4A7142E8"/>
    <w:rsid w:val="4A851D59"/>
    <w:rsid w:val="4AA743C5"/>
    <w:rsid w:val="4AC565F9"/>
    <w:rsid w:val="4AF3760A"/>
    <w:rsid w:val="4AFA62A3"/>
    <w:rsid w:val="4B1F03FF"/>
    <w:rsid w:val="4B373D26"/>
    <w:rsid w:val="4B4340EE"/>
    <w:rsid w:val="4B6232EC"/>
    <w:rsid w:val="4B7047B7"/>
    <w:rsid w:val="4B7411BA"/>
    <w:rsid w:val="4B7D0C82"/>
    <w:rsid w:val="4B887D52"/>
    <w:rsid w:val="4BD44D46"/>
    <w:rsid w:val="4BF278C2"/>
    <w:rsid w:val="4C0B2731"/>
    <w:rsid w:val="4C0F2222"/>
    <w:rsid w:val="4C1E2465"/>
    <w:rsid w:val="4C1E7B16"/>
    <w:rsid w:val="4C4243A5"/>
    <w:rsid w:val="4C4C6FD2"/>
    <w:rsid w:val="4C641AE7"/>
    <w:rsid w:val="4C79769B"/>
    <w:rsid w:val="4C9E13BC"/>
    <w:rsid w:val="4CCF375F"/>
    <w:rsid w:val="4CE203D0"/>
    <w:rsid w:val="4D0F1DAD"/>
    <w:rsid w:val="4D381304"/>
    <w:rsid w:val="4D41465D"/>
    <w:rsid w:val="4D477799"/>
    <w:rsid w:val="4D5D6FBD"/>
    <w:rsid w:val="4D6463FA"/>
    <w:rsid w:val="4D722C52"/>
    <w:rsid w:val="4D783DF7"/>
    <w:rsid w:val="4DA90454"/>
    <w:rsid w:val="4DA92202"/>
    <w:rsid w:val="4DBA4694"/>
    <w:rsid w:val="4DD30CB1"/>
    <w:rsid w:val="4DEF230B"/>
    <w:rsid w:val="4DF711BF"/>
    <w:rsid w:val="4E0F02B7"/>
    <w:rsid w:val="4E1A4EAE"/>
    <w:rsid w:val="4E1E499E"/>
    <w:rsid w:val="4E2F6BAB"/>
    <w:rsid w:val="4E3046D1"/>
    <w:rsid w:val="4E45017D"/>
    <w:rsid w:val="4E704ACE"/>
    <w:rsid w:val="4E9B5FEF"/>
    <w:rsid w:val="4EAD187E"/>
    <w:rsid w:val="4EBE1CDD"/>
    <w:rsid w:val="4ED11A10"/>
    <w:rsid w:val="4ED54321"/>
    <w:rsid w:val="4EE71234"/>
    <w:rsid w:val="4EE9142C"/>
    <w:rsid w:val="4F191EB9"/>
    <w:rsid w:val="4F3B50DC"/>
    <w:rsid w:val="4F4C72E9"/>
    <w:rsid w:val="4F560168"/>
    <w:rsid w:val="4F5D5052"/>
    <w:rsid w:val="4F716D4F"/>
    <w:rsid w:val="4F786330"/>
    <w:rsid w:val="4F8552A7"/>
    <w:rsid w:val="4F870321"/>
    <w:rsid w:val="4F876573"/>
    <w:rsid w:val="4F8B0516"/>
    <w:rsid w:val="4F9540A8"/>
    <w:rsid w:val="4FA26F09"/>
    <w:rsid w:val="4FA44AB1"/>
    <w:rsid w:val="4FAA2FE5"/>
    <w:rsid w:val="4FD93BBD"/>
    <w:rsid w:val="4FF05EC6"/>
    <w:rsid w:val="4FF37AC3"/>
    <w:rsid w:val="50111EE2"/>
    <w:rsid w:val="503D0486"/>
    <w:rsid w:val="507B4F96"/>
    <w:rsid w:val="50830AE8"/>
    <w:rsid w:val="50927102"/>
    <w:rsid w:val="50975F2F"/>
    <w:rsid w:val="509A4DD8"/>
    <w:rsid w:val="50B27626"/>
    <w:rsid w:val="50D47596"/>
    <w:rsid w:val="51073809"/>
    <w:rsid w:val="510936E3"/>
    <w:rsid w:val="51134562"/>
    <w:rsid w:val="5116195C"/>
    <w:rsid w:val="514B00F7"/>
    <w:rsid w:val="5153495F"/>
    <w:rsid w:val="515D1353"/>
    <w:rsid w:val="5181771E"/>
    <w:rsid w:val="51962A9D"/>
    <w:rsid w:val="51AA02F7"/>
    <w:rsid w:val="51BA678C"/>
    <w:rsid w:val="51C44034"/>
    <w:rsid w:val="51EB2DE9"/>
    <w:rsid w:val="51EC090F"/>
    <w:rsid w:val="51F577C4"/>
    <w:rsid w:val="52130935"/>
    <w:rsid w:val="522462FB"/>
    <w:rsid w:val="527032EE"/>
    <w:rsid w:val="52726724"/>
    <w:rsid w:val="52A01E26"/>
    <w:rsid w:val="52B21B59"/>
    <w:rsid w:val="52B7716F"/>
    <w:rsid w:val="532A7941"/>
    <w:rsid w:val="5369210C"/>
    <w:rsid w:val="536F35A6"/>
    <w:rsid w:val="53841AA0"/>
    <w:rsid w:val="538452A3"/>
    <w:rsid w:val="539179C0"/>
    <w:rsid w:val="539D45B7"/>
    <w:rsid w:val="53B51901"/>
    <w:rsid w:val="53BB618D"/>
    <w:rsid w:val="53C315B8"/>
    <w:rsid w:val="53DD2C05"/>
    <w:rsid w:val="53FA37B7"/>
    <w:rsid w:val="54104D89"/>
    <w:rsid w:val="541127AE"/>
    <w:rsid w:val="54176117"/>
    <w:rsid w:val="543B00DA"/>
    <w:rsid w:val="544D38E7"/>
    <w:rsid w:val="54516A50"/>
    <w:rsid w:val="5491547C"/>
    <w:rsid w:val="5495528E"/>
    <w:rsid w:val="549A0AF6"/>
    <w:rsid w:val="549C486F"/>
    <w:rsid w:val="54A6749B"/>
    <w:rsid w:val="54B25E40"/>
    <w:rsid w:val="54B75204"/>
    <w:rsid w:val="54D538DD"/>
    <w:rsid w:val="54DB601C"/>
    <w:rsid w:val="5503669C"/>
    <w:rsid w:val="55083CB2"/>
    <w:rsid w:val="550A17D8"/>
    <w:rsid w:val="552D3719"/>
    <w:rsid w:val="55621614"/>
    <w:rsid w:val="556472A9"/>
    <w:rsid w:val="55652EB2"/>
    <w:rsid w:val="55853555"/>
    <w:rsid w:val="55B61960"/>
    <w:rsid w:val="55C20D60"/>
    <w:rsid w:val="55CB540B"/>
    <w:rsid w:val="55CB6BA4"/>
    <w:rsid w:val="55E76A84"/>
    <w:rsid w:val="55F54236"/>
    <w:rsid w:val="55F8445C"/>
    <w:rsid w:val="55FF6E63"/>
    <w:rsid w:val="560874CC"/>
    <w:rsid w:val="560D7B5C"/>
    <w:rsid w:val="56335874"/>
    <w:rsid w:val="563F54B2"/>
    <w:rsid w:val="564156CE"/>
    <w:rsid w:val="564927D4"/>
    <w:rsid w:val="56530F5D"/>
    <w:rsid w:val="566F640D"/>
    <w:rsid w:val="567A0BDF"/>
    <w:rsid w:val="569F25BD"/>
    <w:rsid w:val="56C24012"/>
    <w:rsid w:val="56DA600B"/>
    <w:rsid w:val="56E83D9B"/>
    <w:rsid w:val="56ED7603"/>
    <w:rsid w:val="56F000EA"/>
    <w:rsid w:val="56F96B3F"/>
    <w:rsid w:val="57151371"/>
    <w:rsid w:val="572D7A00"/>
    <w:rsid w:val="57430FD1"/>
    <w:rsid w:val="574D3BFE"/>
    <w:rsid w:val="575431DF"/>
    <w:rsid w:val="57623B4D"/>
    <w:rsid w:val="57A35D95"/>
    <w:rsid w:val="57A37CC2"/>
    <w:rsid w:val="57BA6E0C"/>
    <w:rsid w:val="57C33332"/>
    <w:rsid w:val="57C517C0"/>
    <w:rsid w:val="57DD31D4"/>
    <w:rsid w:val="57DF3428"/>
    <w:rsid w:val="57EA64DD"/>
    <w:rsid w:val="57EC3417"/>
    <w:rsid w:val="5805272B"/>
    <w:rsid w:val="58426C15"/>
    <w:rsid w:val="584414A5"/>
    <w:rsid w:val="58490869"/>
    <w:rsid w:val="584C2B55"/>
    <w:rsid w:val="584D30D3"/>
    <w:rsid w:val="5853793A"/>
    <w:rsid w:val="58627B7D"/>
    <w:rsid w:val="58690F0C"/>
    <w:rsid w:val="58816255"/>
    <w:rsid w:val="58897261"/>
    <w:rsid w:val="589752E6"/>
    <w:rsid w:val="589C6BEB"/>
    <w:rsid w:val="58B8779D"/>
    <w:rsid w:val="58BB721B"/>
    <w:rsid w:val="58D52FBB"/>
    <w:rsid w:val="58DA3BB7"/>
    <w:rsid w:val="59036C6A"/>
    <w:rsid w:val="593037D7"/>
    <w:rsid w:val="595474C6"/>
    <w:rsid w:val="595E6596"/>
    <w:rsid w:val="59633BAD"/>
    <w:rsid w:val="598002BB"/>
    <w:rsid w:val="59981ED5"/>
    <w:rsid w:val="59AB1EEB"/>
    <w:rsid w:val="59BE5287"/>
    <w:rsid w:val="59D86349"/>
    <w:rsid w:val="59F14D15"/>
    <w:rsid w:val="5A011459"/>
    <w:rsid w:val="5A36306F"/>
    <w:rsid w:val="5A3F0176"/>
    <w:rsid w:val="5A407A4A"/>
    <w:rsid w:val="5A4E03B9"/>
    <w:rsid w:val="5A9B1124"/>
    <w:rsid w:val="5AA63D51"/>
    <w:rsid w:val="5AF90B79"/>
    <w:rsid w:val="5B0311A3"/>
    <w:rsid w:val="5B1224EE"/>
    <w:rsid w:val="5B3C46B5"/>
    <w:rsid w:val="5B5C08B4"/>
    <w:rsid w:val="5B667984"/>
    <w:rsid w:val="5B855579"/>
    <w:rsid w:val="5B8C5F46"/>
    <w:rsid w:val="5BA2024A"/>
    <w:rsid w:val="5BA8326C"/>
    <w:rsid w:val="5BB73D3C"/>
    <w:rsid w:val="5BBF5B13"/>
    <w:rsid w:val="5BC85F49"/>
    <w:rsid w:val="5BD62414"/>
    <w:rsid w:val="5BF141C0"/>
    <w:rsid w:val="5BFB1E7B"/>
    <w:rsid w:val="5C0D7E00"/>
    <w:rsid w:val="5C0F1DCA"/>
    <w:rsid w:val="5C1B076F"/>
    <w:rsid w:val="5C270EC2"/>
    <w:rsid w:val="5C433822"/>
    <w:rsid w:val="5C5123E2"/>
    <w:rsid w:val="5C5804DA"/>
    <w:rsid w:val="5C584438"/>
    <w:rsid w:val="5C6519EA"/>
    <w:rsid w:val="5C8E2CEF"/>
    <w:rsid w:val="5C9C18B0"/>
    <w:rsid w:val="5CEF332D"/>
    <w:rsid w:val="5D1256CE"/>
    <w:rsid w:val="5D170F36"/>
    <w:rsid w:val="5D25251B"/>
    <w:rsid w:val="5D29645E"/>
    <w:rsid w:val="5D445AA3"/>
    <w:rsid w:val="5D450961"/>
    <w:rsid w:val="5D5C2DED"/>
    <w:rsid w:val="5D5E7665"/>
    <w:rsid w:val="5D746389"/>
    <w:rsid w:val="5D8803DF"/>
    <w:rsid w:val="5DA054A5"/>
    <w:rsid w:val="5DA327CA"/>
    <w:rsid w:val="5DBE13B2"/>
    <w:rsid w:val="5DC53DE4"/>
    <w:rsid w:val="5DC80482"/>
    <w:rsid w:val="5DC82230"/>
    <w:rsid w:val="5DF04B89"/>
    <w:rsid w:val="5E19246F"/>
    <w:rsid w:val="5E1C257C"/>
    <w:rsid w:val="5E437B09"/>
    <w:rsid w:val="5E5341F0"/>
    <w:rsid w:val="5E5B30A5"/>
    <w:rsid w:val="5E6071EA"/>
    <w:rsid w:val="5E761C8C"/>
    <w:rsid w:val="5E843435"/>
    <w:rsid w:val="5EB86749"/>
    <w:rsid w:val="5EBA601D"/>
    <w:rsid w:val="5EBB3B43"/>
    <w:rsid w:val="5EBD3D5F"/>
    <w:rsid w:val="5ED4433C"/>
    <w:rsid w:val="5ED7480A"/>
    <w:rsid w:val="5EF942D1"/>
    <w:rsid w:val="5F053010"/>
    <w:rsid w:val="5F1D65AC"/>
    <w:rsid w:val="5F2150E3"/>
    <w:rsid w:val="5F517FEB"/>
    <w:rsid w:val="5F630463"/>
    <w:rsid w:val="5F6917F1"/>
    <w:rsid w:val="5F8D4A8E"/>
    <w:rsid w:val="5F8F74AA"/>
    <w:rsid w:val="5FA10F8B"/>
    <w:rsid w:val="5FBC5DC5"/>
    <w:rsid w:val="5FC86518"/>
    <w:rsid w:val="5FC907CD"/>
    <w:rsid w:val="5FCA0929"/>
    <w:rsid w:val="5FDD794C"/>
    <w:rsid w:val="600B28A8"/>
    <w:rsid w:val="602C4CF9"/>
    <w:rsid w:val="606D5311"/>
    <w:rsid w:val="606F5D6D"/>
    <w:rsid w:val="60806E07"/>
    <w:rsid w:val="60824919"/>
    <w:rsid w:val="60A2301A"/>
    <w:rsid w:val="60A87182"/>
    <w:rsid w:val="60BE649F"/>
    <w:rsid w:val="60C82547"/>
    <w:rsid w:val="60E23609"/>
    <w:rsid w:val="60EE0200"/>
    <w:rsid w:val="60F33A68"/>
    <w:rsid w:val="60FD2E3F"/>
    <w:rsid w:val="610B7004"/>
    <w:rsid w:val="61461DEA"/>
    <w:rsid w:val="614E6EF1"/>
    <w:rsid w:val="6151078F"/>
    <w:rsid w:val="61533707"/>
    <w:rsid w:val="616E7593"/>
    <w:rsid w:val="61774699"/>
    <w:rsid w:val="618648DC"/>
    <w:rsid w:val="6189617B"/>
    <w:rsid w:val="618D744E"/>
    <w:rsid w:val="61FB61B5"/>
    <w:rsid w:val="620D46B6"/>
    <w:rsid w:val="621023F8"/>
    <w:rsid w:val="621B5792"/>
    <w:rsid w:val="622A347C"/>
    <w:rsid w:val="624520A2"/>
    <w:rsid w:val="62476ECC"/>
    <w:rsid w:val="62586279"/>
    <w:rsid w:val="6260512D"/>
    <w:rsid w:val="627604AD"/>
    <w:rsid w:val="62A3326C"/>
    <w:rsid w:val="62E33669"/>
    <w:rsid w:val="62E47B0C"/>
    <w:rsid w:val="62EC6150"/>
    <w:rsid w:val="62ED4E82"/>
    <w:rsid w:val="62F92E8C"/>
    <w:rsid w:val="63065CD5"/>
    <w:rsid w:val="63352116"/>
    <w:rsid w:val="63750765"/>
    <w:rsid w:val="637A5DCF"/>
    <w:rsid w:val="639808F7"/>
    <w:rsid w:val="63A1155A"/>
    <w:rsid w:val="64043757"/>
    <w:rsid w:val="64243F39"/>
    <w:rsid w:val="642D103F"/>
    <w:rsid w:val="64432611"/>
    <w:rsid w:val="64520AA6"/>
    <w:rsid w:val="64537D84"/>
    <w:rsid w:val="64591E34"/>
    <w:rsid w:val="64656A2B"/>
    <w:rsid w:val="64722EF6"/>
    <w:rsid w:val="648A6492"/>
    <w:rsid w:val="64A31E93"/>
    <w:rsid w:val="64AC4321"/>
    <w:rsid w:val="64AD2180"/>
    <w:rsid w:val="64FD4EB5"/>
    <w:rsid w:val="6502071E"/>
    <w:rsid w:val="651D7306"/>
    <w:rsid w:val="653765C2"/>
    <w:rsid w:val="65384140"/>
    <w:rsid w:val="653A1C66"/>
    <w:rsid w:val="657E095F"/>
    <w:rsid w:val="6598163C"/>
    <w:rsid w:val="65A13A93"/>
    <w:rsid w:val="65A30CD7"/>
    <w:rsid w:val="65B405D8"/>
    <w:rsid w:val="65B40FF0"/>
    <w:rsid w:val="65E16585"/>
    <w:rsid w:val="65E676F8"/>
    <w:rsid w:val="6600182C"/>
    <w:rsid w:val="66292291"/>
    <w:rsid w:val="66326DE1"/>
    <w:rsid w:val="66612AFE"/>
    <w:rsid w:val="666F3B91"/>
    <w:rsid w:val="667C1E0A"/>
    <w:rsid w:val="669929BC"/>
    <w:rsid w:val="66A31A8D"/>
    <w:rsid w:val="66CA21E8"/>
    <w:rsid w:val="66DC6D4D"/>
    <w:rsid w:val="66F83F28"/>
    <w:rsid w:val="67091152"/>
    <w:rsid w:val="671D539B"/>
    <w:rsid w:val="676F7BC1"/>
    <w:rsid w:val="67746F85"/>
    <w:rsid w:val="6796514D"/>
    <w:rsid w:val="679B2A77"/>
    <w:rsid w:val="679D34B6"/>
    <w:rsid w:val="67B3016B"/>
    <w:rsid w:val="67C779FD"/>
    <w:rsid w:val="67DA7730"/>
    <w:rsid w:val="67F00D02"/>
    <w:rsid w:val="67F85E08"/>
    <w:rsid w:val="68294213"/>
    <w:rsid w:val="683621E5"/>
    <w:rsid w:val="683E7CBF"/>
    <w:rsid w:val="68523A33"/>
    <w:rsid w:val="685E5C6B"/>
    <w:rsid w:val="686055D3"/>
    <w:rsid w:val="6861575B"/>
    <w:rsid w:val="686426E5"/>
    <w:rsid w:val="68680898"/>
    <w:rsid w:val="686F6E01"/>
    <w:rsid w:val="6870412F"/>
    <w:rsid w:val="687938F3"/>
    <w:rsid w:val="688A2F04"/>
    <w:rsid w:val="68945B31"/>
    <w:rsid w:val="689A0C6D"/>
    <w:rsid w:val="68A613C0"/>
    <w:rsid w:val="68A85138"/>
    <w:rsid w:val="68B4267B"/>
    <w:rsid w:val="68F55EA4"/>
    <w:rsid w:val="69205616"/>
    <w:rsid w:val="69330CE2"/>
    <w:rsid w:val="693C4CFE"/>
    <w:rsid w:val="69780FAF"/>
    <w:rsid w:val="697E527C"/>
    <w:rsid w:val="698C2CAC"/>
    <w:rsid w:val="69AF24F6"/>
    <w:rsid w:val="69BD4C13"/>
    <w:rsid w:val="69E71C90"/>
    <w:rsid w:val="69F50851"/>
    <w:rsid w:val="69FF347E"/>
    <w:rsid w:val="6A026A5C"/>
    <w:rsid w:val="6A075425"/>
    <w:rsid w:val="6A266C5C"/>
    <w:rsid w:val="6A5A06B4"/>
    <w:rsid w:val="6A6652AB"/>
    <w:rsid w:val="6A892D47"/>
    <w:rsid w:val="6AC56093"/>
    <w:rsid w:val="6AD22940"/>
    <w:rsid w:val="6ADE7537"/>
    <w:rsid w:val="6AE82164"/>
    <w:rsid w:val="6B1C3BBC"/>
    <w:rsid w:val="6B266119"/>
    <w:rsid w:val="6B32518D"/>
    <w:rsid w:val="6B362ECF"/>
    <w:rsid w:val="6B5A319C"/>
    <w:rsid w:val="6B7B0CDB"/>
    <w:rsid w:val="6B7D161D"/>
    <w:rsid w:val="6B966935"/>
    <w:rsid w:val="6B9B13BC"/>
    <w:rsid w:val="6B9E393C"/>
    <w:rsid w:val="6BB8600B"/>
    <w:rsid w:val="6BD709E5"/>
    <w:rsid w:val="6C16685D"/>
    <w:rsid w:val="6C264CF2"/>
    <w:rsid w:val="6C643A6C"/>
    <w:rsid w:val="6CA65E33"/>
    <w:rsid w:val="6CAD71C1"/>
    <w:rsid w:val="6CD24E7A"/>
    <w:rsid w:val="6CD26C28"/>
    <w:rsid w:val="6CE77CBA"/>
    <w:rsid w:val="6CF43042"/>
    <w:rsid w:val="6D262AD0"/>
    <w:rsid w:val="6D2A25C0"/>
    <w:rsid w:val="6D310652"/>
    <w:rsid w:val="6D505D9E"/>
    <w:rsid w:val="6D5238C5"/>
    <w:rsid w:val="6D5C2995"/>
    <w:rsid w:val="6D635AD2"/>
    <w:rsid w:val="6D68133A"/>
    <w:rsid w:val="6D77332B"/>
    <w:rsid w:val="6D91263F"/>
    <w:rsid w:val="6DA55AEF"/>
    <w:rsid w:val="6DB47563"/>
    <w:rsid w:val="6DC347C2"/>
    <w:rsid w:val="6DC70D5C"/>
    <w:rsid w:val="6DD644F6"/>
    <w:rsid w:val="6DDE4FBC"/>
    <w:rsid w:val="6DEA5FB9"/>
    <w:rsid w:val="6E02353D"/>
    <w:rsid w:val="6E144E55"/>
    <w:rsid w:val="6E1F5F7B"/>
    <w:rsid w:val="6E21682C"/>
    <w:rsid w:val="6E313E22"/>
    <w:rsid w:val="6E407BC1"/>
    <w:rsid w:val="6E446F2A"/>
    <w:rsid w:val="6E4C0C5C"/>
    <w:rsid w:val="6E4E22DE"/>
    <w:rsid w:val="6E536D1C"/>
    <w:rsid w:val="6E580AE7"/>
    <w:rsid w:val="6E5F10BE"/>
    <w:rsid w:val="6E755ABD"/>
    <w:rsid w:val="6E7C32EF"/>
    <w:rsid w:val="6E7D7067"/>
    <w:rsid w:val="6EB760D5"/>
    <w:rsid w:val="6EB76933"/>
    <w:rsid w:val="6EBC36EB"/>
    <w:rsid w:val="6EC7259B"/>
    <w:rsid w:val="6EFA4214"/>
    <w:rsid w:val="6F06417E"/>
    <w:rsid w:val="6F081D86"/>
    <w:rsid w:val="6F0E08BD"/>
    <w:rsid w:val="6F1D78C7"/>
    <w:rsid w:val="6F1E6154"/>
    <w:rsid w:val="6F2803F2"/>
    <w:rsid w:val="6F854425"/>
    <w:rsid w:val="6F902197"/>
    <w:rsid w:val="6F912DCA"/>
    <w:rsid w:val="6FA0300D"/>
    <w:rsid w:val="6FB42615"/>
    <w:rsid w:val="6FB92049"/>
    <w:rsid w:val="6FCA008A"/>
    <w:rsid w:val="6FCA1E38"/>
    <w:rsid w:val="6FDD600F"/>
    <w:rsid w:val="6FE32EFA"/>
    <w:rsid w:val="6FFD3FBC"/>
    <w:rsid w:val="700B7507"/>
    <w:rsid w:val="701337DF"/>
    <w:rsid w:val="70383246"/>
    <w:rsid w:val="70453BB5"/>
    <w:rsid w:val="704A010F"/>
    <w:rsid w:val="704C4F43"/>
    <w:rsid w:val="704C640E"/>
    <w:rsid w:val="704F058F"/>
    <w:rsid w:val="70570ED9"/>
    <w:rsid w:val="706E6C67"/>
    <w:rsid w:val="70726596"/>
    <w:rsid w:val="70726F06"/>
    <w:rsid w:val="70A22DB5"/>
    <w:rsid w:val="70B17098"/>
    <w:rsid w:val="70BF5715"/>
    <w:rsid w:val="70CB3C89"/>
    <w:rsid w:val="70CE3BAA"/>
    <w:rsid w:val="70F3716D"/>
    <w:rsid w:val="71121CE9"/>
    <w:rsid w:val="711249AA"/>
    <w:rsid w:val="71125845"/>
    <w:rsid w:val="711F7F62"/>
    <w:rsid w:val="712F289B"/>
    <w:rsid w:val="713B7D87"/>
    <w:rsid w:val="71597917"/>
    <w:rsid w:val="71752972"/>
    <w:rsid w:val="71836742"/>
    <w:rsid w:val="71881FAB"/>
    <w:rsid w:val="71947966"/>
    <w:rsid w:val="71950224"/>
    <w:rsid w:val="71A30B93"/>
    <w:rsid w:val="71A32941"/>
    <w:rsid w:val="71B44B4E"/>
    <w:rsid w:val="71DC5E53"/>
    <w:rsid w:val="71EC4110"/>
    <w:rsid w:val="71EC42E8"/>
    <w:rsid w:val="720E0702"/>
    <w:rsid w:val="72127AC6"/>
    <w:rsid w:val="72273572"/>
    <w:rsid w:val="72541844"/>
    <w:rsid w:val="72587BCF"/>
    <w:rsid w:val="728A3B01"/>
    <w:rsid w:val="729F135A"/>
    <w:rsid w:val="72AC2779"/>
    <w:rsid w:val="72BB015E"/>
    <w:rsid w:val="72CC236B"/>
    <w:rsid w:val="72F5541E"/>
    <w:rsid w:val="73334198"/>
    <w:rsid w:val="733A72D5"/>
    <w:rsid w:val="734939BC"/>
    <w:rsid w:val="734D1DC2"/>
    <w:rsid w:val="7357566D"/>
    <w:rsid w:val="736425A4"/>
    <w:rsid w:val="73722F12"/>
    <w:rsid w:val="737F2F3A"/>
    <w:rsid w:val="7386251A"/>
    <w:rsid w:val="738D45FB"/>
    <w:rsid w:val="73A155A6"/>
    <w:rsid w:val="73A179D9"/>
    <w:rsid w:val="73A25388"/>
    <w:rsid w:val="73A25C31"/>
    <w:rsid w:val="73BB0416"/>
    <w:rsid w:val="73CB2DA5"/>
    <w:rsid w:val="73D43285"/>
    <w:rsid w:val="73DA00EC"/>
    <w:rsid w:val="73EF00BF"/>
    <w:rsid w:val="73F82FD0"/>
    <w:rsid w:val="73F90F3E"/>
    <w:rsid w:val="740735EA"/>
    <w:rsid w:val="7435737E"/>
    <w:rsid w:val="744941D9"/>
    <w:rsid w:val="74624D35"/>
    <w:rsid w:val="74746816"/>
    <w:rsid w:val="747E5633"/>
    <w:rsid w:val="74AC6FC2"/>
    <w:rsid w:val="74B80DF9"/>
    <w:rsid w:val="74BB2697"/>
    <w:rsid w:val="74E03EAC"/>
    <w:rsid w:val="74E33939"/>
    <w:rsid w:val="74E442B6"/>
    <w:rsid w:val="74F967E1"/>
    <w:rsid w:val="75021541"/>
    <w:rsid w:val="753B34D9"/>
    <w:rsid w:val="75483F2B"/>
    <w:rsid w:val="757840E4"/>
    <w:rsid w:val="75A1363B"/>
    <w:rsid w:val="75BA690B"/>
    <w:rsid w:val="75BD1FD5"/>
    <w:rsid w:val="75BE5F9B"/>
    <w:rsid w:val="75C4732A"/>
    <w:rsid w:val="75C8122B"/>
    <w:rsid w:val="75CA06F2"/>
    <w:rsid w:val="75CD61DE"/>
    <w:rsid w:val="760836BA"/>
    <w:rsid w:val="762F0C47"/>
    <w:rsid w:val="76545DB2"/>
    <w:rsid w:val="76593F16"/>
    <w:rsid w:val="7662101C"/>
    <w:rsid w:val="766C59F7"/>
    <w:rsid w:val="767616AE"/>
    <w:rsid w:val="767825EE"/>
    <w:rsid w:val="76796366"/>
    <w:rsid w:val="767C548D"/>
    <w:rsid w:val="76857BC9"/>
    <w:rsid w:val="76A809F9"/>
    <w:rsid w:val="76AD6A55"/>
    <w:rsid w:val="76B13D52"/>
    <w:rsid w:val="76F123A0"/>
    <w:rsid w:val="771816DB"/>
    <w:rsid w:val="772D695B"/>
    <w:rsid w:val="773A5AF5"/>
    <w:rsid w:val="77784870"/>
    <w:rsid w:val="77903967"/>
    <w:rsid w:val="779276DF"/>
    <w:rsid w:val="779A30DE"/>
    <w:rsid w:val="77AD4519"/>
    <w:rsid w:val="77D47CF8"/>
    <w:rsid w:val="77D54725"/>
    <w:rsid w:val="77FF7704"/>
    <w:rsid w:val="78216CB5"/>
    <w:rsid w:val="782A0C8C"/>
    <w:rsid w:val="782B18E2"/>
    <w:rsid w:val="782C1CAF"/>
    <w:rsid w:val="7831514A"/>
    <w:rsid w:val="78347B0F"/>
    <w:rsid w:val="78490BBA"/>
    <w:rsid w:val="78496E1F"/>
    <w:rsid w:val="784D1858"/>
    <w:rsid w:val="7860333A"/>
    <w:rsid w:val="78756096"/>
    <w:rsid w:val="788B412F"/>
    <w:rsid w:val="788C05D2"/>
    <w:rsid w:val="78B6564F"/>
    <w:rsid w:val="78D1021F"/>
    <w:rsid w:val="78D9133E"/>
    <w:rsid w:val="78E977D3"/>
    <w:rsid w:val="791A3E30"/>
    <w:rsid w:val="791B3704"/>
    <w:rsid w:val="793A002E"/>
    <w:rsid w:val="793B5DDC"/>
    <w:rsid w:val="79462058"/>
    <w:rsid w:val="79492020"/>
    <w:rsid w:val="794C7D62"/>
    <w:rsid w:val="79674B9C"/>
    <w:rsid w:val="79771EB0"/>
    <w:rsid w:val="79775CD1"/>
    <w:rsid w:val="7981270A"/>
    <w:rsid w:val="798530B4"/>
    <w:rsid w:val="79927E6B"/>
    <w:rsid w:val="79BD2A0E"/>
    <w:rsid w:val="79BD5EBD"/>
    <w:rsid w:val="79D97964"/>
    <w:rsid w:val="79E461EC"/>
    <w:rsid w:val="79F521A7"/>
    <w:rsid w:val="7A49604F"/>
    <w:rsid w:val="7A601D17"/>
    <w:rsid w:val="7A7255A6"/>
    <w:rsid w:val="7A8A0B42"/>
    <w:rsid w:val="7A8F37D9"/>
    <w:rsid w:val="7A924558"/>
    <w:rsid w:val="7AA8546C"/>
    <w:rsid w:val="7AAC0AB8"/>
    <w:rsid w:val="7AC34054"/>
    <w:rsid w:val="7AD31C10"/>
    <w:rsid w:val="7B007056"/>
    <w:rsid w:val="7B354F51"/>
    <w:rsid w:val="7B38234C"/>
    <w:rsid w:val="7B446F42"/>
    <w:rsid w:val="7B80170A"/>
    <w:rsid w:val="7B803CF3"/>
    <w:rsid w:val="7B825CBD"/>
    <w:rsid w:val="7B9652C4"/>
    <w:rsid w:val="7BC260B9"/>
    <w:rsid w:val="7BD057ED"/>
    <w:rsid w:val="7BE73D72"/>
    <w:rsid w:val="7BF344C5"/>
    <w:rsid w:val="7C255922"/>
    <w:rsid w:val="7C30396B"/>
    <w:rsid w:val="7C336FB7"/>
    <w:rsid w:val="7C3C1D43"/>
    <w:rsid w:val="7C613431"/>
    <w:rsid w:val="7C783964"/>
    <w:rsid w:val="7C8D66C7"/>
    <w:rsid w:val="7C944EF3"/>
    <w:rsid w:val="7CA0289E"/>
    <w:rsid w:val="7CAA54CB"/>
    <w:rsid w:val="7CB2612B"/>
    <w:rsid w:val="7CC55E61"/>
    <w:rsid w:val="7CCF4F32"/>
    <w:rsid w:val="7CD51E1C"/>
    <w:rsid w:val="7CE02C9B"/>
    <w:rsid w:val="7D133070"/>
    <w:rsid w:val="7D2B7277"/>
    <w:rsid w:val="7D2F59D0"/>
    <w:rsid w:val="7D364A02"/>
    <w:rsid w:val="7D3D633F"/>
    <w:rsid w:val="7D3E79C1"/>
    <w:rsid w:val="7D456FA2"/>
    <w:rsid w:val="7D496A92"/>
    <w:rsid w:val="7D5611AF"/>
    <w:rsid w:val="7D6531A0"/>
    <w:rsid w:val="7D6F401F"/>
    <w:rsid w:val="7D704492"/>
    <w:rsid w:val="7D84306B"/>
    <w:rsid w:val="7D9D0B8C"/>
    <w:rsid w:val="7DAF3557"/>
    <w:rsid w:val="7DCB394B"/>
    <w:rsid w:val="7DFF1847"/>
    <w:rsid w:val="7E132BFC"/>
    <w:rsid w:val="7E200015"/>
    <w:rsid w:val="7E4E1E86"/>
    <w:rsid w:val="7E5A4CCF"/>
    <w:rsid w:val="7E5B163D"/>
    <w:rsid w:val="7E5F4093"/>
    <w:rsid w:val="7E631258"/>
    <w:rsid w:val="7E77762F"/>
    <w:rsid w:val="7EAA7A04"/>
    <w:rsid w:val="7EB50157"/>
    <w:rsid w:val="7EBF4B32"/>
    <w:rsid w:val="7EC62364"/>
    <w:rsid w:val="7EDD5A09"/>
    <w:rsid w:val="7EE36A72"/>
    <w:rsid w:val="7EE9408D"/>
    <w:rsid w:val="7F01339C"/>
    <w:rsid w:val="7F0A2251"/>
    <w:rsid w:val="7F182BC0"/>
    <w:rsid w:val="7F1B7FBA"/>
    <w:rsid w:val="7F482D79"/>
    <w:rsid w:val="7F761D48"/>
    <w:rsid w:val="7FCC39AA"/>
    <w:rsid w:val="7FD332A5"/>
    <w:rsid w:val="7FE9630A"/>
    <w:rsid w:val="7FF56A5D"/>
    <w:rsid w:val="A7DA6F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val="0"/>
      <w:spacing w:after="0" w:afterLines="0"/>
      <w:jc w:val="both"/>
    </w:pPr>
    <w:rPr>
      <w:rFonts w:ascii="Times New Roman" w:hAnsi="Times New Roman" w:eastAsia="宋体" w:cs="Times New Roman"/>
      <w:kern w:val="2"/>
      <w:sz w:val="28"/>
      <w:szCs w:val="24"/>
      <w:lang w:val="en-US" w:eastAsia="zh-CN" w:bidi="ar-SA"/>
    </w:rPr>
  </w:style>
  <w:style w:type="paragraph" w:styleId="5">
    <w:name w:val="toc 3"/>
    <w:basedOn w:val="1"/>
    <w:next w:val="1"/>
    <w:qFormat/>
    <w:uiPriority w:val="0"/>
    <w:pPr>
      <w:ind w:left="840" w:leftChars="400"/>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footnote text"/>
    <w:basedOn w:val="1"/>
    <w:qFormat/>
    <w:uiPriority w:val="0"/>
    <w:pPr>
      <w:snapToGrid w:val="0"/>
      <w:jc w:val="left"/>
    </w:pPr>
    <w:rPr>
      <w:sz w:val="18"/>
    </w:rPr>
  </w:style>
  <w:style w:type="paragraph" w:styleId="11">
    <w:name w:val="toc 2"/>
    <w:basedOn w:val="1"/>
    <w:next w:val="1"/>
    <w:qFormat/>
    <w:uiPriority w:val="0"/>
    <w:pPr>
      <w:ind w:left="420" w:leftChars="200"/>
    </w:pPr>
    <w:rPr>
      <w:rFonts w:eastAsia="宋体"/>
      <w:sz w:val="30"/>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footnote reference"/>
    <w:basedOn w:val="15"/>
    <w:qFormat/>
    <w:uiPriority w:val="0"/>
    <w:rPr>
      <w:vertAlign w:val="superscript"/>
    </w:rPr>
  </w:style>
  <w:style w:type="paragraph" w:customStyle="1" w:styleId="19">
    <w:name w:val="BodyText"/>
    <w:basedOn w:val="1"/>
    <w:next w:val="20"/>
    <w:qFormat/>
    <w:uiPriority w:val="0"/>
    <w:pPr>
      <w:spacing w:after="120"/>
      <w:jc w:val="both"/>
      <w:textAlignment w:val="baseline"/>
    </w:pPr>
    <w:rPr>
      <w:rFonts w:ascii="Calibri" w:hAnsi="Calibri" w:eastAsia="宋体" w:cs="Times New Roman"/>
      <w:kern w:val="2"/>
      <w:sz w:val="30"/>
      <w:szCs w:val="24"/>
      <w:lang w:val="en-US" w:eastAsia="zh-CN" w:bidi="ar-SA"/>
    </w:rPr>
  </w:style>
  <w:style w:type="paragraph" w:customStyle="1" w:styleId="20">
    <w:name w:val="BodyText1I"/>
    <w:basedOn w:val="19"/>
    <w:next w:val="19"/>
    <w:qFormat/>
    <w:uiPriority w:val="0"/>
    <w:pPr>
      <w:spacing w:after="120"/>
      <w:ind w:firstLine="720"/>
      <w:jc w:val="both"/>
      <w:textAlignment w:val="baseline"/>
    </w:pPr>
  </w:style>
  <w:style w:type="paragraph" w:customStyle="1" w:styleId="21">
    <w:name w:val="揭阳正文"/>
    <w:basedOn w:val="1"/>
    <w:qFormat/>
    <w:uiPriority w:val="0"/>
    <w:pPr>
      <w:adjustRightInd w:val="0"/>
      <w:snapToGrid w:val="0"/>
      <w:spacing w:line="580" w:lineRule="exact"/>
      <w:ind w:firstLine="200" w:firstLineChars="200"/>
    </w:pPr>
    <w:rPr>
      <w:rFonts w:ascii="Times New Roman" w:hAnsi="Times New Roman" w:eastAsia="仿宋"/>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10719</Words>
  <Characters>10873</Characters>
  <Lines>0</Lines>
  <Paragraphs>0</Paragraphs>
  <TotalTime>1</TotalTime>
  <ScaleCrop>false</ScaleCrop>
  <LinksUpToDate>false</LinksUpToDate>
  <CharactersWithSpaces>10880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2026-01-06T09:37:00Z</dcterms:created>
  <dc:creator>蜗牛</dc:creator>
  <cp:lastModifiedBy>李秋瑾</cp:lastModifiedBy>
  <cp:lastPrinted>2026-04-27T17:06:00Z</cp:lastPrinted>
  <dcterms:modified xsi:type="dcterms:W3CDTF">2026-07-06T02:30:00Z</dcterms:modified>
  <dc:title>市场监管“十五五”规划参考资料</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2D70A61F935601D161FB2B6A95A5A928_43</vt:lpwstr>
  </property>
  <property fmtid="{D5CDD505-2E9C-101B-9397-08002B2CF9AE}" pid="4" name="KSOTemplateDocerSaveRecord">
    <vt:lpwstr>eyJoZGlkIjoiMjM0ZjAxYjgzNWU0MzA2OTAzMGI2ODZkZDc1NDViMjcifQ==</vt:lpwstr>
  </property>
</Properties>
</file>