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01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 w14:paraId="2F2FD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B1E0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《揭阳市优化涉企行政检查办法</w:t>
      </w:r>
    </w:p>
    <w:p w14:paraId="2F316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（征求意见稿）》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制定说明</w:t>
      </w:r>
    </w:p>
    <w:p w14:paraId="0EAE7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D06F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为贯彻落实党中央、国务院关于深化“放管服”改革、优化营商环境的决策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部署，进一步规范涉企行政检查行为，减轻企业负担，保护企业合法权益，打造法治化营商环境，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深化发展我市地方经济建设，由</w:t>
      </w:r>
      <w:r>
        <w:rPr>
          <w:rFonts w:hint="eastAsia" w:ascii="仿宋_GB2312" w:hAnsi="仿宋_GB2312" w:eastAsia="仿宋_GB2312" w:cs="仿宋_GB2312"/>
          <w:sz w:val="32"/>
          <w:szCs w:val="32"/>
        </w:rPr>
        <w:t>揭阳市司法局起草《揭阳市优化涉企行政检查办法（征求意见稿）》（以下简称《办法》）。现将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情况说明如下：</w:t>
      </w:r>
    </w:p>
    <w:p w14:paraId="6E8A0E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制定背景和必要性</w:t>
      </w:r>
    </w:p>
    <w:p w14:paraId="769CC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（一）贯彻落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实二十届三中全会决策及上位法和形势要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近年来，国家层</w:t>
      </w:r>
      <w:r>
        <w:rPr>
          <w:rFonts w:hint="eastAsia" w:ascii="仿宋_GB2312" w:hAnsi="仿宋_GB2312" w:eastAsia="仿宋_GB2312" w:cs="仿宋_GB2312"/>
          <w:sz w:val="32"/>
          <w:szCs w:val="32"/>
        </w:rPr>
        <w:t>面相继出台《优化营商环境条例》《广东省优化营商环境条例》等法规，明确要求规范涉企行政检查，推动检查方式创新，减少对企业正常生产经营的干扰。国务院办公厅《关于严格规范涉企行政检查的意见》以及省委、省政府部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规范揭阳市行政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涉企检查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sz w:val="32"/>
          <w:szCs w:val="32"/>
        </w:rPr>
        <w:t>“精准化、减量增效”等具体要求。揭阳市司法局牵头制定本市专门办法，是落实上位法和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中央决</w:t>
      </w:r>
      <w:r>
        <w:rPr>
          <w:rFonts w:hint="eastAsia" w:ascii="仿宋_GB2312" w:hAnsi="仿宋_GB2312" w:eastAsia="仿宋_GB2312" w:cs="仿宋_GB2312"/>
          <w:sz w:val="32"/>
          <w:szCs w:val="32"/>
        </w:rPr>
        <w:t>策精神的重要举措。</w:t>
      </w:r>
    </w:p>
    <w:p w14:paraId="16A4B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（二）破解当前涉企检查突出问题的现实需要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当前，我市涉企行政检查仍存在一些突出问题：一是检查主体和事项不够透明，部分检查缺乏法定依据；二是检查频次较高、重复检查、多头检查现象较为普遍；三是联合检查、“综合查一次”等机制落实不到位；四是检查方式相对单一，非现场监管、信用分级分类监管等手段运用不足；五是个别检查行为存在干扰企业正常经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滥用企业检察权</w:t>
      </w:r>
      <w:r>
        <w:rPr>
          <w:rFonts w:hint="eastAsia" w:ascii="仿宋_GB2312" w:hAnsi="仿宋_GB2312" w:eastAsia="仿宋_GB2312" w:cs="仿宋_GB2312"/>
          <w:sz w:val="32"/>
          <w:szCs w:val="32"/>
        </w:rPr>
        <w:t>等情形。这些问题增加了企业制度性交易成本，影响了企业获得感，亟需通过制度规范加以解决。</w:t>
      </w:r>
    </w:p>
    <w:p w14:paraId="1FA0C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是</w:t>
      </w:r>
      <w:r>
        <w:rPr>
          <w:rFonts w:hint="eastAsia" w:ascii="楷体_GB2312" w:hAnsi="楷体_GB2312" w:eastAsia="楷体_GB2312" w:cs="楷体_GB2312"/>
          <w:sz w:val="32"/>
          <w:szCs w:val="32"/>
        </w:rPr>
        <w:t>推动我市经济高质量发展的重要保障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企业是经济发展的主力军。规范涉企行政检查，既是对企业合法权益的有力保护，也是提升政府监管效能、构建亲清政商关系的有效途径。通过制度创新，推动检查从“随意化、频密化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变相检查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等乱象</w:t>
      </w:r>
      <w:r>
        <w:rPr>
          <w:rFonts w:hint="eastAsia" w:ascii="仿宋_GB2312" w:hAnsi="仿宋_GB2312" w:eastAsia="仿宋_GB2312" w:cs="仿宋_GB2312"/>
          <w:sz w:val="32"/>
          <w:szCs w:val="32"/>
        </w:rPr>
        <w:t>向“精准化、减量化”转变，有利于稳定市场预期、激发市场主体活力，为我市经济高质量发展营造更加稳定、公平、透明、可预期的法治化营商环境。</w:t>
      </w:r>
    </w:p>
    <w:p w14:paraId="645AF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《办法》的起草依据与形成过程</w:t>
      </w:r>
    </w:p>
    <w:p w14:paraId="772F3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（一）《办法》起草的主要依据</w:t>
      </w:r>
    </w:p>
    <w:p w14:paraId="65B4E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《中华人民共和国行政处罚法》</w:t>
      </w:r>
    </w:p>
    <w:p w14:paraId="2220F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《中华人民共和国行政强制法》</w:t>
      </w:r>
    </w:p>
    <w:p w14:paraId="4AF0E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《优化营商环境条例》（国务院令第722号）</w:t>
      </w:r>
    </w:p>
    <w:p w14:paraId="16EDE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《行政执法监督条例》</w:t>
      </w:r>
    </w:p>
    <w:p w14:paraId="41BA2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《广东省行政执法监督条例》</w:t>
      </w:r>
    </w:p>
    <w:p w14:paraId="1D266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《广东省优化营商环境条例》</w:t>
      </w:r>
    </w:p>
    <w:p w14:paraId="566FD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《国务院办公厅关于严格规范涉企行政检查的意见》（国办发〔2024〕54号）</w:t>
      </w:r>
    </w:p>
    <w:p w14:paraId="7E15B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8.《广东省人民政府办公厅关于严格规范涉企行政检查的实施意见》（粤府办〔2025〕15号）</w:t>
      </w:r>
    </w:p>
    <w:p w14:paraId="08315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（二）《办法》草案送审稿的形成过程</w:t>
      </w:r>
    </w:p>
    <w:p w14:paraId="0C9E7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揭阳市司法局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《办法》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起草工作，成立立法工作领导小组，将办法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列入202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年制定计划，开展了以下工作：</w:t>
      </w:r>
    </w:p>
    <w:p w14:paraId="787E3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深入调研，摸清需求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认真学习党的二十届三中全会精神，系统梳理国务院《优化营商环境条例》《广东省优化营商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《国务院办公厅关于严格规范涉企行政检查的意见》等法规政策文件，通过实地走访、座谈交流、调查研究、咨询法学专家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等方式，广泛听取各县（市、区）、各行政执法部门以及不同类型企业的意见建议，系统梳理涉企行政检查中存在的痛点、堵点问题。同时，学习借鉴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省内外相关地级市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关于规范涉企检查的立法经验和创新做法。</w:t>
      </w:r>
    </w:p>
    <w:p w14:paraId="2303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研究论证，形成草案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在充分调研基础上，依据《行政处罚法》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</w:t>
      </w:r>
      <w:r>
        <w:rPr>
          <w:rFonts w:hint="eastAsia" w:ascii="仿宋_GB2312" w:hAnsi="仿宋_GB2312" w:eastAsia="仿宋_GB2312" w:cs="仿宋_GB2312"/>
          <w:sz w:val="32"/>
          <w:szCs w:val="32"/>
        </w:rPr>
        <w:t>《优化营商环境条例》《广东省优化营商环境条例》等法律法规，结合我市实际，研究起草了《办法》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草案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。初稿形成后，组织法学专家、实务部门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代表进行论证，对检查分类、年度计划、频次上限、综合查一次、扫码入企、创新监管方式等核心制度进行反复研讨、修改完善。</w:t>
      </w:r>
    </w:p>
    <w:p w14:paraId="79A22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征求意见，不断修改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《办法》已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多次修改并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书面征求各县（市、区）人民政府、市直各行政执法部门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和企业家代表等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的意见，对反馈的意见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建议，起草组认真梳理、逐条研究，充分吸纳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合理意见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，部分未采纳意见也与相关单位进行了沟通说明。</w:t>
      </w:r>
    </w:p>
    <w:p w14:paraId="1FBA8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3F22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《办法》共七章四十三条，主要包括总则、行政检查主体资格、行政检查的实施、创新监管方式、企业权益保障、监督及法律责任、附则等内容。</w:t>
      </w:r>
    </w:p>
    <w:p w14:paraId="5AD2F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（一）明确基本原则与职责分工（第一至五条）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确立涉企行政检查遵循依法实施、严格规范、精准高效、公开透明、包容审慎的原则。明确市、县（市、区）人民政府加强领导，司法行政部门承担综合协调、指导与监督职责，各行政检查主体落实主体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6B1E9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（二）严格检查主体与人员资格（第六至九条）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规定实施涉企检查的主体须经司法行政部门审查确认并公布，禁止不具备资格的组织或议事协调机构实施检查。执法人员须持有合法有效证件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亮码检查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，检查时不得少于2人，辅助人员不得独立检查。</w:t>
      </w:r>
    </w:p>
    <w:p w14:paraId="4425F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（三）规范检查实施程序（第十至二十一条）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检查事项清单管理、年度计划制定与公示、专项检查审批备案、频次上限控制等制度。推行“综合查一次”联合检查，明确合并检查与联合检查的职责分工及频次限制。实行“扫码入企”制度，细化现场检查程序与禁止行为。建立园区联合检查机制，减少重复入企。</w:t>
      </w:r>
    </w:p>
    <w:p w14:paraId="304EC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（四）创新监管方式（第二十二至三十二条）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运用人工智能、大数据开展非现场检查、信用分级分类监管。推行执法“观察期”制度、企业“安静生产期”制度，探索“沙盒式”“触发式”监管。要求检查过程同步开展法治宣传、合规指导，实现检查结果互认。</w:t>
      </w:r>
    </w:p>
    <w:p w14:paraId="544A5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（五）强化企业权益保障（第三十三至三十八条）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明确企业拒绝违法检查的权利，设立商业秘密、企业声誉保护条款，建立经济影响评估制度。建立行政执法监督联系点制度，畅通企业诉求反映渠道。</w:t>
      </w:r>
    </w:p>
    <w:p w14:paraId="2EA8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（六）加强监督与法律责任（第三十九至四十一条）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赋予司法行政部门采取约谈、查阅案卷、制发监督文书等监督措施，对违法检查行为依法追究责任。</w:t>
      </w:r>
    </w:p>
    <w:p w14:paraId="23555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四、主要特点和需要说明的问题</w:t>
      </w:r>
    </w:p>
    <w:p w14:paraId="349DE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（一）突出精准减量，严控检查频次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《办法》明确要求各检查主体制定并公布年度频次上限，综合查一次后不再重复检查。同时通过“扫码入企”全程留痕，从制度上遏制随意检查和重复检查。</w:t>
      </w:r>
    </w:p>
    <w:p w14:paraId="3D3CD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（二）强化数字赋能，推行非现场优先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依托数字政府平台，强制要求能够通过非现场方式实现有效监管的，原则上不开展现场检查。运用信用自动评级、风险线索自动预警等技术手段，实现检查资源精准配置，减少对守法企业的不必要干扰。</w:t>
      </w:r>
    </w:p>
    <w:p w14:paraId="505DB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（三）体现包容审慎，创新柔性监管工具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针对新业态新模式企业设定执法观察期，优先采用教育提醒、行政指导等柔性方式；设立企业安静生产期，在此期间原则上不进入企业检查；探索沙盒式、触发式监管，为创新企业留足发展空间。</w:t>
      </w:r>
    </w:p>
    <w:p w14:paraId="37394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（四）构建全链条监督体系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除司法行政部门综合监督外，还建立了企业直接监督（扫码反馈、联系点制度）、社会监督（清单公示、计划公开）、内部监督（法制审核、集体讨论）等多元监督机制，确保涉企检查权在阳光下运行。</w:t>
      </w:r>
    </w:p>
    <w:p w14:paraId="590B9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（五）关于参照适用范围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《办法》将个体工商户、个人合伙、农民专业合作社等经营主体纳入参照执行范围，体现了对各类市场主体的平等保护。国家、省垂直管理部门有规定的从其规定，无规定的参照本办法执行，确保制度兼容性。</w:t>
      </w:r>
    </w:p>
    <w:p w14:paraId="3F3F4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4AC74A-7061-47D1-8190-E23A342D9B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257775E-B988-4321-9D53-2B1393B70A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43372A4-7292-4845-A8A1-E48C12D70F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572BFB4-6F15-4D10-A22A-737BA254B62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91C4FCC-B77C-41DD-AE04-94309CE1F4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A45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0CDD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D0CDD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61F2C"/>
    <w:multiLevelType w:val="singleLevel"/>
    <w:tmpl w:val="A1E61F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B2C57"/>
    <w:rsid w:val="189176A7"/>
    <w:rsid w:val="196B2C57"/>
    <w:rsid w:val="2F0957D2"/>
    <w:rsid w:val="33F94067"/>
    <w:rsid w:val="3C6D114E"/>
    <w:rsid w:val="3EC05EAD"/>
    <w:rsid w:val="49211C3E"/>
    <w:rsid w:val="62E1459A"/>
    <w:rsid w:val="6688619F"/>
    <w:rsid w:val="6A3D5D54"/>
    <w:rsid w:val="6DA63E09"/>
    <w:rsid w:val="75E3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揭阳市司法局</Company>
  <Pages>6</Pages>
  <Words>2715</Words>
  <Characters>2735</Characters>
  <Lines>0</Lines>
  <Paragraphs>0</Paragraphs>
  <TotalTime>5</TotalTime>
  <ScaleCrop>false</ScaleCrop>
  <LinksUpToDate>false</LinksUpToDate>
  <CharactersWithSpaces>2735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2026-06-04T09:32:00Z</dcterms:created>
  <dc:creator>lenovo</dc:creator>
  <cp:lastModifiedBy>炼铁成钢</cp:lastModifiedBy>
  <dcterms:modified xsi:type="dcterms:W3CDTF">2026-06-05T02:10:51Z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eyJoZGlkIjoiMmY5MDhkZTlmMDNlYjM4ODZhZTk5YzZhMWQxYmI1MGUiLCJ1c2VySWQiOiIzOTY2OTQ2MTEifQ==</vt:lpwstr>
  </property>
  <property fmtid="{D5CDD505-2E9C-101B-9397-08002B2CF9AE}" pid="4" name="ICV">
    <vt:lpwstr>CE0DEBF6415E4F3FBA4A6BFF35795F9F_12</vt:lpwstr>
  </property>
</Properties>
</file>