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0" w:firstLineChars="0"/>
        <w:rPr>
          <w:highlight w:val="none"/>
        </w:rPr>
      </w:pPr>
    </w:p>
    <w:p>
      <w:pPr>
        <w:bidi w:val="0"/>
        <w:ind w:firstLine="0" w:firstLineChars="0"/>
        <w:rPr>
          <w:highlight w:val="none"/>
        </w:rPr>
      </w:pPr>
    </w:p>
    <w:p>
      <w:pPr>
        <w:bidi w:val="0"/>
        <w:ind w:firstLine="0" w:firstLineChars="0"/>
        <w:rPr>
          <w:highlight w:val="none"/>
        </w:rPr>
      </w:pPr>
    </w:p>
    <w:p>
      <w:pPr>
        <w:keepNext w:val="0"/>
        <w:keepLines w:val="0"/>
        <w:pageBreakBefore w:val="0"/>
        <w:widowControl/>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广东省</w:t>
      </w:r>
      <w:r>
        <w:rPr>
          <w:rFonts w:hint="eastAsia" w:ascii="方正小标宋简体" w:hAnsi="方正小标宋简体" w:eastAsia="方正小标宋简体" w:cs="方正小标宋简体"/>
          <w:sz w:val="44"/>
          <w:szCs w:val="44"/>
          <w:highlight w:val="none"/>
          <w:lang w:val="en-US" w:eastAsia="zh-CN"/>
        </w:rPr>
        <w:t>工业源</w:t>
      </w:r>
      <w:r>
        <w:rPr>
          <w:rFonts w:hint="eastAsia" w:ascii="方正小标宋简体" w:hAnsi="方正小标宋简体" w:eastAsia="方正小标宋简体" w:cs="方正小标宋简体"/>
          <w:sz w:val="44"/>
          <w:szCs w:val="44"/>
          <w:highlight w:val="none"/>
        </w:rPr>
        <w:t>大气污染物治理项目</w:t>
      </w:r>
    </w:p>
    <w:p>
      <w:pPr>
        <w:keepNext w:val="0"/>
        <w:keepLines w:val="0"/>
        <w:pageBreakBefore w:val="0"/>
        <w:widowControl/>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VOCs减排量核算</w:t>
      </w:r>
      <w:r>
        <w:rPr>
          <w:rFonts w:hint="eastAsia" w:ascii="方正小标宋简体" w:hAnsi="方正小标宋简体" w:eastAsia="方正小标宋简体" w:cs="方正小标宋简体"/>
          <w:sz w:val="44"/>
          <w:szCs w:val="44"/>
          <w:highlight w:val="none"/>
          <w:lang w:val="en-US" w:eastAsia="zh-CN"/>
        </w:rPr>
        <w:t>申请材料模板</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参考</w:t>
      </w:r>
      <w:r>
        <w:rPr>
          <w:rFonts w:hint="eastAsia" w:ascii="方正小标宋简体" w:hAnsi="方正小标宋简体" w:eastAsia="方正小标宋简体" w:cs="方正小标宋简体"/>
          <w:sz w:val="44"/>
          <w:szCs w:val="44"/>
          <w:highlight w:val="none"/>
          <w:lang w:eastAsia="zh-CN"/>
        </w:rPr>
        <w:t>）</w:t>
      </w: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keepNext w:val="0"/>
        <w:keepLines w:val="0"/>
        <w:pageBreakBefore w:val="0"/>
        <w:widowControl/>
        <w:kinsoku/>
        <w:wordWrap/>
        <w:overflowPunct/>
        <w:topLinePunct w:val="0"/>
        <w:autoSpaceDE/>
        <w:autoSpaceDN/>
        <w:bidi w:val="0"/>
        <w:adjustRightInd/>
        <w:snapToGrid/>
        <w:spacing w:line="240" w:lineRule="auto"/>
        <w:ind w:left="0" w:leftChars="0" w:firstLine="158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企业名称</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rPr>
        <w:t>（盖章）</w:t>
      </w:r>
    </w:p>
    <w:p>
      <w:pPr>
        <w:keepNext w:val="0"/>
        <w:keepLines w:val="0"/>
        <w:pageBreakBefore w:val="0"/>
        <w:widowControl/>
        <w:kinsoku/>
        <w:wordWrap/>
        <w:overflowPunct/>
        <w:topLinePunct w:val="0"/>
        <w:autoSpaceDE/>
        <w:autoSpaceDN/>
        <w:bidi w:val="0"/>
        <w:adjustRightInd/>
        <w:snapToGrid/>
        <w:spacing w:line="240" w:lineRule="auto"/>
        <w:ind w:left="0" w:leftChars="0" w:firstLine="158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报告年度</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158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编制日期</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pStyle w:val="8"/>
        <w:rPr>
          <w:rFonts w:hint="eastAsia" w:ascii="Times New Roman" w:hAnsi="Times New Roman" w:cs="Times New Roman"/>
          <w:b w:val="0"/>
          <w:bCs w:val="0"/>
          <w:highlight w:val="none"/>
          <w:lang w:val="en-US" w:eastAsia="zh-CN"/>
        </w:rPr>
      </w:pPr>
    </w:p>
    <w:p>
      <w:pPr>
        <w:bidi w:val="0"/>
        <w:rPr>
          <w:rFonts w:hint="eastAsia" w:ascii="黑体" w:hAnsi="黑体" w:eastAsia="黑体" w:cs="黑体"/>
          <w:color w:val="auto"/>
          <w:highlight w:val="none"/>
        </w:rPr>
      </w:pPr>
      <w:r>
        <w:rPr>
          <w:rFonts w:hint="default" w:ascii="Times New Roman" w:hAnsi="Times New Roman" w:cs="Times New Roman"/>
          <w:b w:val="0"/>
          <w:bCs w:val="0"/>
          <w:highlight w:val="none"/>
          <w:lang w:val="en-US" w:eastAsia="zh-CN"/>
        </w:rPr>
        <w:br w:type="page"/>
      </w:r>
      <w:r>
        <w:rPr>
          <w:rFonts w:hint="eastAsia" w:ascii="黑体" w:hAnsi="黑体" w:eastAsia="黑体" w:cs="黑体"/>
          <w:color w:val="auto"/>
          <w:highlight w:val="none"/>
        </w:rPr>
        <w:t>一、企业</w:t>
      </w:r>
      <w:r>
        <w:rPr>
          <w:rFonts w:hint="eastAsia" w:ascii="黑体" w:hAnsi="黑体" w:eastAsia="黑体" w:cs="黑体"/>
          <w:color w:val="auto"/>
          <w:highlight w:val="none"/>
          <w:lang w:val="en-US" w:eastAsia="zh-CN"/>
        </w:rPr>
        <w:t>及减排核算项目</w:t>
      </w:r>
      <w:r>
        <w:rPr>
          <w:rFonts w:hint="eastAsia" w:ascii="黑体" w:hAnsi="黑体" w:eastAsia="黑体" w:cs="黑体"/>
          <w:color w:val="auto"/>
          <w:highlight w:val="none"/>
        </w:rPr>
        <w:t>基本信息</w:t>
      </w:r>
    </w:p>
    <w:p>
      <w:pPr>
        <w:bidi w:val="0"/>
        <w:ind w:firstLine="632" w:firstLineChars="200"/>
        <w:rPr>
          <w:color w:val="auto"/>
          <w:highlight w:val="none"/>
        </w:rPr>
      </w:pPr>
      <w:r>
        <w:rPr>
          <w:rFonts w:hint="eastAsia"/>
          <w:color w:val="auto"/>
          <w:highlight w:val="none"/>
        </w:rPr>
        <w:t>企业工商注册名称、经营地址、统一社会</w:t>
      </w:r>
      <w:bookmarkStart w:id="0" w:name="_GoBack"/>
      <w:bookmarkEnd w:id="0"/>
      <w:r>
        <w:rPr>
          <w:rFonts w:hint="eastAsia"/>
          <w:color w:val="auto"/>
          <w:highlight w:val="none"/>
        </w:rPr>
        <w:t>信用代码、行业名称代码（参照</w:t>
      </w:r>
      <w:r>
        <w:rPr>
          <w:rFonts w:hint="eastAsia"/>
          <w:color w:val="auto"/>
          <w:highlight w:val="none"/>
          <w:lang w:eastAsia="zh-CN"/>
        </w:rPr>
        <w:t>《国民经济行业分类》（</w:t>
      </w:r>
      <w:r>
        <w:rPr>
          <w:rFonts w:hint="eastAsia"/>
          <w:color w:val="auto"/>
          <w:highlight w:val="none"/>
        </w:rPr>
        <w:t>GB/T 4754-2017</w:t>
      </w:r>
      <w:r>
        <w:rPr>
          <w:rFonts w:hint="eastAsia"/>
          <w:color w:val="auto"/>
          <w:highlight w:val="none"/>
          <w:lang w:eastAsia="zh-CN"/>
        </w:rPr>
        <w:t>）</w:t>
      </w:r>
      <w:r>
        <w:rPr>
          <w:rFonts w:hint="eastAsia"/>
          <w:color w:val="auto"/>
          <w:highlight w:val="none"/>
        </w:rPr>
        <w:t>的行业分类及代码）、排污许可管理类型（重点管理、简化管理及登记管理）、企业经办人姓名和联系方式</w:t>
      </w:r>
      <w:r>
        <w:rPr>
          <w:rFonts w:hint="eastAsia"/>
          <w:color w:val="auto"/>
          <w:highlight w:val="none"/>
          <w:lang w:eastAsia="zh-CN"/>
        </w:rPr>
        <w:t>、</w:t>
      </w:r>
      <w:r>
        <w:rPr>
          <w:rFonts w:hint="eastAsia"/>
          <w:color w:val="auto"/>
          <w:highlight w:val="none"/>
          <w:lang w:val="en-US" w:eastAsia="zh-CN"/>
        </w:rPr>
        <w:t>减排核算项目基本情况</w:t>
      </w:r>
      <w:r>
        <w:rPr>
          <w:rFonts w:hint="eastAsia"/>
          <w:color w:val="auto"/>
          <w:highlight w:val="none"/>
        </w:rPr>
        <w:t>等。</w:t>
      </w:r>
    </w:p>
    <w:p>
      <w:pPr>
        <w:keepNext w:val="0"/>
        <w:keepLines w:val="0"/>
        <w:pageBreakBefore w:val="0"/>
        <w:widowControl w:val="0"/>
        <w:tabs>
          <w:tab w:val="left" w:pos="4140"/>
        </w:tabs>
        <w:kinsoku/>
        <w:wordWrap/>
        <w:overflowPunct/>
        <w:topLinePunct w:val="0"/>
        <w:autoSpaceDE/>
        <w:autoSpaceDN/>
        <w:bidi w:val="0"/>
        <w:adjustRightInd/>
        <w:snapToGrid/>
        <w:spacing w:line="240" w:lineRule="auto"/>
        <w:ind w:firstLine="0" w:firstLineChars="0"/>
        <w:jc w:val="center"/>
        <w:textAlignment w:val="auto"/>
        <w:rPr>
          <w:rFonts w:eastAsia="黑体" w:cs="Times New Roman"/>
          <w:color w:val="auto"/>
          <w:spacing w:val="2"/>
          <w:sz w:val="28"/>
          <w:szCs w:val="28"/>
          <w:highlight w:val="none"/>
        </w:rPr>
      </w:pPr>
      <w:r>
        <w:rPr>
          <w:rFonts w:eastAsia="黑体" w:cs="Times New Roman"/>
          <w:color w:val="auto"/>
          <w:sz w:val="28"/>
          <w:szCs w:val="28"/>
          <w:highlight w:val="none"/>
        </w:rPr>
        <w:t>表</w:t>
      </w:r>
      <w:r>
        <w:rPr>
          <w:rFonts w:hint="eastAsia" w:eastAsia="黑体" w:cs="Times New Roman"/>
          <w:color w:val="auto"/>
          <w:sz w:val="28"/>
          <w:szCs w:val="28"/>
          <w:highlight w:val="none"/>
        </w:rPr>
        <w:t>1-1</w:t>
      </w:r>
      <w:r>
        <w:rPr>
          <w:rFonts w:hint="eastAsia" w:eastAsia="黑体" w:cs="Times New Roman"/>
          <w:color w:val="auto"/>
          <w:sz w:val="28"/>
          <w:szCs w:val="28"/>
          <w:highlight w:val="none"/>
          <w:lang w:val="en-US" w:eastAsia="zh-CN"/>
        </w:rPr>
        <w:t xml:space="preserve"> </w:t>
      </w:r>
      <w:r>
        <w:rPr>
          <w:rFonts w:eastAsia="黑体" w:cs="Times New Roman"/>
          <w:color w:val="auto"/>
          <w:spacing w:val="2"/>
          <w:sz w:val="28"/>
          <w:szCs w:val="28"/>
          <w:highlight w:val="none"/>
        </w:rPr>
        <w:t>企</w:t>
      </w:r>
      <w:r>
        <w:rPr>
          <w:rFonts w:eastAsia="黑体" w:cs="Times New Roman"/>
          <w:color w:val="auto"/>
          <w:sz w:val="28"/>
          <w:szCs w:val="28"/>
          <w:highlight w:val="none"/>
        </w:rPr>
        <w:t>业</w:t>
      </w:r>
      <w:r>
        <w:rPr>
          <w:rFonts w:hint="eastAsia" w:eastAsia="黑体" w:cs="Times New Roman"/>
          <w:color w:val="auto"/>
          <w:sz w:val="28"/>
          <w:szCs w:val="28"/>
          <w:highlight w:val="none"/>
          <w:lang w:val="en-US" w:eastAsia="zh-CN"/>
        </w:rPr>
        <w:t>及减排核算项目</w:t>
      </w:r>
      <w:r>
        <w:rPr>
          <w:rFonts w:eastAsia="黑体" w:cs="Times New Roman"/>
          <w:color w:val="auto"/>
          <w:spacing w:val="2"/>
          <w:sz w:val="28"/>
          <w:szCs w:val="28"/>
          <w:highlight w:val="none"/>
        </w:rPr>
        <w:t>基本信息表</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369"/>
        <w:gridCol w:w="2086"/>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企业工商注册名称</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spacing w:line="300" w:lineRule="exact"/>
              <w:rPr>
                <w:sz w:val="21"/>
                <w:szCs w:val="21"/>
                <w:highlight w:val="none"/>
                <w:vertAlign w:val="baseline"/>
              </w:rPr>
            </w:pP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经营地址</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spacing w:line="300" w:lineRule="exact"/>
              <w:rPr>
                <w:sz w:val="21"/>
                <w:szCs w:val="21"/>
                <w:highlight w:val="none"/>
                <w:vertAlign w:val="baseline"/>
              </w:rPr>
            </w:pP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统一社会信用代码</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sz w:val="21"/>
                <w:szCs w:val="21"/>
                <w:highlight w:val="none"/>
              </w:rPr>
            </w:pPr>
            <w:r>
              <w:rPr>
                <w:rFonts w:hint="default" w:ascii="Times New Roman" w:hAnsi="Times New Roman" w:eastAsia="楷体_GB2312" w:cs="Times New Roman"/>
                <w:b/>
                <w:bCs/>
                <w:sz w:val="21"/>
                <w:szCs w:val="21"/>
                <w:highlight w:val="none"/>
              </w:rPr>
              <w:t>行业名称及</w:t>
            </w:r>
            <w:r>
              <w:rPr>
                <w:rFonts w:hint="default" w:ascii="Times New Roman" w:hAnsi="Times New Roman" w:eastAsia="楷体_GB2312" w:cs="Times New Roman"/>
                <w:b/>
                <w:bCs/>
                <w:spacing w:val="0"/>
                <w:sz w:val="21"/>
                <w:szCs w:val="21"/>
                <w:highlight w:val="none"/>
              </w:rPr>
              <w:t>代</w:t>
            </w:r>
            <w:r>
              <w:rPr>
                <w:rFonts w:hint="default" w:ascii="Times New Roman" w:hAnsi="Times New Roman" w:eastAsia="楷体_GB2312" w:cs="Times New Roman"/>
                <w:b/>
                <w:bCs/>
                <w:sz w:val="21"/>
                <w:szCs w:val="21"/>
                <w:highlight w:val="none"/>
              </w:rPr>
              <w:t>码</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（四位）</w:t>
            </w: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排污许可管理类型</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企业</w:t>
            </w:r>
            <w:r>
              <w:rPr>
                <w:rFonts w:hint="default" w:ascii="Times New Roman" w:hAnsi="Times New Roman" w:eastAsia="楷体_GB2312" w:cs="Times New Roman"/>
                <w:b/>
                <w:bCs/>
                <w:spacing w:val="0"/>
                <w:sz w:val="21"/>
                <w:szCs w:val="21"/>
                <w:highlight w:val="none"/>
              </w:rPr>
              <w:t>联</w:t>
            </w:r>
            <w:r>
              <w:rPr>
                <w:rFonts w:hint="default" w:ascii="Times New Roman" w:hAnsi="Times New Roman" w:eastAsia="楷体_GB2312" w:cs="Times New Roman"/>
                <w:b/>
                <w:bCs/>
                <w:sz w:val="21"/>
                <w:szCs w:val="21"/>
                <w:highlight w:val="none"/>
              </w:rPr>
              <w:t>系人</w:t>
            </w: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联系</w:t>
            </w:r>
            <w:r>
              <w:rPr>
                <w:rFonts w:hint="default" w:ascii="Times New Roman" w:hAnsi="Times New Roman" w:eastAsia="楷体_GB2312" w:cs="Times New Roman"/>
                <w:b/>
                <w:bCs/>
                <w:spacing w:val="0"/>
                <w:sz w:val="21"/>
                <w:szCs w:val="21"/>
                <w:highlight w:val="none"/>
              </w:rPr>
              <w:t>电</w:t>
            </w:r>
            <w:r>
              <w:rPr>
                <w:rFonts w:hint="default" w:ascii="Times New Roman" w:hAnsi="Times New Roman" w:eastAsia="楷体_GB2312" w:cs="Times New Roman"/>
                <w:b/>
                <w:bCs/>
                <w:sz w:val="21"/>
                <w:szCs w:val="21"/>
                <w:highlight w:val="none"/>
              </w:rPr>
              <w:t>话</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rPr>
              <w:t>电子</w:t>
            </w:r>
            <w:r>
              <w:rPr>
                <w:rFonts w:hint="default" w:ascii="Times New Roman" w:hAnsi="Times New Roman" w:eastAsia="楷体_GB2312" w:cs="Times New Roman"/>
                <w:b/>
                <w:bCs/>
                <w:spacing w:val="0"/>
                <w:sz w:val="21"/>
                <w:szCs w:val="21"/>
                <w:highlight w:val="none"/>
              </w:rPr>
              <w:t>邮</w:t>
            </w:r>
            <w:r>
              <w:rPr>
                <w:rFonts w:hint="default" w:ascii="Times New Roman" w:hAnsi="Times New Roman" w:eastAsia="楷体_GB2312" w:cs="Times New Roman"/>
                <w:b/>
                <w:bCs/>
                <w:sz w:val="21"/>
                <w:szCs w:val="21"/>
                <w:highlight w:val="none"/>
              </w:rPr>
              <w:t>箱</w:t>
            </w: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spacing w:val="-6"/>
                <w:sz w:val="21"/>
                <w:szCs w:val="21"/>
                <w:highlight w:val="none"/>
                <w:lang w:val="en-US" w:eastAsia="zh-CN"/>
              </w:rPr>
            </w:pPr>
            <w:r>
              <w:rPr>
                <w:rFonts w:hint="default" w:ascii="Times New Roman" w:hAnsi="Times New Roman" w:eastAsia="楷体_GB2312" w:cs="Times New Roman"/>
                <w:b/>
                <w:bCs/>
                <w:spacing w:val="-6"/>
                <w:sz w:val="21"/>
                <w:szCs w:val="21"/>
                <w:highlight w:val="none"/>
                <w:lang w:val="en-US" w:eastAsia="zh-CN"/>
              </w:rPr>
              <w:t>减排核算项目</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pacing w:val="-6"/>
                <w:sz w:val="21"/>
                <w:szCs w:val="21"/>
                <w:highlight w:val="none"/>
                <w:lang w:val="en-US" w:eastAsia="zh-CN"/>
              </w:rPr>
              <w:t>申报年度</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楷体_GB2312" w:hAnsi="楷体_GB2312" w:eastAsia="楷体_GB2312" w:cs="楷体_GB2312"/>
                <w:b/>
                <w:bCs/>
                <w:kern w:val="2"/>
                <w:sz w:val="21"/>
                <w:szCs w:val="21"/>
                <w:highlight w:val="none"/>
                <w:lang w:val="en-US" w:eastAsia="zh-CN" w:bidi="ar-SA"/>
              </w:rPr>
            </w:pPr>
            <w:r>
              <w:rPr>
                <w:rFonts w:hint="eastAsia" w:ascii="楷体_GB2312" w:hAnsi="楷体_GB2312" w:eastAsia="楷体_GB2312" w:cs="楷体_GB2312"/>
                <w:b/>
                <w:bCs/>
                <w:sz w:val="21"/>
                <w:szCs w:val="21"/>
                <w:highlight w:val="none"/>
                <w:lang w:val="en-US" w:eastAsia="zh-CN"/>
              </w:rPr>
              <w:t>减排核算项目类型（源头替代、过程控制、工程治理、结构减排、其他源头替代、过程控制、末端治理设施升级改造、结构减排项目等）</w:t>
            </w: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楷体_GB2312" w:cs="Times New Roman"/>
                <w:b/>
                <w:bCs/>
                <w:kern w:val="2"/>
                <w:sz w:val="21"/>
                <w:szCs w:val="21"/>
                <w:highlight w:val="none"/>
                <w:lang w:val="en-US" w:eastAsia="zh-CN" w:bidi="ar-SA"/>
              </w:rPr>
            </w:pPr>
            <w:r>
              <w:rPr>
                <w:rFonts w:hint="default" w:ascii="Times New Roman" w:hAnsi="Times New Roman" w:eastAsia="楷体_GB2312" w:cs="Times New Roman"/>
                <w:b/>
                <w:bCs/>
                <w:sz w:val="21"/>
                <w:szCs w:val="21"/>
                <w:highlight w:val="none"/>
                <w:lang w:val="en-US" w:eastAsia="zh-CN"/>
              </w:rPr>
              <w:t>减排核算项目所形成的VOCs减排量（吨）</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楷体_GB2312" w:hAnsi="楷体_GB2312" w:eastAsia="楷体_GB2312" w:cs="楷体_GB2312"/>
                <w:b/>
                <w:bCs/>
                <w:kern w:val="2"/>
                <w:sz w:val="21"/>
                <w:szCs w:val="21"/>
                <w:highlight w:val="none"/>
                <w:lang w:val="en-US" w:eastAsia="zh-CN" w:bidi="ar-SA"/>
              </w:rPr>
            </w:pPr>
            <w:r>
              <w:rPr>
                <w:rFonts w:hint="eastAsia" w:ascii="楷体_GB2312" w:hAnsi="楷体_GB2312" w:eastAsia="楷体_GB2312" w:cs="楷体_GB2312"/>
                <w:b/>
                <w:bCs/>
                <w:sz w:val="21"/>
                <w:szCs w:val="21"/>
                <w:highlight w:val="none"/>
              </w:rPr>
              <w:t>提交申请的过去1年内企业是否存在不良信誉记录</w:t>
            </w:r>
          </w:p>
        </w:tc>
        <w:tc>
          <w:tcPr>
            <w:tcW w:w="2445" w:type="dxa"/>
            <w:noWrap w:val="0"/>
            <w:vAlign w:val="center"/>
          </w:tcPr>
          <w:p>
            <w:pPr>
              <w:spacing w:line="300" w:lineRule="exact"/>
              <w:rPr>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楷体_GB2312" w:cs="Times New Roman"/>
                <w:b/>
                <w:bCs/>
                <w:spacing w:val="-11"/>
                <w:kern w:val="2"/>
                <w:sz w:val="21"/>
                <w:szCs w:val="21"/>
                <w:highlight w:val="none"/>
                <w:lang w:val="en-US" w:eastAsia="zh-CN" w:bidi="ar-SA"/>
              </w:rPr>
            </w:pPr>
            <w:r>
              <w:rPr>
                <w:rFonts w:hint="default" w:ascii="Times New Roman" w:hAnsi="Times New Roman" w:eastAsia="楷体_GB2312" w:cs="Times New Roman"/>
                <w:b/>
                <w:bCs/>
                <w:spacing w:val="-11"/>
                <w:sz w:val="21"/>
                <w:szCs w:val="21"/>
                <w:highlight w:val="none"/>
                <w:lang w:val="en-US" w:eastAsia="zh-CN"/>
              </w:rPr>
              <w:t>本次申报的减排核算项目是否已获得中央或省相关项目资金支持</w:t>
            </w:r>
          </w:p>
        </w:tc>
        <w:tc>
          <w:tcPr>
            <w:tcW w:w="2369" w:type="dxa"/>
            <w:noWrap w:val="0"/>
            <w:vAlign w:val="center"/>
          </w:tcPr>
          <w:p>
            <w:pPr>
              <w:spacing w:line="300" w:lineRule="exact"/>
              <w:rPr>
                <w:sz w:val="21"/>
                <w:szCs w:val="21"/>
                <w:highlight w:val="none"/>
                <w:vertAlign w:val="baseli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楷体_GB2312" w:hAnsi="楷体_GB2312" w:eastAsia="楷体_GB2312" w:cs="楷体_GB2312"/>
                <w:b/>
                <w:bCs/>
                <w:kern w:val="2"/>
                <w:sz w:val="21"/>
                <w:szCs w:val="21"/>
                <w:highlight w:val="none"/>
                <w:lang w:val="en-US" w:eastAsia="zh-CN" w:bidi="ar-SA"/>
              </w:rPr>
            </w:pPr>
            <w:r>
              <w:rPr>
                <w:rFonts w:hint="eastAsia" w:ascii="楷体_GB2312" w:hAnsi="楷体_GB2312" w:eastAsia="楷体_GB2312" w:cs="楷体_GB2312"/>
                <w:b/>
                <w:bCs/>
                <w:sz w:val="21"/>
                <w:szCs w:val="21"/>
                <w:highlight w:val="none"/>
                <w:lang w:val="en-US" w:eastAsia="zh-CN"/>
              </w:rPr>
              <w:t>本次申报的减排核算项目是否为新建、扩建“三同时”项目</w:t>
            </w:r>
          </w:p>
        </w:tc>
        <w:tc>
          <w:tcPr>
            <w:tcW w:w="2445" w:type="dxa"/>
            <w:noWrap w:val="0"/>
            <w:vAlign w:val="center"/>
          </w:tcPr>
          <w:p>
            <w:pPr>
              <w:spacing w:line="300" w:lineRule="exact"/>
              <w:rPr>
                <w:sz w:val="21"/>
                <w:szCs w:val="21"/>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before="292" w:beforeLines="50"/>
        <w:textAlignment w:val="auto"/>
        <w:rPr>
          <w:rFonts w:hint="eastAsia" w:ascii="黑体" w:hAnsi="黑体" w:eastAsia="黑体" w:cs="黑体"/>
          <w:color w:val="auto"/>
          <w:highlight w:val="none"/>
        </w:rPr>
      </w:pPr>
      <w:r>
        <w:rPr>
          <w:rFonts w:hint="eastAsia" w:ascii="黑体" w:hAnsi="黑体" w:eastAsia="黑体" w:cs="黑体"/>
          <w:color w:val="auto"/>
          <w:highlight w:val="none"/>
        </w:rPr>
        <w:t>二、企业生产信息</w:t>
      </w:r>
    </w:p>
    <w:p>
      <w:pPr>
        <w:ind w:firstLine="634"/>
        <w:rPr>
          <w:b/>
          <w:bCs/>
          <w:color w:val="auto"/>
          <w:highlight w:val="none"/>
        </w:rPr>
      </w:pPr>
      <w:r>
        <w:rPr>
          <w:b/>
          <w:bCs/>
          <w:color w:val="auto"/>
          <w:highlight w:val="none"/>
        </w:rPr>
        <w:t>2.1设计产能及实际生产情况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color w:val="auto"/>
          <w:highlight w:val="none"/>
        </w:rPr>
        <w:t>列表逐项说明</w:t>
      </w:r>
      <w:r>
        <w:rPr>
          <w:rFonts w:hint="eastAsia"/>
          <w:color w:val="auto"/>
          <w:highlight w:val="none"/>
        </w:rPr>
        <w:t>企业</w:t>
      </w:r>
      <w:r>
        <w:rPr>
          <w:rFonts w:hint="eastAsia"/>
          <w:color w:val="auto"/>
          <w:highlight w:val="none"/>
          <w:lang w:val="en-US" w:eastAsia="zh-CN"/>
        </w:rPr>
        <w:t>主要</w:t>
      </w:r>
      <w:r>
        <w:rPr>
          <w:color w:val="auto"/>
          <w:highlight w:val="none"/>
        </w:rPr>
        <w:t>产品的</w:t>
      </w:r>
      <w:r>
        <w:rPr>
          <w:rFonts w:hint="eastAsia"/>
          <w:color w:val="auto"/>
          <w:highlight w:val="none"/>
          <w:lang w:val="en-US" w:eastAsia="zh-CN"/>
        </w:rPr>
        <w:t>环评批复</w:t>
      </w:r>
      <w:r>
        <w:rPr>
          <w:rFonts w:hint="eastAsia"/>
          <w:color w:val="auto"/>
          <w:highlight w:val="none"/>
        </w:rPr>
        <w:t>年</w:t>
      </w:r>
      <w:r>
        <w:rPr>
          <w:color w:val="auto"/>
          <w:highlight w:val="none"/>
        </w:rPr>
        <w:t>设计产能</w:t>
      </w:r>
      <w:r>
        <w:rPr>
          <w:rFonts w:hint="eastAsia"/>
          <w:color w:val="auto"/>
          <w:highlight w:val="none"/>
        </w:rPr>
        <w:t>、</w:t>
      </w:r>
      <w:r>
        <w:rPr>
          <w:rFonts w:hint="eastAsia"/>
          <w:color w:val="auto"/>
          <w:highlight w:val="none"/>
          <w:lang w:val="en-US" w:eastAsia="zh-CN"/>
        </w:rPr>
        <w:t>基准期、减排期</w:t>
      </w:r>
      <w:r>
        <w:rPr>
          <w:color w:val="auto"/>
          <w:highlight w:val="none"/>
        </w:rPr>
        <w:t>的</w:t>
      </w:r>
      <w:r>
        <w:rPr>
          <w:rFonts w:hint="eastAsia"/>
          <w:color w:val="auto"/>
          <w:highlight w:val="none"/>
          <w:lang w:val="en-US" w:eastAsia="zh-CN"/>
        </w:rPr>
        <w:t>实际</w:t>
      </w:r>
      <w:r>
        <w:rPr>
          <w:color w:val="auto"/>
          <w:highlight w:val="none"/>
        </w:rPr>
        <w:t>产能等（见表2-1）。</w:t>
      </w:r>
    </w:p>
    <w:p>
      <w:pPr>
        <w:keepNext w:val="0"/>
        <w:keepLines w:val="0"/>
        <w:pageBreakBefore w:val="0"/>
        <w:widowControl w:val="0"/>
        <w:tabs>
          <w:tab w:val="left" w:pos="4140"/>
        </w:tabs>
        <w:kinsoku/>
        <w:wordWrap/>
        <w:overflowPunct/>
        <w:topLinePunct w:val="0"/>
        <w:autoSpaceDE/>
        <w:autoSpaceDN/>
        <w:bidi w:val="0"/>
        <w:adjustRightInd/>
        <w:snapToGrid/>
        <w:spacing w:line="240" w:lineRule="auto"/>
        <w:ind w:firstLine="0" w:firstLineChars="0"/>
        <w:jc w:val="center"/>
        <w:textAlignment w:val="auto"/>
        <w:rPr>
          <w:rFonts w:eastAsia="黑体" w:cs="Times New Roman"/>
          <w:color w:val="auto"/>
          <w:sz w:val="28"/>
          <w:szCs w:val="28"/>
          <w:highlight w:val="none"/>
        </w:rPr>
      </w:pPr>
      <w:r>
        <w:rPr>
          <w:rFonts w:hint="eastAsia" w:eastAsia="黑体" w:cs="Times New Roman"/>
          <w:color w:val="auto"/>
          <w:sz w:val="28"/>
          <w:szCs w:val="28"/>
          <w:highlight w:val="none"/>
        </w:rPr>
        <w:t>表2-1 项目设计产能及实际生产情况表</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19"/>
        <w:gridCol w:w="1691"/>
        <w:gridCol w:w="1600"/>
        <w:gridCol w:w="158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46"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序号</w:t>
            </w:r>
          </w:p>
        </w:tc>
        <w:tc>
          <w:tcPr>
            <w:tcW w:w="18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产品名称</w:t>
            </w:r>
          </w:p>
        </w:tc>
        <w:tc>
          <w:tcPr>
            <w:tcW w:w="1691"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年设计产能</w:t>
            </w:r>
          </w:p>
        </w:tc>
        <w:tc>
          <w:tcPr>
            <w:tcW w:w="1600"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eastAsia="楷体_GB2312" w:cs="Times New Roman"/>
                <w:b/>
                <w:bCs/>
                <w:color w:val="auto"/>
                <w:sz w:val="21"/>
                <w:szCs w:val="21"/>
                <w:highlight w:val="none"/>
                <w:lang w:val="en-US" w:eastAsia="zh-CN"/>
              </w:rPr>
              <w:t>基准期</w:t>
            </w:r>
            <w:r>
              <w:rPr>
                <w:rFonts w:hint="default" w:ascii="Times New Roman" w:hAnsi="Times New Roman" w:eastAsia="楷体_GB2312" w:cs="Times New Roman"/>
                <w:b/>
                <w:bCs/>
                <w:color w:val="auto"/>
                <w:sz w:val="21"/>
                <w:szCs w:val="21"/>
                <w:highlight w:val="none"/>
              </w:rPr>
              <w:t>产量</w:t>
            </w:r>
            <w:r>
              <w:rPr>
                <w:rFonts w:hint="default" w:eastAsia="楷体_GB2312" w:cs="Times New Roman"/>
                <w:b/>
                <w:bCs/>
                <w:color w:val="auto"/>
                <w:sz w:val="21"/>
                <w:szCs w:val="21"/>
                <w:highlight w:val="none"/>
                <w:vertAlign w:val="superscript"/>
                <w:lang w:val="en-US" w:eastAsia="zh-CN"/>
              </w:rPr>
              <w:t>1</w:t>
            </w:r>
          </w:p>
        </w:tc>
        <w:tc>
          <w:tcPr>
            <w:tcW w:w="1586"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eastAsia="楷体_GB2312" w:cs="Times New Roman"/>
                <w:b/>
                <w:bCs/>
                <w:color w:val="auto"/>
                <w:sz w:val="21"/>
                <w:szCs w:val="21"/>
                <w:highlight w:val="none"/>
                <w:lang w:val="en-US" w:eastAsia="zh-CN"/>
              </w:rPr>
              <w:t>减排期</w:t>
            </w:r>
            <w:r>
              <w:rPr>
                <w:rFonts w:hint="default" w:ascii="Times New Roman" w:hAnsi="Times New Roman" w:eastAsia="楷体_GB2312" w:cs="Times New Roman"/>
                <w:b/>
                <w:bCs/>
                <w:color w:val="auto"/>
                <w:sz w:val="21"/>
                <w:szCs w:val="21"/>
                <w:highlight w:val="none"/>
              </w:rPr>
              <w:t>产量</w:t>
            </w:r>
            <w:r>
              <w:rPr>
                <w:rFonts w:hint="default" w:eastAsia="楷体_GB2312" w:cs="Times New Roman"/>
                <w:b/>
                <w:bCs/>
                <w:color w:val="auto"/>
                <w:sz w:val="21"/>
                <w:szCs w:val="21"/>
                <w:highlight w:val="none"/>
                <w:vertAlign w:val="superscript"/>
                <w:lang w:val="en-US" w:eastAsia="zh-CN"/>
              </w:rPr>
              <w:t>1</w:t>
            </w:r>
          </w:p>
        </w:tc>
        <w:tc>
          <w:tcPr>
            <w:tcW w:w="1514" w:type="dxa"/>
            <w:noWrap w:val="0"/>
            <w:vAlign w:val="center"/>
          </w:tcPr>
          <w:p>
            <w:pPr>
              <w:keepNext w:val="0"/>
              <w:keepLines w:val="0"/>
              <w:pageBreakBefore w:val="0"/>
              <w:widowControl/>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6"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1</w:t>
            </w:r>
          </w:p>
        </w:tc>
        <w:tc>
          <w:tcPr>
            <w:tcW w:w="1819"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91"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00"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86"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14"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6"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w:t>
            </w:r>
          </w:p>
        </w:tc>
        <w:tc>
          <w:tcPr>
            <w:tcW w:w="1819"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91"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00"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86"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14"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6"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1819"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91"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600"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86" w:type="dxa"/>
            <w:noWrap w:val="0"/>
            <w:vAlign w:val="top"/>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514" w:type="dxa"/>
            <w:noWrap w:val="0"/>
            <w:vAlign w:val="center"/>
          </w:tcPr>
          <w:p>
            <w:pPr>
              <w:keepNext w:val="0"/>
              <w:keepLines w:val="0"/>
              <w:pageBreakBefore w:val="0"/>
              <w:widowControl w:val="0"/>
              <w:kinsoku/>
              <w:wordWrap/>
              <w:overflowPunct/>
              <w:topLinePunct w:val="0"/>
              <w:autoSpaceDE/>
              <w:autoSpaceDN/>
              <w:bidi w:val="0"/>
              <w:adjustRightInd w:val="0"/>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eastAsia="仿宋_GB2312"/>
          <w:b/>
          <w:bCs/>
          <w:color w:val="auto"/>
          <w:highlight w:val="none"/>
          <w:lang w:val="en-US" w:eastAsia="zh-CN"/>
        </w:rPr>
      </w:pPr>
      <w:r>
        <w:rPr>
          <w:rFonts w:hint="eastAsia" w:ascii="楷体_GB2312" w:hAnsi="楷体_GB2312" w:eastAsia="楷体_GB2312" w:cs="楷体_GB2312"/>
          <w:b w:val="0"/>
          <w:bCs w:val="0"/>
          <w:color w:val="auto"/>
          <w:sz w:val="21"/>
          <w:szCs w:val="21"/>
          <w:highlight w:val="none"/>
          <w:lang w:val="en-US" w:eastAsia="zh-CN"/>
        </w:rPr>
        <w:t>注：基准期和减排期产量按照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lang w:val="en-US" w:eastAsia="zh-CN"/>
        </w:rPr>
        <w:t>中</w:t>
      </w:r>
      <w:r>
        <w:rPr>
          <w:rFonts w:hint="eastAsia" w:ascii="楷体_GB2312" w:hAnsi="楷体_GB2312" w:eastAsia="楷体_GB2312" w:cs="楷体_GB2312"/>
          <w:color w:val="auto"/>
          <w:sz w:val="21"/>
          <w:highlight w:val="none"/>
          <w:lang w:val="en-US" w:eastAsia="zh-CN"/>
        </w:rPr>
        <w:t>“</w:t>
      </w:r>
      <w:r>
        <w:rPr>
          <w:rFonts w:hint="default" w:eastAsia="楷体_GB2312" w:cs="Times New Roman"/>
          <w:color w:val="auto"/>
          <w:sz w:val="21"/>
          <w:highlight w:val="none"/>
          <w:lang w:val="en-US" w:eastAsia="zh-CN"/>
        </w:rPr>
        <w:t>4.1.3</w:t>
      </w:r>
      <w:r>
        <w:rPr>
          <w:rFonts w:hint="eastAsia" w:ascii="楷体_GB2312" w:hAnsi="楷体_GB2312" w:eastAsia="楷体_GB2312" w:cs="楷体_GB2312"/>
          <w:color w:val="auto"/>
          <w:sz w:val="21"/>
          <w:highlight w:val="none"/>
          <w:lang w:val="en-US" w:eastAsia="zh-CN"/>
        </w:rPr>
        <w:t xml:space="preserve"> 企业排放量核算数据选取原则”相关要求确定，并在表格下方备注说明基准期和减排期年度活动水平数据的取值依据。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b/>
          <w:bCs/>
          <w:color w:val="auto"/>
          <w:highlight w:val="none"/>
        </w:rPr>
      </w:pPr>
      <w:r>
        <w:rPr>
          <w:b/>
          <w:bCs/>
          <w:color w:val="auto"/>
          <w:highlight w:val="none"/>
        </w:rPr>
        <w:t>2.2主要原辅材料使用情况</w:t>
      </w:r>
    </w:p>
    <w:p>
      <w:pPr>
        <w:bidi w:val="0"/>
        <w:ind w:firstLine="632" w:firstLineChars="200"/>
        <w:rPr>
          <w:color w:val="auto"/>
          <w:highlight w:val="none"/>
        </w:rPr>
      </w:pPr>
      <w:r>
        <w:rPr>
          <w:color w:val="auto"/>
          <w:highlight w:val="none"/>
        </w:rPr>
        <w:t>列表逐项说明企业使用的</w:t>
      </w:r>
      <w:r>
        <w:rPr>
          <w:rFonts w:hint="eastAsia"/>
          <w:color w:val="auto"/>
          <w:highlight w:val="none"/>
        </w:rPr>
        <w:t>涉VOCs</w:t>
      </w:r>
      <w:r>
        <w:rPr>
          <w:color w:val="auto"/>
          <w:highlight w:val="none"/>
        </w:rPr>
        <w:t>原辅材料名称</w:t>
      </w:r>
      <w:r>
        <w:rPr>
          <w:rFonts w:hint="eastAsia"/>
          <w:color w:val="auto"/>
          <w:highlight w:val="none"/>
        </w:rPr>
        <w:t>、环评批复</w:t>
      </w:r>
      <w:r>
        <w:rPr>
          <w:rFonts w:hint="eastAsia"/>
          <w:color w:val="auto"/>
          <w:highlight w:val="none"/>
          <w:lang w:val="en-US" w:eastAsia="zh-CN"/>
        </w:rPr>
        <w:t>产能下的</w:t>
      </w:r>
      <w:r>
        <w:rPr>
          <w:rFonts w:hint="eastAsia"/>
          <w:color w:val="auto"/>
          <w:highlight w:val="none"/>
        </w:rPr>
        <w:t>设计年使用量、</w:t>
      </w:r>
      <w:r>
        <w:rPr>
          <w:rFonts w:hint="eastAsia"/>
          <w:color w:val="auto"/>
          <w:highlight w:val="none"/>
          <w:lang w:val="en-US" w:eastAsia="zh-CN"/>
        </w:rPr>
        <w:t>基准期和减排期</w:t>
      </w:r>
      <w:r>
        <w:rPr>
          <w:rFonts w:hint="eastAsia"/>
          <w:color w:val="auto"/>
          <w:highlight w:val="none"/>
        </w:rPr>
        <w:t>的</w:t>
      </w:r>
      <w:r>
        <w:rPr>
          <w:rFonts w:hint="eastAsia"/>
          <w:color w:val="auto"/>
          <w:highlight w:val="none"/>
          <w:lang w:val="en-US" w:eastAsia="zh-CN"/>
        </w:rPr>
        <w:t>实际</w:t>
      </w:r>
      <w:r>
        <w:rPr>
          <w:rFonts w:hint="eastAsia"/>
          <w:color w:val="auto"/>
          <w:highlight w:val="none"/>
        </w:rPr>
        <w:t>使用量及</w:t>
      </w:r>
      <w:r>
        <w:rPr>
          <w:color w:val="auto"/>
          <w:highlight w:val="none"/>
        </w:rPr>
        <w:t>VOCs含量</w:t>
      </w:r>
      <w:r>
        <w:rPr>
          <w:rFonts w:hint="eastAsia"/>
          <w:color w:val="auto"/>
          <w:highlight w:val="none"/>
          <w:lang w:val="en-US" w:eastAsia="zh-CN"/>
        </w:rPr>
        <w:t>信息</w:t>
      </w:r>
      <w:r>
        <w:rPr>
          <w:color w:val="auto"/>
          <w:highlight w:val="none"/>
        </w:rPr>
        <w:t>（见表2-2）。</w:t>
      </w:r>
    </w:p>
    <w:p>
      <w:pPr>
        <w:keepNext w:val="0"/>
        <w:keepLines w:val="0"/>
        <w:pageBreakBefore w:val="0"/>
        <w:widowControl w:val="0"/>
        <w:tabs>
          <w:tab w:val="left" w:pos="4140"/>
        </w:tabs>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1"/>
          <w:szCs w:val="21"/>
          <w:highlight w:val="none"/>
        </w:rPr>
      </w:pPr>
      <w:r>
        <w:rPr>
          <w:rFonts w:hint="eastAsia" w:eastAsia="黑体" w:cs="Times New Roman"/>
          <w:color w:val="auto"/>
          <w:sz w:val="28"/>
          <w:szCs w:val="28"/>
          <w:highlight w:val="none"/>
        </w:rPr>
        <w:t>表2-2 主要涉VOCs原辅材料使用情况</w:t>
      </w:r>
    </w:p>
    <w:tbl>
      <w:tblPr>
        <w:tblStyle w:val="5"/>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135"/>
        <w:gridCol w:w="1218"/>
        <w:gridCol w:w="1236"/>
        <w:gridCol w:w="1332"/>
        <w:gridCol w:w="1079"/>
        <w:gridCol w:w="126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trPr>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position w:val="-2"/>
                <w:sz w:val="21"/>
                <w:szCs w:val="21"/>
                <w:highlight w:val="none"/>
              </w:rPr>
              <w:t>序</w:t>
            </w:r>
            <w:r>
              <w:rPr>
                <w:rFonts w:hint="default" w:ascii="Times New Roman" w:hAnsi="Times New Roman" w:eastAsia="楷体_GB2312" w:cs="Times New Roman"/>
                <w:b/>
                <w:bCs/>
                <w:color w:val="auto"/>
                <w:sz w:val="21"/>
                <w:szCs w:val="21"/>
                <w:highlight w:val="none"/>
              </w:rPr>
              <w:t>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lang w:val="en-US" w:eastAsia="zh-CN"/>
              </w:rPr>
              <w:t>涉VOCs原辅材料</w:t>
            </w:r>
            <w:r>
              <w:rPr>
                <w:rFonts w:hint="default" w:ascii="Times New Roman" w:hAnsi="Times New Roman" w:eastAsia="楷体_GB2312" w:cs="Times New Roman"/>
                <w:b/>
                <w:bCs/>
                <w:color w:val="auto"/>
                <w:sz w:val="21"/>
                <w:szCs w:val="21"/>
                <w:highlight w:val="none"/>
              </w:rPr>
              <w:t>名称</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设计年使用量（单位）</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eastAsia="楷体_GB2312" w:cs="Times New Roman"/>
                <w:b/>
                <w:bCs/>
                <w:color w:val="auto"/>
                <w:sz w:val="21"/>
                <w:szCs w:val="21"/>
                <w:highlight w:val="none"/>
                <w:lang w:val="en-US" w:eastAsia="zh-CN"/>
              </w:rPr>
              <w:t>基准期</w:t>
            </w:r>
            <w:r>
              <w:rPr>
                <w:rFonts w:hint="default" w:ascii="Times New Roman" w:hAnsi="Times New Roman" w:eastAsia="楷体_GB2312" w:cs="Times New Roman"/>
                <w:b/>
                <w:bCs/>
                <w:color w:val="auto"/>
                <w:sz w:val="21"/>
                <w:szCs w:val="21"/>
                <w:highlight w:val="none"/>
              </w:rPr>
              <w:t>使用量（单位）</w:t>
            </w:r>
            <w:r>
              <w:rPr>
                <w:rFonts w:hint="default" w:eastAsia="楷体_GB2312" w:cs="Times New Roman"/>
                <w:b/>
                <w:bCs/>
                <w:color w:val="auto"/>
                <w:sz w:val="21"/>
                <w:szCs w:val="21"/>
                <w:highlight w:val="none"/>
                <w:vertAlign w:val="superscript"/>
                <w:lang w:val="en-US" w:eastAsia="zh-CN"/>
              </w:rPr>
              <w:t>1</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eastAsia="楷体_GB2312" w:cs="Times New Roman"/>
                <w:b/>
                <w:bCs/>
                <w:color w:val="auto"/>
                <w:sz w:val="21"/>
                <w:szCs w:val="21"/>
                <w:highlight w:val="none"/>
                <w:lang w:val="en-US" w:eastAsia="zh-CN"/>
              </w:rPr>
              <w:t>减排期</w:t>
            </w:r>
            <w:r>
              <w:rPr>
                <w:rFonts w:hint="default" w:ascii="Times New Roman" w:hAnsi="Times New Roman" w:eastAsia="楷体_GB2312" w:cs="Times New Roman"/>
                <w:b/>
                <w:bCs/>
                <w:color w:val="auto"/>
                <w:sz w:val="21"/>
                <w:szCs w:val="21"/>
                <w:highlight w:val="none"/>
              </w:rPr>
              <w:t>使用量（单位）</w:t>
            </w:r>
            <w:r>
              <w:rPr>
                <w:rFonts w:hint="default" w:eastAsia="楷体_GB2312" w:cs="Times New Roman"/>
                <w:b/>
                <w:bCs/>
                <w:color w:val="auto"/>
                <w:sz w:val="21"/>
                <w:szCs w:val="21"/>
                <w:highlight w:val="none"/>
                <w:vertAlign w:val="superscript"/>
                <w:lang w:val="en-US" w:eastAsia="zh-CN"/>
              </w:rPr>
              <w:t>1</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rPr>
              <w:t>使用车间</w:t>
            </w:r>
            <w:r>
              <w:rPr>
                <w:rFonts w:hint="default" w:ascii="Times New Roman" w:hAnsi="Times New Roman" w:eastAsia="楷体_GB2312" w:cs="Times New Roman"/>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lang w:val="en-US" w:eastAsia="zh-CN"/>
              </w:rPr>
              <w:t>工序</w:t>
            </w: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position w:val="-2"/>
                <w:sz w:val="21"/>
                <w:szCs w:val="21"/>
                <w:highlight w:val="none"/>
              </w:rPr>
              <w:t>VOCs含量</w:t>
            </w:r>
            <w:r>
              <w:rPr>
                <w:rFonts w:hint="default" w:ascii="Times New Roman" w:hAnsi="Times New Roman" w:eastAsia="楷体_GB2312" w:cs="Times New Roman"/>
                <w:b/>
                <w:bCs/>
                <w:color w:val="auto"/>
                <w:position w:val="-2"/>
                <w:sz w:val="21"/>
                <w:szCs w:val="21"/>
                <w:highlight w:val="none"/>
                <w:lang w:eastAsia="zh-CN"/>
              </w:rPr>
              <w:t>（</w:t>
            </w:r>
            <w:r>
              <w:rPr>
                <w:rFonts w:hint="default" w:ascii="Times New Roman" w:hAnsi="Times New Roman" w:eastAsia="楷体_GB2312" w:cs="Times New Roman"/>
                <w:b/>
                <w:bCs/>
                <w:color w:val="auto"/>
                <w:position w:val="-2"/>
                <w:sz w:val="21"/>
                <w:szCs w:val="21"/>
                <w:highlight w:val="none"/>
                <w:lang w:val="en-US" w:eastAsia="zh-CN"/>
              </w:rPr>
              <w:t>%</w:t>
            </w:r>
            <w:r>
              <w:rPr>
                <w:rFonts w:hint="default" w:ascii="Times New Roman" w:hAnsi="Times New Roman" w:eastAsia="楷体_GB2312" w:cs="Times New Roman"/>
                <w:b/>
                <w:bCs/>
                <w:color w:val="auto"/>
                <w:position w:val="-2"/>
                <w:sz w:val="21"/>
                <w:szCs w:val="21"/>
                <w:highlight w:val="none"/>
                <w:lang w:eastAsia="zh-CN"/>
              </w:rPr>
              <w:t>）</w:t>
            </w:r>
            <w:r>
              <w:rPr>
                <w:rFonts w:hint="default" w:eastAsia="楷体_GB2312" w:cs="Times New Roman"/>
                <w:b/>
                <w:bCs/>
                <w:color w:val="auto"/>
                <w:position w:val="-2"/>
                <w:sz w:val="21"/>
                <w:szCs w:val="21"/>
                <w:highlight w:val="none"/>
                <w:vertAlign w:val="superscript"/>
                <w:lang w:val="en-US" w:eastAsia="zh-CN"/>
              </w:rPr>
              <w:t>2</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position w:val="-2"/>
                <w:sz w:val="21"/>
                <w:szCs w:val="21"/>
                <w:highlight w:val="none"/>
                <w:lang w:val="en-US" w:eastAsia="zh-CN"/>
              </w:rPr>
            </w:pPr>
            <w:r>
              <w:rPr>
                <w:rFonts w:hint="default" w:ascii="Times New Roman" w:hAnsi="Times New Roman" w:eastAsia="楷体_GB2312" w:cs="Times New Roman"/>
                <w:b/>
                <w:bCs/>
                <w:color w:val="auto"/>
                <w:position w:val="-2"/>
                <w:sz w:val="21"/>
                <w:szCs w:val="21"/>
                <w:highlight w:val="none"/>
                <w:lang w:val="en-US" w:eastAsia="zh-CN"/>
              </w:rPr>
              <w:t>VOCs含量</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b/>
                <w:bCs/>
                <w:color w:val="auto"/>
                <w:position w:val="-2"/>
                <w:sz w:val="21"/>
                <w:szCs w:val="21"/>
                <w:highlight w:val="none"/>
                <w:lang w:val="en-US" w:eastAsia="zh-CN"/>
              </w:rPr>
            </w:pPr>
            <w:r>
              <w:rPr>
                <w:rFonts w:hint="default" w:ascii="Times New Roman" w:hAnsi="Times New Roman" w:eastAsia="楷体_GB2312" w:cs="Times New Roman"/>
                <w:b/>
                <w:bCs/>
                <w:color w:val="auto"/>
                <w:position w:val="-2"/>
                <w:sz w:val="21"/>
                <w:szCs w:val="21"/>
                <w:highlight w:val="none"/>
                <w:lang w:val="en-US" w:eastAsia="zh-CN"/>
              </w:rPr>
              <w:t>取值依据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1</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楷体_GB2312" w:cs="Times New Roman"/>
                <w:color w:val="auto"/>
                <w:sz w:val="21"/>
                <w:szCs w:val="21"/>
                <w:highlight w:val="no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lang w:val="en-US" w:eastAsia="zh-CN"/>
              </w:rPr>
              <w:t>产品</w:t>
            </w:r>
            <w:r>
              <w:rPr>
                <w:rFonts w:hint="default" w:eastAsia="楷体_GB2312" w:cs="Times New Roman"/>
                <w:color w:val="auto"/>
                <w:sz w:val="21"/>
                <w:szCs w:val="21"/>
                <w:highlight w:val="none"/>
                <w:lang w:val="en-US" w:eastAsia="zh-CN"/>
              </w:rPr>
              <w:t>检测</w:t>
            </w:r>
            <w:r>
              <w:rPr>
                <w:rFonts w:hint="default" w:ascii="Times New Roman" w:hAnsi="Times New Roman" w:eastAsia="楷体_GB2312" w:cs="Times New Roman"/>
                <w:color w:val="auto"/>
                <w:sz w:val="21"/>
                <w:szCs w:val="21"/>
                <w:highlight w:val="none"/>
                <w:lang w:val="en-US" w:eastAsia="zh-CN"/>
              </w:rPr>
              <w:t>报告或MSDS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bl>
    <w:p>
      <w:pPr>
        <w:bidi w:val="0"/>
        <w:spacing w:afterLines="0" w:line="320" w:lineRule="exact"/>
        <w:ind w:left="0" w:leftChars="0" w:firstLine="0" w:firstLineChars="0"/>
        <w:rPr>
          <w:rFonts w:hint="eastAsia" w:ascii="楷体_GB2312" w:hAnsi="楷体_GB2312" w:eastAsia="楷体_GB2312" w:cs="楷体_GB2312"/>
          <w:color w:val="auto"/>
          <w:sz w:val="21"/>
          <w:highlight w:val="none"/>
          <w:lang w:val="en-US" w:eastAsia="zh-CN"/>
        </w:rPr>
      </w:pPr>
      <w:r>
        <w:rPr>
          <w:rFonts w:hint="eastAsia" w:ascii="楷体_GB2312" w:hAnsi="楷体_GB2312" w:eastAsia="楷体_GB2312" w:cs="楷体_GB2312"/>
          <w:color w:val="auto"/>
          <w:sz w:val="21"/>
          <w:szCs w:val="21"/>
          <w:highlight w:val="none"/>
          <w:lang w:val="en-US" w:eastAsia="zh-CN"/>
        </w:rPr>
        <w:t>注：</w:t>
      </w:r>
      <w:r>
        <w:rPr>
          <w:rFonts w:hint="default" w:ascii="Times New Roman" w:hAnsi="Times New Roman" w:eastAsia="楷体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w:t>
      </w:r>
      <w:r>
        <w:rPr>
          <w:rFonts w:hint="default" w:eastAsia="楷体_GB2312" w:cs="Times New Roman"/>
          <w:b w:val="0"/>
          <w:bCs w:val="0"/>
          <w:color w:val="auto"/>
          <w:sz w:val="21"/>
          <w:szCs w:val="21"/>
          <w:highlight w:val="none"/>
          <w:lang w:val="en-US" w:eastAsia="zh-CN"/>
        </w:rPr>
        <w:t>基</w:t>
      </w:r>
      <w:r>
        <w:rPr>
          <w:rFonts w:hint="eastAsia" w:ascii="楷体_GB2312" w:hAnsi="楷体_GB2312" w:eastAsia="楷体_GB2312" w:cs="楷体_GB2312"/>
          <w:b w:val="0"/>
          <w:bCs w:val="0"/>
          <w:color w:val="auto"/>
          <w:sz w:val="21"/>
          <w:szCs w:val="21"/>
          <w:highlight w:val="none"/>
          <w:lang w:val="en-US" w:eastAsia="zh-CN"/>
        </w:rPr>
        <w:t>准期和减排期使用量按照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highlight w:val="none"/>
          <w:lang w:val="en-US" w:eastAsia="zh-CN"/>
        </w:rPr>
        <w:t>中“</w:t>
      </w:r>
      <w:r>
        <w:rPr>
          <w:rFonts w:hint="default" w:eastAsia="楷体_GB2312" w:cs="Times New Roman"/>
          <w:color w:val="auto"/>
          <w:sz w:val="21"/>
          <w:highlight w:val="none"/>
          <w:lang w:val="en-US" w:eastAsia="zh-CN"/>
        </w:rPr>
        <w:t>4.1.3 企</w:t>
      </w:r>
      <w:r>
        <w:rPr>
          <w:rFonts w:hint="eastAsia" w:ascii="楷体_GB2312" w:hAnsi="楷体_GB2312" w:eastAsia="楷体_GB2312" w:cs="楷体_GB2312"/>
          <w:color w:val="auto"/>
          <w:sz w:val="21"/>
          <w:highlight w:val="none"/>
          <w:lang w:val="en-US" w:eastAsia="zh-CN"/>
        </w:rPr>
        <w:t>业排放量核算数据选取原则”相关要求确定，并在表格下方备注说明基准期和减排期年度活动水平数据的取值依据。</w:t>
      </w:r>
    </w:p>
    <w:p>
      <w:pPr>
        <w:pStyle w:val="2"/>
        <w:spacing w:after="0" w:afterLines="0" w:line="320" w:lineRule="exact"/>
        <w:rPr>
          <w:rFonts w:hint="default" w:ascii="Times New Roman" w:hAnsi="Times New Roman" w:eastAsia="宋体" w:cs="Times New Roman"/>
          <w:color w:val="auto"/>
          <w:sz w:val="21"/>
          <w:szCs w:val="22"/>
          <w:highlight w:val="none"/>
          <w:lang w:val="en-US" w:eastAsia="zh-CN"/>
        </w:rPr>
      </w:pPr>
      <w:r>
        <w:rPr>
          <w:rFonts w:hint="default" w:eastAsia="楷体_GB2312" w:cs="Times New Roman"/>
          <w:color w:val="auto"/>
          <w:sz w:val="21"/>
          <w:highlight w:val="none"/>
          <w:lang w:val="en-US" w:eastAsia="zh-CN"/>
        </w:rPr>
        <w:t>2</w:t>
      </w:r>
      <w:r>
        <w:rPr>
          <w:rFonts w:hint="eastAsia" w:ascii="仿宋_GB2312" w:hAnsi="仿宋_GB2312" w:eastAsia="仿宋_GB2312" w:cs="仿宋_GB2312"/>
          <w:color w:val="auto"/>
          <w:sz w:val="21"/>
          <w:highlight w:val="none"/>
          <w:lang w:val="en-US" w:eastAsia="zh-CN"/>
        </w:rPr>
        <w:t>．</w:t>
      </w:r>
      <w:r>
        <w:rPr>
          <w:rFonts w:hint="default" w:ascii="Times New Roman" w:hAnsi="Times New Roman" w:eastAsia="楷体_GB2312" w:cs="Times New Roman"/>
          <w:color w:val="auto"/>
          <w:sz w:val="21"/>
          <w:highlight w:val="none"/>
          <w:lang w:val="en-US" w:eastAsia="zh-CN"/>
        </w:rPr>
        <w:t>VOCs含量</w:t>
      </w:r>
      <w:r>
        <w:rPr>
          <w:rFonts w:hint="default" w:eastAsia="楷体_GB2312" w:cs="Times New Roman"/>
          <w:color w:val="auto"/>
          <w:sz w:val="21"/>
          <w:highlight w:val="none"/>
          <w:lang w:val="en-US" w:eastAsia="zh-CN"/>
        </w:rPr>
        <w:t>取值按照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highlight w:val="none"/>
          <w:lang w:val="en-US" w:eastAsia="zh-CN"/>
        </w:rPr>
        <w:t>中“</w:t>
      </w:r>
      <w:r>
        <w:rPr>
          <w:rFonts w:hint="default" w:eastAsia="楷体_GB2312" w:cs="Times New Roman"/>
          <w:color w:val="auto"/>
          <w:sz w:val="21"/>
          <w:highlight w:val="none"/>
          <w:lang w:val="en-US" w:eastAsia="zh-CN"/>
        </w:rPr>
        <w:t xml:space="preserve">4.3.1 </w:t>
      </w:r>
      <w:r>
        <w:rPr>
          <w:rFonts w:hint="eastAsia" w:ascii="楷体_GB2312" w:hAnsi="楷体_GB2312" w:eastAsia="楷体_GB2312" w:cs="楷体_GB2312"/>
          <w:color w:val="auto"/>
          <w:sz w:val="21"/>
          <w:highlight w:val="none"/>
          <w:lang w:val="en-US" w:eastAsia="zh-CN"/>
        </w:rPr>
        <w:t>物料衡算法”中相关要求执行</w:t>
      </w:r>
      <w:r>
        <w:rPr>
          <w:rFonts w:hint="eastAsia" w:ascii="楷体_GB2312" w:hAnsi="楷体_GB2312" w:eastAsia="楷体_GB2312" w:cs="楷体_GB2312"/>
          <w:color w:val="auto"/>
          <w:sz w:val="21"/>
          <w:highlight w:val="none"/>
        </w:rPr>
        <w:t>。</w:t>
      </w:r>
    </w:p>
    <w:p>
      <w:pPr>
        <w:spacing w:before="292" w:beforeLines="50"/>
        <w:rPr>
          <w:rFonts w:hint="eastAsia" w:ascii="黑体" w:hAnsi="黑体" w:eastAsia="黑体" w:cs="黑体"/>
          <w:highlight w:val="none"/>
          <w:lang w:val="en-US" w:eastAsia="zh-CN"/>
        </w:rPr>
      </w:pPr>
      <w:r>
        <w:rPr>
          <w:rFonts w:hint="eastAsia" w:ascii="黑体" w:hAnsi="黑体" w:eastAsia="黑体" w:cs="黑体"/>
          <w:highlight w:val="none"/>
          <w:lang w:val="en-US" w:eastAsia="zh-CN"/>
        </w:rPr>
        <w:t>三、减排核算项目实施信息</w:t>
      </w:r>
    </w:p>
    <w:p>
      <w:pPr>
        <w:ind w:firstLine="632" w:firstLineChars="200"/>
        <w:rPr>
          <w:rFonts w:hint="default"/>
          <w:b/>
          <w:bCs/>
          <w:highlight w:val="none"/>
          <w:lang w:val="en-US" w:eastAsia="zh-CN"/>
        </w:rPr>
      </w:pPr>
      <w:r>
        <w:rPr>
          <w:rFonts w:hint="default"/>
          <w:b/>
          <w:bCs/>
          <w:highlight w:val="none"/>
          <w:lang w:val="en-US" w:eastAsia="zh-CN"/>
        </w:rPr>
        <w:t>3.1源头替代项目实施信息（根据实际情况选用）</w:t>
      </w:r>
    </w:p>
    <w:p>
      <w:pPr>
        <w:ind w:firstLine="632" w:firstLineChars="200"/>
        <w:rPr>
          <w:rFonts w:hint="default"/>
          <w:highlight w:val="none"/>
          <w:lang w:val="en-US" w:eastAsia="zh-CN"/>
        </w:rPr>
      </w:pPr>
      <w:r>
        <w:rPr>
          <w:rFonts w:hint="default"/>
          <w:highlight w:val="none"/>
          <w:lang w:val="en-US" w:eastAsia="zh-CN"/>
        </w:rPr>
        <w:t>描述源头替代项目的具体项目名称、项目开始时间、项目完成时间、对应生产线/工序、对应的关键设备/器械名称、替代前后VOCs物料名称、VOCs含量、使用量等信息，并参照以下示列填写表3-1。</w:t>
      </w:r>
    </w:p>
    <w:p>
      <w:pPr>
        <w:ind w:firstLine="632" w:firstLineChars="200"/>
        <w:rPr>
          <w:rFonts w:hint="default"/>
          <w:highlight w:val="none"/>
          <w:lang w:val="en-US" w:eastAsia="zh-CN"/>
        </w:rPr>
      </w:pPr>
      <w:r>
        <w:rPr>
          <w:rFonts w:hint="default"/>
          <w:highlight w:val="none"/>
          <w:lang w:val="en-US" w:eastAsia="zh-CN"/>
        </w:rPr>
        <w:t>替代前后物料的VOCs含量取值</w:t>
      </w:r>
      <w:r>
        <w:rPr>
          <w:rFonts w:hint="eastAsia"/>
          <w:highlight w:val="none"/>
          <w:lang w:val="en-US" w:eastAsia="zh-CN"/>
        </w:rPr>
        <w:t>佐证</w:t>
      </w:r>
      <w:r>
        <w:rPr>
          <w:rFonts w:hint="default"/>
          <w:highlight w:val="none"/>
          <w:lang w:val="en-US" w:eastAsia="zh-CN"/>
        </w:rPr>
        <w:t>及统计期内物料使用量统计台账等佐证材料应在</w:t>
      </w:r>
      <w:r>
        <w:rPr>
          <w:rFonts w:hint="eastAsia" w:ascii="仿宋_GB2312" w:hAnsi="仿宋_GB2312" w:cs="仿宋_GB2312"/>
          <w:highlight w:val="none"/>
          <w:lang w:val="en-US" w:eastAsia="zh-CN"/>
        </w:rPr>
        <w:t>“</w:t>
      </w:r>
      <w:r>
        <w:rPr>
          <w:rFonts w:hint="default"/>
          <w:highlight w:val="none"/>
          <w:lang w:val="en-US" w:eastAsia="zh-CN"/>
        </w:rPr>
        <w:t>5、佐证材料</w:t>
      </w:r>
      <w:r>
        <w:rPr>
          <w:rFonts w:hint="eastAsia" w:ascii="仿宋_GB2312" w:hAnsi="仿宋_GB2312" w:cs="仿宋_GB2312"/>
          <w:highlight w:val="none"/>
          <w:lang w:val="en-US" w:eastAsia="zh-CN"/>
        </w:rPr>
        <w:t>”</w:t>
      </w:r>
      <w:r>
        <w:rPr>
          <w:rFonts w:hint="default"/>
          <w:highlight w:val="none"/>
          <w:lang w:val="en-US" w:eastAsia="zh-CN"/>
        </w:rPr>
        <w:t>进行列明，并提供源头替代完成后不少于3个月的物料使用台账。</w:t>
      </w:r>
    </w:p>
    <w:p>
      <w:pPr>
        <w:ind w:firstLine="0" w:firstLineChars="0"/>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表3-1 源头替代项目信息汇总表</w:t>
      </w:r>
    </w:p>
    <w:tbl>
      <w:tblPr>
        <w:tblStyle w:val="5"/>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817"/>
        <w:gridCol w:w="826"/>
        <w:gridCol w:w="1068"/>
        <w:gridCol w:w="858"/>
        <w:gridCol w:w="910"/>
        <w:gridCol w:w="898"/>
        <w:gridCol w:w="936"/>
        <w:gridCol w:w="858"/>
        <w:gridCol w:w="883"/>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治理项目名称</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lang w:val="en-US" w:eastAsia="zh-CN"/>
              </w:rPr>
              <w:t>开始时间</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完成时间</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lang w:val="en-US" w:eastAsia="zh-CN"/>
              </w:rPr>
              <w:t>对应车间</w:t>
            </w:r>
            <w:r>
              <w:rPr>
                <w:rFonts w:hint="default" w:ascii="Times New Roman" w:hAnsi="Times New Roman" w:eastAsia="楷体_GB2312" w:cs="Times New Roman"/>
                <w:b/>
                <w:bCs/>
                <w:color w:val="auto"/>
                <w:sz w:val="21"/>
                <w:szCs w:val="21"/>
                <w:highlight w:val="none"/>
              </w:rPr>
              <w:t>/工序</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关键设备/器械名称</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替代前</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物料名称</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rPr>
              <w:t>替代前</w:t>
            </w:r>
            <w:r>
              <w:rPr>
                <w:rFonts w:hint="default" w:ascii="Times New Roman" w:hAnsi="Times New Roman" w:eastAsia="楷体_GB2312" w:cs="Times New Roman"/>
                <w:b/>
                <w:bCs/>
                <w:color w:val="auto"/>
                <w:sz w:val="21"/>
                <w:szCs w:val="21"/>
                <w:highlight w:val="none"/>
                <w:lang w:val="en-US" w:eastAsia="zh-CN"/>
              </w:rPr>
              <w:t>物料的VOCs</w:t>
            </w:r>
            <w:r>
              <w:rPr>
                <w:rFonts w:hint="default" w:ascii="Times New Roman" w:hAnsi="Times New Roman" w:eastAsia="楷体_GB2312" w:cs="Times New Roman"/>
                <w:b/>
                <w:bCs/>
                <w:color w:val="auto"/>
                <w:sz w:val="21"/>
                <w:szCs w:val="21"/>
                <w:highlight w:val="none"/>
              </w:rPr>
              <w:t>含量</w:t>
            </w:r>
            <w:r>
              <w:rPr>
                <w:rFonts w:hint="default" w:ascii="Times New Roman" w:hAnsi="Times New Roman" w:eastAsia="楷体_GB2312" w:cs="Times New Roman"/>
                <w:b/>
                <w:bCs/>
                <w:color w:val="auto"/>
                <w:sz w:val="21"/>
                <w:szCs w:val="21"/>
                <w:highlight w:val="none"/>
                <w:lang w:eastAsia="zh-CN"/>
              </w:rPr>
              <w:t>（</w:t>
            </w:r>
            <w:r>
              <w:rPr>
                <w:rFonts w:hint="default" w:ascii="Times New Roman" w:hAnsi="Times New Roman" w:eastAsia="楷体_GB2312" w:cs="Times New Roman"/>
                <w:b/>
                <w:bCs/>
                <w:color w:val="auto"/>
                <w:sz w:val="21"/>
                <w:szCs w:val="21"/>
                <w:highlight w:val="none"/>
                <w:lang w:val="en-US" w:eastAsia="zh-CN"/>
              </w:rPr>
              <w:t>%</w:t>
            </w:r>
            <w:r>
              <w:rPr>
                <w:rFonts w:hint="default" w:ascii="Times New Roman" w:hAnsi="Times New Roman" w:eastAsia="楷体_GB2312" w:cs="Times New Roman"/>
                <w:b/>
                <w:bCs/>
                <w:color w:val="auto"/>
                <w:sz w:val="21"/>
                <w:szCs w:val="21"/>
                <w:highlight w:val="none"/>
                <w:lang w:eastAsia="zh-CN"/>
              </w:rPr>
              <w:t>）</w:t>
            </w:r>
            <w:r>
              <w:rPr>
                <w:rFonts w:hint="default" w:ascii="Times New Roman" w:hAnsi="Times New Roman" w:eastAsia="楷体_GB2312" w:cs="Times New Roman"/>
                <w:b/>
                <w:bCs/>
                <w:color w:val="auto"/>
                <w:sz w:val="21"/>
                <w:szCs w:val="21"/>
                <w:highlight w:val="none"/>
                <w:vertAlign w:val="superscript"/>
                <w:lang w:val="en-US" w:eastAsia="zh-CN"/>
              </w:rPr>
              <w:t>1</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rPr>
            </w:pPr>
            <w:r>
              <w:rPr>
                <w:rFonts w:hint="default" w:ascii="Times New Roman" w:hAnsi="Times New Roman" w:eastAsia="楷体_GB2312" w:cs="Times New Roman"/>
                <w:b/>
                <w:bCs/>
                <w:color w:val="auto"/>
                <w:sz w:val="21"/>
                <w:szCs w:val="21"/>
                <w:highlight w:val="none"/>
                <w:lang w:val="en-US" w:eastAsia="zh-CN"/>
              </w:rPr>
              <w:t>替代前统计期内物料使用量（吨）</w:t>
            </w:r>
            <w:r>
              <w:rPr>
                <w:rFonts w:hint="default" w:ascii="Times New Roman" w:hAnsi="Times New Roman" w:eastAsia="楷体_GB2312" w:cs="Times New Roman"/>
                <w:b/>
                <w:bCs/>
                <w:color w:val="auto"/>
                <w:sz w:val="21"/>
                <w:szCs w:val="21"/>
                <w:highlight w:val="none"/>
                <w:vertAlign w:val="superscript"/>
                <w:lang w:val="en-US" w:eastAsia="zh-CN"/>
              </w:rPr>
              <w:t>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rPr>
            </w:pPr>
            <w:r>
              <w:rPr>
                <w:rFonts w:hint="default" w:ascii="Times New Roman" w:hAnsi="Times New Roman" w:eastAsia="楷体_GB2312" w:cs="Times New Roman"/>
                <w:b/>
                <w:bCs/>
                <w:color w:val="auto"/>
                <w:sz w:val="21"/>
                <w:szCs w:val="21"/>
                <w:highlight w:val="none"/>
              </w:rPr>
              <w:t>替代后</w:t>
            </w:r>
            <w:r>
              <w:rPr>
                <w:rFonts w:hint="default" w:ascii="Times New Roman" w:hAnsi="Times New Roman" w:eastAsia="楷体_GB2312" w:cs="Times New Roman"/>
                <w:b/>
                <w:bCs/>
                <w:color w:val="auto"/>
                <w:sz w:val="21"/>
                <w:szCs w:val="21"/>
                <w:highlight w:val="none"/>
                <w:lang w:val="en-US" w:eastAsia="zh-CN"/>
              </w:rPr>
              <w:t>物料名称</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eastAsia="zh-CN"/>
              </w:rPr>
            </w:pPr>
            <w:r>
              <w:rPr>
                <w:rFonts w:hint="default" w:ascii="Times New Roman" w:hAnsi="Times New Roman" w:eastAsia="楷体_GB2312" w:cs="Times New Roman"/>
                <w:b/>
                <w:bCs/>
                <w:color w:val="auto"/>
                <w:sz w:val="21"/>
                <w:szCs w:val="21"/>
                <w:highlight w:val="none"/>
              </w:rPr>
              <w:t>替代后物料</w:t>
            </w:r>
            <w:r>
              <w:rPr>
                <w:rFonts w:hint="default" w:ascii="Times New Roman" w:hAnsi="Times New Roman" w:eastAsia="楷体_GB2312" w:cs="Times New Roman"/>
                <w:b/>
                <w:bCs/>
                <w:color w:val="auto"/>
                <w:sz w:val="21"/>
                <w:szCs w:val="21"/>
                <w:highlight w:val="none"/>
                <w:lang w:val="en-US" w:eastAsia="zh-CN"/>
              </w:rPr>
              <w:t>VOCs</w:t>
            </w:r>
            <w:r>
              <w:rPr>
                <w:rFonts w:hint="default" w:ascii="Times New Roman" w:hAnsi="Times New Roman" w:eastAsia="楷体_GB2312" w:cs="Times New Roman"/>
                <w:b/>
                <w:bCs/>
                <w:color w:val="auto"/>
                <w:sz w:val="21"/>
                <w:szCs w:val="21"/>
                <w:highlight w:val="none"/>
              </w:rPr>
              <w:t>含量</w:t>
            </w:r>
            <w:r>
              <w:rPr>
                <w:rFonts w:hint="default" w:ascii="Times New Roman" w:hAnsi="Times New Roman" w:eastAsia="楷体_GB2312" w:cs="Times New Roman"/>
                <w:b/>
                <w:bCs/>
                <w:color w:val="auto"/>
                <w:sz w:val="21"/>
                <w:szCs w:val="21"/>
                <w:highlight w:val="none"/>
                <w:lang w:eastAsia="zh-CN"/>
              </w:rPr>
              <w:t>（</w:t>
            </w:r>
            <w:r>
              <w:rPr>
                <w:rFonts w:hint="default" w:ascii="Times New Roman" w:hAnsi="Times New Roman" w:eastAsia="楷体_GB2312" w:cs="Times New Roman"/>
                <w:b/>
                <w:bCs/>
                <w:color w:val="auto"/>
                <w:sz w:val="21"/>
                <w:szCs w:val="21"/>
                <w:highlight w:val="none"/>
                <w:lang w:val="en-US" w:eastAsia="zh-CN"/>
              </w:rPr>
              <w:t>%</w:t>
            </w:r>
            <w:r>
              <w:rPr>
                <w:rFonts w:hint="default" w:ascii="Times New Roman" w:hAnsi="Times New Roman" w:eastAsia="楷体_GB2312" w:cs="Times New Roman"/>
                <w:b/>
                <w:bCs/>
                <w:color w:val="auto"/>
                <w:sz w:val="21"/>
                <w:szCs w:val="21"/>
                <w:highlight w:val="none"/>
                <w:lang w:eastAsia="zh-CN"/>
              </w:rPr>
              <w:t>）</w:t>
            </w: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lang w:val="en-US" w:eastAsia="zh-CN"/>
              </w:rPr>
              <w:t>替代后统计期内物料使用量（吨）</w:t>
            </w:r>
            <w:r>
              <w:rPr>
                <w:rFonts w:hint="default" w:ascii="Times New Roman" w:hAnsi="Times New Roman" w:eastAsia="楷体_GB2312" w:cs="Times New Roman"/>
                <w:b/>
                <w:bCs/>
                <w:color w:val="auto"/>
                <w:sz w:val="21"/>
                <w:szCs w:val="21"/>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油墨清洁化替代项目</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lang w:val="en-US" w:eastAsia="zh-CN"/>
              </w:rPr>
              <w:t>2023年1月</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202</w:t>
            </w:r>
            <w:r>
              <w:rPr>
                <w:rFonts w:hint="default" w:ascii="Times New Roman" w:hAnsi="Times New Roman" w:eastAsia="楷体_GB2312" w:cs="Times New Roman"/>
                <w:color w:val="auto"/>
                <w:sz w:val="21"/>
                <w:szCs w:val="21"/>
                <w:highlight w:val="none"/>
                <w:lang w:val="en-US" w:eastAsia="zh-CN"/>
              </w:rPr>
              <w:t>3</w:t>
            </w:r>
            <w:r>
              <w:rPr>
                <w:rFonts w:hint="default" w:ascii="Times New Roman" w:hAnsi="Times New Roman" w:eastAsia="楷体_GB2312" w:cs="Times New Roman"/>
                <w:color w:val="auto"/>
                <w:sz w:val="21"/>
                <w:szCs w:val="21"/>
                <w:highlight w:val="none"/>
              </w:rPr>
              <w:t>年</w:t>
            </w:r>
            <w:r>
              <w:rPr>
                <w:rFonts w:hint="default" w:ascii="Times New Roman" w:hAnsi="Times New Roman" w:eastAsia="楷体_GB2312" w:cs="Times New Roman"/>
                <w:color w:val="auto"/>
                <w:sz w:val="21"/>
                <w:szCs w:val="21"/>
                <w:highlight w:val="none"/>
                <w:lang w:val="en-US" w:eastAsia="zh-CN"/>
              </w:rPr>
              <w:t>8</w:t>
            </w:r>
            <w:r>
              <w:rPr>
                <w:rFonts w:hint="default" w:ascii="Times New Roman" w:hAnsi="Times New Roman" w:eastAsia="楷体_GB2312" w:cs="Times New Roman"/>
                <w:color w:val="auto"/>
                <w:sz w:val="21"/>
                <w:szCs w:val="21"/>
                <w:highlight w:val="none"/>
              </w:rPr>
              <w:t>月</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lang w:val="en-US" w:eastAsia="zh-CN"/>
              </w:rPr>
              <w:t>丝网</w:t>
            </w:r>
            <w:r>
              <w:rPr>
                <w:rFonts w:hint="default" w:ascii="Times New Roman" w:hAnsi="Times New Roman" w:eastAsia="楷体_GB2312" w:cs="Times New Roman"/>
                <w:color w:val="auto"/>
                <w:sz w:val="21"/>
                <w:szCs w:val="21"/>
                <w:highlight w:val="none"/>
              </w:rPr>
              <w:t>印刷工序</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丝网印刷机</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溶剂型</w:t>
            </w:r>
            <w:r>
              <w:rPr>
                <w:rFonts w:hint="default" w:ascii="Times New Roman" w:hAnsi="Times New Roman" w:eastAsia="楷体_GB2312" w:cs="Times New Roman"/>
                <w:color w:val="auto"/>
                <w:sz w:val="21"/>
                <w:szCs w:val="21"/>
                <w:highlight w:val="none"/>
                <w:lang w:val="en-US" w:eastAsia="zh-CN"/>
              </w:rPr>
              <w:t>网</w:t>
            </w:r>
            <w:r>
              <w:rPr>
                <w:rFonts w:hint="default" w:ascii="Times New Roman" w:hAnsi="Times New Roman" w:eastAsia="楷体_GB2312" w:cs="Times New Roman"/>
                <w:color w:val="auto"/>
                <w:sz w:val="21"/>
                <w:szCs w:val="21"/>
                <w:highlight w:val="none"/>
              </w:rPr>
              <w:t>印油墨</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60</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能量固化</w:t>
            </w:r>
            <w:r>
              <w:rPr>
                <w:rFonts w:hint="default" w:ascii="Times New Roman" w:hAnsi="Times New Roman" w:eastAsia="楷体_GB2312" w:cs="Times New Roman"/>
                <w:color w:val="auto"/>
                <w:sz w:val="21"/>
                <w:szCs w:val="21"/>
                <w:highlight w:val="none"/>
                <w:lang w:val="en-US" w:eastAsia="zh-CN"/>
              </w:rPr>
              <w:t>网</w:t>
            </w:r>
            <w:r>
              <w:rPr>
                <w:rFonts w:hint="default" w:ascii="Times New Roman" w:hAnsi="Times New Roman" w:eastAsia="楷体_GB2312" w:cs="Times New Roman"/>
                <w:color w:val="auto"/>
                <w:sz w:val="21"/>
                <w:szCs w:val="21"/>
                <w:highlight w:val="none"/>
              </w:rPr>
              <w:t>印油墨</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3</w:t>
            </w: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bl>
    <w:p>
      <w:pPr>
        <w:spacing w:line="320" w:lineRule="exact"/>
        <w:ind w:firstLine="0" w:firstLineChars="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注：1</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源头替代项目替代前后原辅材料VOCs含量取值按照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default" w:ascii="Times New Roman" w:hAnsi="Times New Roman" w:eastAsia="楷体_GB2312" w:cs="Times New Roman"/>
          <w:sz w:val="21"/>
          <w:szCs w:val="21"/>
          <w:highlight w:val="none"/>
          <w:lang w:val="en-US" w:eastAsia="zh-CN"/>
        </w:rPr>
        <w:t>中</w:t>
      </w:r>
      <w:r>
        <w:rPr>
          <w:rFonts w:hint="eastAsia" w:ascii="楷体_GB2312" w:hAnsi="楷体_GB2312" w:eastAsia="楷体_GB2312" w:cs="楷体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4.3.1 物料衡算法</w:t>
      </w:r>
      <w:r>
        <w:rPr>
          <w:rFonts w:hint="eastAsia" w:ascii="楷体_GB2312" w:hAnsi="楷体_GB2312" w:eastAsia="楷体_GB2312" w:cs="楷体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中相关要求执行。</w:t>
      </w:r>
    </w:p>
    <w:p>
      <w:pPr>
        <w:spacing w:line="320" w:lineRule="exact"/>
        <w:ind w:firstLine="412" w:firstLineChars="20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2</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替代前后统计期活动水平数据根据</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sz w:val="21"/>
          <w:szCs w:val="21"/>
          <w:highlight w:val="none"/>
          <w:lang w:val="en-US" w:eastAsia="zh-CN"/>
        </w:rPr>
        <w:t>中“</w:t>
      </w:r>
      <w:r>
        <w:rPr>
          <w:rFonts w:hint="default" w:ascii="Times New Roman" w:hAnsi="Times New Roman" w:eastAsia="楷体_GB2312" w:cs="Times New Roman"/>
          <w:sz w:val="21"/>
          <w:szCs w:val="21"/>
          <w:highlight w:val="none"/>
          <w:lang w:val="en-US" w:eastAsia="zh-CN"/>
        </w:rPr>
        <w:t>4.1.3 企业排放量核算数据选取原</w:t>
      </w:r>
      <w:r>
        <w:rPr>
          <w:rFonts w:hint="eastAsia" w:ascii="楷体_GB2312" w:hAnsi="楷体_GB2312" w:eastAsia="楷体_GB2312" w:cs="楷体_GB2312"/>
          <w:sz w:val="21"/>
          <w:szCs w:val="21"/>
          <w:highlight w:val="none"/>
          <w:lang w:val="en-US" w:eastAsia="zh-CN"/>
        </w:rPr>
        <w:t>则”</w:t>
      </w:r>
      <w:r>
        <w:rPr>
          <w:rFonts w:hint="default" w:ascii="Times New Roman" w:hAnsi="Times New Roman" w:eastAsia="楷体_GB2312" w:cs="Times New Roman"/>
          <w:sz w:val="21"/>
          <w:szCs w:val="21"/>
          <w:highlight w:val="none"/>
          <w:lang w:val="en-US" w:eastAsia="zh-CN"/>
        </w:rPr>
        <w:t>确定。</w:t>
      </w:r>
    </w:p>
    <w:p>
      <w:pPr>
        <w:spacing w:before="292" w:beforeLines="50"/>
        <w:ind w:firstLine="632" w:firstLineChars="200"/>
        <w:rPr>
          <w:rFonts w:hint="default"/>
          <w:b/>
          <w:bCs/>
          <w:highlight w:val="none"/>
          <w:lang w:val="en-US" w:eastAsia="zh-CN"/>
        </w:rPr>
      </w:pPr>
      <w:r>
        <w:rPr>
          <w:rFonts w:hint="default"/>
          <w:b/>
          <w:bCs/>
          <w:highlight w:val="none"/>
          <w:lang w:val="en-US" w:eastAsia="zh-CN"/>
        </w:rPr>
        <w:t>3.2过程控制项目实施信息（根据实际情况选用）</w:t>
      </w:r>
    </w:p>
    <w:p>
      <w:pPr>
        <w:ind w:firstLine="632" w:firstLineChars="200"/>
        <w:rPr>
          <w:rFonts w:hint="default"/>
          <w:highlight w:val="none"/>
          <w:lang w:val="en-US" w:eastAsia="zh-CN"/>
        </w:rPr>
      </w:pPr>
      <w:r>
        <w:rPr>
          <w:rFonts w:hint="default"/>
          <w:highlight w:val="none"/>
          <w:lang w:val="en-US" w:eastAsia="zh-CN"/>
        </w:rPr>
        <w:t>描述过程控制项目的具体项目名称、项目开始时间、项目完成时间、对应的关键生产线/工序、对应的关键设备/器械名称、建设内容、项目费用等信息，参照以下示列填写表3-2，并附治理情况的现场清晰照片。</w:t>
      </w:r>
    </w:p>
    <w:p>
      <w:pPr>
        <w:ind w:firstLine="0" w:firstLineChars="0"/>
        <w:jc w:val="center"/>
        <w:rPr>
          <w:rFonts w:hint="default"/>
          <w:highlight w:val="none"/>
          <w:lang w:val="en-US" w:eastAsia="zh-CN"/>
        </w:rPr>
      </w:pPr>
      <w:r>
        <w:rPr>
          <w:rFonts w:hint="default"/>
          <w:highlight w:val="none"/>
          <w:lang w:val="en-US" w:eastAsia="zh-CN"/>
        </w:rPr>
        <w:br w:type="page"/>
      </w:r>
      <w:r>
        <w:rPr>
          <w:rFonts w:hint="eastAsia" w:eastAsia="黑体" w:cs="Times New Roman"/>
          <w:color w:val="auto"/>
          <w:sz w:val="28"/>
          <w:szCs w:val="28"/>
          <w:highlight w:val="none"/>
        </w:rPr>
        <w:t>表</w:t>
      </w:r>
      <w:r>
        <w:rPr>
          <w:rFonts w:hint="eastAsia" w:eastAsia="黑体" w:cs="Times New Roman"/>
          <w:color w:val="auto"/>
          <w:sz w:val="28"/>
          <w:szCs w:val="28"/>
          <w:highlight w:val="none"/>
          <w:lang w:val="en-US" w:eastAsia="zh-CN"/>
        </w:rPr>
        <w:t>3</w:t>
      </w:r>
      <w:r>
        <w:rPr>
          <w:rFonts w:hint="eastAsia" w:eastAsia="黑体" w:cs="Times New Roman"/>
          <w:color w:val="auto"/>
          <w:sz w:val="28"/>
          <w:szCs w:val="28"/>
          <w:highlight w:val="none"/>
        </w:rPr>
        <w:t>-2 过程控制项目信息汇总表</w:t>
      </w:r>
    </w:p>
    <w:tbl>
      <w:tblPr>
        <w:tblStyle w:val="5"/>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085"/>
        <w:gridCol w:w="1140"/>
        <w:gridCol w:w="1119"/>
        <w:gridCol w:w="1207"/>
        <w:gridCol w:w="2786"/>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治理项目</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名称</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lang w:val="en-US" w:eastAsia="zh-CN"/>
              </w:rPr>
              <w:t>开始时间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完成时间</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生产线/</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工序</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关键设备/器械名称</w:t>
            </w:r>
          </w:p>
        </w:tc>
        <w:tc>
          <w:tcPr>
            <w:tcW w:w="27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rPr>
              <w:t>建设内容</w:t>
            </w:r>
            <w:r>
              <w:rPr>
                <w:rFonts w:hint="default" w:ascii="Times New Roman" w:hAnsi="Times New Roman" w:eastAsia="楷体_GB2312" w:cs="Times New Roman"/>
                <w:b/>
                <w:bCs/>
                <w:color w:val="auto"/>
                <w:sz w:val="21"/>
                <w:szCs w:val="21"/>
                <w:highlight w:val="none"/>
                <w:vertAlign w:val="superscript"/>
                <w:lang w:val="en-US" w:eastAsia="zh-CN"/>
              </w:rPr>
              <w:t>1</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项目费用</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楷体_GB2312" w:cs="Times New Roman"/>
                <w:b/>
                <w:bCs/>
                <w:color w:val="auto"/>
                <w:sz w:val="21"/>
                <w:szCs w:val="21"/>
                <w:highlight w:val="none"/>
                <w:lang w:val="en"/>
              </w:rPr>
            </w:pPr>
            <w:r>
              <w:rPr>
                <w:rFonts w:hint="default" w:ascii="Times New Roman" w:hAnsi="Times New Roman" w:eastAsia="楷体_GB2312" w:cs="Times New Roman"/>
                <w:b/>
                <w:bCs/>
                <w:color w:val="auto"/>
                <w:sz w:val="21"/>
                <w:szCs w:val="21"/>
                <w:highlight w:val="none"/>
                <w:lang w:val="en"/>
              </w:rPr>
              <w:t>(</w:t>
            </w:r>
            <w:r>
              <w:rPr>
                <w:rFonts w:hint="default" w:ascii="Times New Roman" w:hAnsi="Times New Roman" w:eastAsia="楷体_GB2312" w:cs="Times New Roman"/>
                <w:b/>
                <w:bCs/>
                <w:color w:val="auto"/>
                <w:sz w:val="21"/>
                <w:szCs w:val="21"/>
                <w:highlight w:val="none"/>
              </w:rPr>
              <w:t>万元，RMB</w:t>
            </w:r>
            <w:r>
              <w:rPr>
                <w:rFonts w:hint="default" w:ascii="Times New Roman" w:hAnsi="Times New Roman" w:eastAsia="楷体_GB2312" w:cs="Times New Roman"/>
                <w:b/>
                <w:bCs/>
                <w:color w:val="auto"/>
                <w:sz w:val="21"/>
                <w:szCs w:val="21"/>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无泄漏泵改造项目</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lang w:val="en-US" w:eastAsia="zh-CN"/>
              </w:rPr>
              <w:t>2023年1月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202</w:t>
            </w:r>
            <w:r>
              <w:rPr>
                <w:rFonts w:hint="default" w:ascii="Times New Roman" w:hAnsi="Times New Roman" w:eastAsia="楷体_GB2312" w:cs="Times New Roman"/>
                <w:color w:val="auto"/>
                <w:sz w:val="21"/>
                <w:szCs w:val="21"/>
                <w:highlight w:val="none"/>
                <w:lang w:val="en-US" w:eastAsia="zh-CN"/>
              </w:rPr>
              <w:t>3</w:t>
            </w:r>
            <w:r>
              <w:rPr>
                <w:rFonts w:hint="default" w:ascii="Times New Roman" w:hAnsi="Times New Roman" w:eastAsia="楷体_GB2312" w:cs="Times New Roman"/>
                <w:color w:val="auto"/>
                <w:sz w:val="21"/>
                <w:szCs w:val="21"/>
                <w:highlight w:val="none"/>
              </w:rPr>
              <w:t>年</w:t>
            </w:r>
            <w:r>
              <w:rPr>
                <w:rFonts w:hint="default" w:ascii="Times New Roman" w:hAnsi="Times New Roman" w:eastAsia="楷体_GB2312" w:cs="Times New Roman"/>
                <w:color w:val="auto"/>
                <w:sz w:val="21"/>
                <w:szCs w:val="21"/>
                <w:highlight w:val="none"/>
                <w:lang w:val="en-US" w:eastAsia="zh-CN"/>
              </w:rPr>
              <w:t>8</w:t>
            </w:r>
            <w:r>
              <w:rPr>
                <w:rFonts w:hint="default" w:ascii="Times New Roman" w:hAnsi="Times New Roman" w:eastAsia="楷体_GB2312" w:cs="Times New Roman"/>
                <w:color w:val="auto"/>
                <w:sz w:val="21"/>
                <w:szCs w:val="21"/>
                <w:highlight w:val="none"/>
              </w:rPr>
              <w:t>月</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聚苯乙烯生产装置</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泵</w:t>
            </w:r>
          </w:p>
        </w:tc>
        <w:tc>
          <w:tcPr>
            <w:tcW w:w="27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楷体_GB2312" w:cs="Times New Roman"/>
                <w:color w:val="auto"/>
                <w:spacing w:val="-6"/>
                <w:sz w:val="21"/>
                <w:szCs w:val="21"/>
                <w:highlight w:val="none"/>
              </w:rPr>
            </w:pPr>
            <w:r>
              <w:rPr>
                <w:rFonts w:hint="default" w:ascii="Times New Roman" w:hAnsi="Times New Roman" w:eastAsia="楷体_GB2312" w:cs="Times New Roman"/>
                <w:color w:val="auto"/>
                <w:spacing w:val="-6"/>
                <w:sz w:val="21"/>
                <w:szCs w:val="21"/>
                <w:highlight w:val="none"/>
              </w:rPr>
              <w:t>将装置内的20台液环真空泵替换为20台无泄漏的屏蔽泵。</w:t>
            </w: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27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楷体_GB2312" w:cs="Times New Roman"/>
                <w:color w:val="auto"/>
                <w:sz w:val="21"/>
                <w:szCs w:val="21"/>
                <w:highlight w:val="none"/>
              </w:rPr>
            </w:pPr>
          </w:p>
        </w:tc>
        <w:tc>
          <w:tcPr>
            <w:tcW w:w="13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bl>
    <w:p>
      <w:pPr>
        <w:spacing w:line="280" w:lineRule="exact"/>
        <w:ind w:firstLine="0" w:firstLineChars="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注：1</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建设内容应包括原设备的情况，以及所采取的过程控制措施。</w:t>
      </w:r>
    </w:p>
    <w:p>
      <w:pPr>
        <w:ind w:firstLine="632" w:firstLineChars="200"/>
        <w:rPr>
          <w:rFonts w:hint="default"/>
          <w:b/>
          <w:bCs/>
          <w:highlight w:val="none"/>
          <w:lang w:val="en-US" w:eastAsia="zh-CN"/>
        </w:rPr>
      </w:pPr>
      <w:r>
        <w:rPr>
          <w:rFonts w:hint="default"/>
          <w:b/>
          <w:bCs/>
          <w:highlight w:val="none"/>
          <w:lang w:val="en-US" w:eastAsia="zh-CN"/>
        </w:rPr>
        <w:t>3.3末端治理项目实施信息（根据实际情况选用）</w:t>
      </w:r>
    </w:p>
    <w:p>
      <w:pPr>
        <w:ind w:firstLine="632" w:firstLineChars="200"/>
        <w:rPr>
          <w:rFonts w:hint="default"/>
          <w:highlight w:val="none"/>
          <w:lang w:val="en-US" w:eastAsia="zh-CN"/>
        </w:rPr>
      </w:pPr>
      <w:r>
        <w:rPr>
          <w:rFonts w:hint="default"/>
          <w:highlight w:val="none"/>
          <w:lang w:val="en-US" w:eastAsia="zh-CN"/>
        </w:rPr>
        <w:t>描述末端治理项目的具体项目名称、项目开始时间、项目完成时间、减排车间或生产线、建设内容、改造前后治理设施情况及其处理能力、项目费用等信息，参照以下示列填写表3-3，并附治理情况的现场清晰照片。</w:t>
      </w:r>
    </w:p>
    <w:p>
      <w:pPr>
        <w:ind w:firstLine="632" w:firstLineChars="200"/>
        <w:rPr>
          <w:rFonts w:hint="default"/>
          <w:highlight w:val="none"/>
          <w:lang w:val="en-US" w:eastAsia="zh-CN"/>
        </w:rPr>
      </w:pPr>
      <w:r>
        <w:rPr>
          <w:rFonts w:hint="default"/>
          <w:highlight w:val="none"/>
          <w:lang w:val="en-US" w:eastAsia="zh-CN"/>
        </w:rPr>
        <w:t>在进行建设内容表述时，需详细描述升级改造后的末端治理设施关键设计指标，并</w:t>
      </w:r>
      <w:r>
        <w:rPr>
          <w:rFonts w:hint="eastAsia" w:ascii="仿宋_GB2312" w:hAnsi="仿宋_GB2312" w:cs="仿宋_GB2312"/>
          <w:highlight w:val="none"/>
          <w:lang w:val="en-US" w:eastAsia="zh-CN"/>
        </w:rPr>
        <w:t>在“</w:t>
      </w:r>
      <w:r>
        <w:rPr>
          <w:rFonts w:hint="default"/>
          <w:highlight w:val="none"/>
          <w:lang w:val="en-US" w:eastAsia="zh-CN"/>
        </w:rPr>
        <w:t>5、佐证材料</w:t>
      </w:r>
      <w:r>
        <w:rPr>
          <w:rFonts w:hint="eastAsia" w:ascii="仿宋_GB2312" w:hAnsi="仿宋_GB2312" w:cs="仿宋_GB2312"/>
          <w:highlight w:val="none"/>
          <w:lang w:val="en-US" w:eastAsia="zh-CN"/>
        </w:rPr>
        <w:t>”处</w:t>
      </w:r>
      <w:r>
        <w:rPr>
          <w:rFonts w:hint="default"/>
          <w:highlight w:val="none"/>
          <w:lang w:val="en-US" w:eastAsia="zh-CN"/>
        </w:rPr>
        <w:t>提供治理改造完成后不少于3个月的末端治理设施实际运行维护台账记录、废气监测报告（如有）等。</w:t>
      </w:r>
    </w:p>
    <w:p>
      <w:pPr>
        <w:ind w:firstLine="0" w:firstLineChars="0"/>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表3-3 末端治理项目信息汇总表</w:t>
      </w:r>
    </w:p>
    <w:tbl>
      <w:tblPr>
        <w:tblStyle w:val="5"/>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09"/>
        <w:gridCol w:w="781"/>
        <w:gridCol w:w="820"/>
        <w:gridCol w:w="1891"/>
        <w:gridCol w:w="757"/>
        <w:gridCol w:w="960"/>
        <w:gridCol w:w="948"/>
        <w:gridCol w:w="835"/>
        <w:gridCol w:w="89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治理项目名称</w:t>
            </w:r>
          </w:p>
        </w:tc>
        <w:tc>
          <w:tcPr>
            <w:tcW w:w="8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lang w:val="en-US" w:eastAsia="zh-CN"/>
              </w:rPr>
              <w:t>开始时间</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完成时间</w:t>
            </w:r>
          </w:p>
        </w:tc>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减排车间或生产线</w:t>
            </w:r>
          </w:p>
        </w:tc>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lang w:val="en-US" w:eastAsia="zh-CN"/>
              </w:rPr>
            </w:pPr>
            <w:r>
              <w:rPr>
                <w:rFonts w:hint="default" w:ascii="Times New Roman" w:hAnsi="Times New Roman" w:eastAsia="楷体_GB2312" w:cs="Times New Roman"/>
                <w:b/>
                <w:bCs/>
                <w:color w:val="auto"/>
                <w:sz w:val="21"/>
                <w:szCs w:val="21"/>
                <w:highlight w:val="none"/>
              </w:rPr>
              <w:t>建设内容</w:t>
            </w:r>
            <w:r>
              <w:rPr>
                <w:rFonts w:hint="default" w:ascii="Times New Roman" w:hAnsi="Times New Roman" w:eastAsia="楷体_GB2312" w:cs="Times New Roman"/>
                <w:b/>
                <w:bCs/>
                <w:color w:val="auto"/>
                <w:sz w:val="21"/>
                <w:szCs w:val="21"/>
                <w:highlight w:val="none"/>
                <w:vertAlign w:val="superscript"/>
                <w:lang w:val="en-US" w:eastAsia="zh-CN"/>
              </w:rPr>
              <w:t>1</w:t>
            </w:r>
          </w:p>
        </w:tc>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kern w:val="2"/>
                <w:sz w:val="21"/>
                <w:szCs w:val="21"/>
                <w:highlight w:val="none"/>
                <w:lang w:val="en-US" w:eastAsia="zh-CN" w:bidi="ar-SA"/>
              </w:rPr>
            </w:pPr>
            <w:r>
              <w:rPr>
                <w:rFonts w:hint="default" w:ascii="Times New Roman" w:hAnsi="Times New Roman" w:eastAsia="楷体_GB2312" w:cs="Times New Roman"/>
                <w:b/>
                <w:bCs/>
                <w:color w:val="auto"/>
                <w:kern w:val="0"/>
                <w:sz w:val="21"/>
                <w:szCs w:val="21"/>
                <w:highlight w:val="none"/>
                <w:lang w:bidi="ar"/>
              </w:rPr>
              <w:t>改造</w:t>
            </w:r>
            <w:r>
              <w:rPr>
                <w:rFonts w:hint="default" w:ascii="Times New Roman" w:hAnsi="Times New Roman" w:eastAsia="楷体_GB2312" w:cs="Times New Roman"/>
                <w:b/>
                <w:bCs/>
                <w:color w:val="auto"/>
                <w:kern w:val="0"/>
                <w:sz w:val="21"/>
                <w:szCs w:val="21"/>
                <w:highlight w:val="none"/>
                <w:lang w:val="en-US" w:eastAsia="zh-CN" w:bidi="ar"/>
              </w:rPr>
              <w:t>前</w:t>
            </w:r>
            <w:r>
              <w:rPr>
                <w:rFonts w:hint="default" w:ascii="Times New Roman" w:hAnsi="Times New Roman" w:eastAsia="楷体_GB2312" w:cs="Times New Roman"/>
                <w:b/>
                <w:bCs/>
                <w:color w:val="auto"/>
                <w:kern w:val="0"/>
                <w:sz w:val="21"/>
                <w:szCs w:val="21"/>
                <w:highlight w:val="none"/>
                <w:lang w:bidi="ar"/>
              </w:rPr>
              <w:t>治理设施情况</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kern w:val="2"/>
                <w:sz w:val="21"/>
                <w:szCs w:val="21"/>
                <w:highlight w:val="none"/>
                <w:lang w:val="en-US" w:eastAsia="zh-CN" w:bidi="ar-SA"/>
              </w:rPr>
            </w:pPr>
            <w:r>
              <w:rPr>
                <w:rFonts w:hint="default" w:ascii="Times New Roman" w:hAnsi="Times New Roman" w:eastAsia="楷体_GB2312" w:cs="Times New Roman"/>
                <w:b/>
                <w:bCs/>
                <w:color w:val="auto"/>
                <w:sz w:val="21"/>
                <w:szCs w:val="21"/>
                <w:highlight w:val="none"/>
                <w:lang w:val="en-US" w:eastAsia="zh-CN"/>
              </w:rPr>
              <w:t>改造前</w:t>
            </w:r>
            <w:r>
              <w:rPr>
                <w:rFonts w:hint="default" w:ascii="Times New Roman" w:hAnsi="Times New Roman" w:eastAsia="楷体_GB2312" w:cs="Times New Roman"/>
                <w:b/>
                <w:bCs/>
                <w:color w:val="auto"/>
                <w:sz w:val="21"/>
                <w:szCs w:val="21"/>
                <w:highlight w:val="none"/>
              </w:rPr>
              <w:t>治理设施处理</w:t>
            </w:r>
            <w:r>
              <w:rPr>
                <w:rFonts w:hint="default" w:ascii="Times New Roman" w:hAnsi="Times New Roman" w:eastAsia="楷体_GB2312" w:cs="Times New Roman"/>
                <w:b/>
                <w:bCs/>
                <w:color w:val="auto"/>
                <w:sz w:val="21"/>
                <w:szCs w:val="21"/>
                <w:highlight w:val="none"/>
                <w:lang w:val="en-US" w:eastAsia="zh-CN"/>
              </w:rPr>
              <w:t>风量</w:t>
            </w:r>
            <w:r>
              <w:rPr>
                <w:rFonts w:hint="default" w:ascii="Times New Roman" w:hAnsi="Times New Roman" w:eastAsia="楷体_GB2312" w:cs="Times New Roman"/>
                <w:b/>
                <w:bCs/>
                <w:color w:val="auto"/>
                <w:sz w:val="21"/>
                <w:szCs w:val="21"/>
                <w:highlight w:val="none"/>
              </w:rPr>
              <w:t>（m</w:t>
            </w:r>
            <w:r>
              <w:rPr>
                <w:rFonts w:hint="default" w:ascii="Times New Roman" w:hAnsi="Times New Roman" w:eastAsia="楷体_GB2312" w:cs="Times New Roman"/>
                <w:b/>
                <w:bCs/>
                <w:color w:val="auto"/>
                <w:sz w:val="21"/>
                <w:szCs w:val="21"/>
                <w:highlight w:val="none"/>
                <w:vertAlign w:val="superscript"/>
              </w:rPr>
              <w:t>3</w:t>
            </w:r>
            <w:r>
              <w:rPr>
                <w:rFonts w:hint="default" w:ascii="Times New Roman" w:hAnsi="Times New Roman" w:eastAsia="楷体_GB2312" w:cs="Times New Roman"/>
                <w:b/>
                <w:bCs/>
                <w:color w:val="auto"/>
                <w:sz w:val="21"/>
                <w:szCs w:val="21"/>
                <w:highlight w:val="none"/>
              </w:rPr>
              <w:t>/h）</w:t>
            </w: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kern w:val="0"/>
                <w:sz w:val="21"/>
                <w:szCs w:val="21"/>
                <w:highlight w:val="none"/>
                <w:lang w:bidi="ar"/>
              </w:rPr>
              <w:t>改造后治理设施情况</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0" w:leftChars="-35" w:right="-110" w:rightChars="-35" w:firstLine="0" w:firstLineChars="0"/>
              <w:jc w:val="center"/>
              <w:textAlignment w:val="auto"/>
              <w:rPr>
                <w:rFonts w:hint="eastAsia" w:ascii="Times New Roman" w:hAnsi="Times New Roman" w:eastAsia="楷体_GB2312" w:cs="Times New Roman"/>
                <w:b/>
                <w:bCs/>
                <w:color w:val="auto"/>
                <w:kern w:val="2"/>
                <w:sz w:val="21"/>
                <w:szCs w:val="21"/>
                <w:highlight w:val="none"/>
                <w:lang w:val="en-US" w:eastAsia="zh-CN" w:bidi="ar-SA"/>
              </w:rPr>
            </w:pPr>
            <w:r>
              <w:rPr>
                <w:rFonts w:hint="default" w:ascii="Times New Roman" w:hAnsi="Times New Roman" w:eastAsia="楷体_GB2312" w:cs="Times New Roman"/>
                <w:b/>
                <w:bCs/>
                <w:color w:val="auto"/>
                <w:sz w:val="21"/>
                <w:szCs w:val="21"/>
                <w:highlight w:val="none"/>
                <w:lang w:val="en-US" w:eastAsia="zh-CN"/>
              </w:rPr>
              <w:t>改造</w:t>
            </w:r>
            <w:r>
              <w:rPr>
                <w:rFonts w:hint="default" w:ascii="Times New Roman" w:hAnsi="Times New Roman" w:eastAsia="楷体_GB2312" w:cs="Times New Roman"/>
                <w:b/>
                <w:bCs/>
                <w:color w:val="auto"/>
                <w:sz w:val="21"/>
                <w:szCs w:val="21"/>
                <w:highlight w:val="none"/>
              </w:rPr>
              <w:t>后治理设施处理</w:t>
            </w:r>
            <w:r>
              <w:rPr>
                <w:rFonts w:hint="default" w:ascii="Times New Roman" w:hAnsi="Times New Roman" w:eastAsia="楷体_GB2312" w:cs="Times New Roman"/>
                <w:b/>
                <w:bCs/>
                <w:color w:val="auto"/>
                <w:sz w:val="21"/>
                <w:szCs w:val="21"/>
                <w:highlight w:val="none"/>
                <w:lang w:val="en-US" w:eastAsia="zh-CN"/>
              </w:rPr>
              <w:t>风量</w:t>
            </w:r>
            <w:r>
              <w:rPr>
                <w:rFonts w:hint="eastAsia" w:ascii="Times New Roman" w:hAnsi="Times New Roman" w:eastAsia="楷体_GB2312" w:cs="Times New Roman"/>
                <w:b/>
                <w:bCs/>
                <w:color w:val="auto"/>
                <w:sz w:val="21"/>
                <w:szCs w:val="21"/>
                <w:highlight w:val="none"/>
                <w:lang w:val="en-US" w:eastAsia="zh-CN"/>
              </w:rPr>
              <w:t>(</w:t>
            </w:r>
            <w:r>
              <w:rPr>
                <w:rFonts w:hint="default" w:ascii="Times New Roman" w:hAnsi="Times New Roman" w:eastAsia="楷体_GB2312" w:cs="Times New Roman"/>
                <w:b/>
                <w:bCs/>
                <w:color w:val="auto"/>
                <w:sz w:val="21"/>
                <w:szCs w:val="21"/>
                <w:highlight w:val="none"/>
              </w:rPr>
              <w:t>m</w:t>
            </w:r>
            <w:r>
              <w:rPr>
                <w:rFonts w:hint="default" w:ascii="Times New Roman" w:hAnsi="Times New Roman" w:eastAsia="楷体_GB2312" w:cs="Times New Roman"/>
                <w:b/>
                <w:bCs/>
                <w:color w:val="auto"/>
                <w:sz w:val="21"/>
                <w:szCs w:val="21"/>
                <w:highlight w:val="none"/>
                <w:vertAlign w:val="superscript"/>
              </w:rPr>
              <w:t>3</w:t>
            </w:r>
            <w:r>
              <w:rPr>
                <w:rFonts w:hint="default" w:ascii="Times New Roman" w:hAnsi="Times New Roman" w:eastAsia="楷体_GB2312" w:cs="Times New Roman"/>
                <w:b/>
                <w:bCs/>
                <w:color w:val="auto"/>
                <w:sz w:val="21"/>
                <w:szCs w:val="21"/>
                <w:highlight w:val="none"/>
              </w:rPr>
              <w:t>/h</w:t>
            </w:r>
            <w:r>
              <w:rPr>
                <w:rFonts w:hint="eastAsia" w:ascii="Times New Roman" w:hAnsi="Times New Roman" w:eastAsia="楷体_GB2312" w:cs="Times New Roman"/>
                <w:b/>
                <w:bCs/>
                <w:color w:val="auto"/>
                <w:sz w:val="21"/>
                <w:szCs w:val="21"/>
                <w:highlight w:val="none"/>
                <w:lang w:val="en-US" w:eastAsia="zh-CN"/>
              </w:rPr>
              <w:t>)</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排放口编号及名称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建设</w:t>
            </w:r>
          </w:p>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费用</w:t>
            </w:r>
          </w:p>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b/>
                <w:bCs/>
                <w:color w:val="auto"/>
                <w:sz w:val="21"/>
                <w:szCs w:val="21"/>
                <w:highlight w:val="none"/>
                <w:lang w:val="en"/>
              </w:rPr>
            </w:pPr>
            <w:r>
              <w:rPr>
                <w:rFonts w:hint="default" w:ascii="Times New Roman" w:hAnsi="Times New Roman" w:eastAsia="楷体_GB2312" w:cs="Times New Roman"/>
                <w:b/>
                <w:bCs/>
                <w:color w:val="auto"/>
                <w:sz w:val="21"/>
                <w:szCs w:val="21"/>
                <w:highlight w:val="none"/>
                <w:lang w:val="en"/>
              </w:rPr>
              <w:t>(</w:t>
            </w:r>
            <w:r>
              <w:rPr>
                <w:rFonts w:hint="default" w:ascii="Times New Roman" w:hAnsi="Times New Roman" w:eastAsia="楷体_GB2312" w:cs="Times New Roman"/>
                <w:b/>
                <w:bCs/>
                <w:color w:val="auto"/>
                <w:sz w:val="21"/>
                <w:szCs w:val="21"/>
                <w:highlight w:val="none"/>
              </w:rPr>
              <w:t>万元，RMB</w:t>
            </w:r>
            <w:r>
              <w:rPr>
                <w:rFonts w:hint="default" w:ascii="Times New Roman" w:hAnsi="Times New Roman" w:eastAsia="楷体_GB2312" w:cs="Times New Roman"/>
                <w:b/>
                <w:bCs/>
                <w:color w:val="auto"/>
                <w:sz w:val="21"/>
                <w:szCs w:val="21"/>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涂装线末端治理设施提升改造项目</w:t>
            </w:r>
          </w:p>
        </w:tc>
        <w:tc>
          <w:tcPr>
            <w:tcW w:w="8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lang w:val="en-US" w:eastAsia="zh-CN"/>
              </w:rPr>
              <w:t>2023年1月</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202</w:t>
            </w:r>
            <w:r>
              <w:rPr>
                <w:rFonts w:hint="default" w:ascii="Times New Roman" w:hAnsi="Times New Roman" w:eastAsia="楷体_GB2312" w:cs="Times New Roman"/>
                <w:color w:val="auto"/>
                <w:sz w:val="21"/>
                <w:szCs w:val="21"/>
                <w:highlight w:val="none"/>
                <w:lang w:val="en-US" w:eastAsia="zh-CN"/>
              </w:rPr>
              <w:t>3</w:t>
            </w:r>
            <w:r>
              <w:rPr>
                <w:rFonts w:hint="default" w:ascii="Times New Roman" w:hAnsi="Times New Roman" w:eastAsia="楷体_GB2312" w:cs="Times New Roman"/>
                <w:color w:val="auto"/>
                <w:sz w:val="21"/>
                <w:szCs w:val="21"/>
                <w:highlight w:val="none"/>
              </w:rPr>
              <w:t>年</w:t>
            </w:r>
            <w:r>
              <w:rPr>
                <w:rFonts w:hint="default" w:ascii="Times New Roman" w:hAnsi="Times New Roman" w:eastAsia="楷体_GB2312" w:cs="Times New Roman"/>
                <w:color w:val="auto"/>
                <w:sz w:val="21"/>
                <w:szCs w:val="21"/>
                <w:highlight w:val="none"/>
                <w:lang w:val="en-US" w:eastAsia="zh-CN"/>
              </w:rPr>
              <w:t>8</w:t>
            </w:r>
            <w:r>
              <w:rPr>
                <w:rFonts w:hint="default" w:ascii="Times New Roman" w:hAnsi="Times New Roman" w:eastAsia="楷体_GB2312" w:cs="Times New Roman"/>
                <w:color w:val="auto"/>
                <w:sz w:val="21"/>
                <w:szCs w:val="21"/>
                <w:highlight w:val="none"/>
              </w:rPr>
              <w:t>月</w:t>
            </w:r>
          </w:p>
        </w:tc>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lang w:val="en-US"/>
              </w:rPr>
            </w:pPr>
            <w:r>
              <w:rPr>
                <w:rFonts w:hint="default" w:ascii="Times New Roman" w:hAnsi="Times New Roman" w:eastAsia="楷体_GB2312" w:cs="Times New Roman"/>
                <w:color w:val="auto"/>
                <w:sz w:val="21"/>
                <w:szCs w:val="21"/>
                <w:highlight w:val="none"/>
                <w:lang w:val="en-US" w:eastAsia="zh-CN"/>
              </w:rPr>
              <w:t>喷涂车间A线和B线</w:t>
            </w:r>
          </w:p>
        </w:tc>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将喷涂线原有的1套处理能力为4万m</w:t>
            </w:r>
            <w:r>
              <w:rPr>
                <w:rFonts w:hint="default" w:ascii="Times New Roman" w:hAnsi="Times New Roman" w:eastAsia="楷体_GB2312" w:cs="Times New Roman"/>
                <w:color w:val="auto"/>
                <w:sz w:val="21"/>
                <w:szCs w:val="21"/>
                <w:highlight w:val="none"/>
                <w:vertAlign w:val="superscript"/>
              </w:rPr>
              <w:t>3</w:t>
            </w:r>
            <w:r>
              <w:rPr>
                <w:rFonts w:hint="default" w:ascii="Times New Roman" w:hAnsi="Times New Roman" w:eastAsia="楷体_GB2312" w:cs="Times New Roman"/>
                <w:color w:val="auto"/>
                <w:sz w:val="21"/>
                <w:szCs w:val="21"/>
                <w:highlight w:val="none"/>
              </w:rPr>
              <w:t>/h的“水喷淋+UV光解+活性炭吸附设施”改造为1套处理能力为5万m</w:t>
            </w:r>
            <w:r>
              <w:rPr>
                <w:rFonts w:hint="default" w:ascii="Times New Roman" w:hAnsi="Times New Roman" w:eastAsia="楷体_GB2312" w:cs="Times New Roman"/>
                <w:color w:val="auto"/>
                <w:sz w:val="21"/>
                <w:szCs w:val="21"/>
                <w:highlight w:val="none"/>
                <w:vertAlign w:val="superscript"/>
              </w:rPr>
              <w:t>3</w:t>
            </w:r>
            <w:r>
              <w:rPr>
                <w:rFonts w:hint="default" w:ascii="Times New Roman" w:hAnsi="Times New Roman" w:eastAsia="楷体_GB2312" w:cs="Times New Roman"/>
                <w:color w:val="auto"/>
                <w:sz w:val="21"/>
                <w:szCs w:val="21"/>
                <w:highlight w:val="none"/>
              </w:rPr>
              <w:t>/h的“水喷淋+干式过滤</w:t>
            </w:r>
            <w:r>
              <w:rPr>
                <w:rFonts w:hint="default" w:ascii="Times New Roman" w:hAnsi="Times New Roman" w:eastAsia="楷体_GB2312" w:cs="Times New Roman"/>
                <w:color w:val="auto"/>
                <w:sz w:val="21"/>
                <w:szCs w:val="21"/>
                <w:highlight w:val="none"/>
                <w:lang w:val="en-US" w:eastAsia="zh-CN"/>
              </w:rPr>
              <w:t>+分子筛转轮</w:t>
            </w:r>
            <w:r>
              <w:rPr>
                <w:rFonts w:hint="default" w:ascii="Times New Roman" w:hAnsi="Times New Roman" w:eastAsia="楷体_GB2312" w:cs="Times New Roman"/>
                <w:color w:val="auto"/>
                <w:sz w:val="21"/>
                <w:szCs w:val="21"/>
                <w:highlight w:val="none"/>
              </w:rPr>
              <w:t>吸附/脱附+催化氧化设施”。</w:t>
            </w:r>
          </w:p>
        </w:tc>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kern w:val="2"/>
                <w:sz w:val="21"/>
                <w:szCs w:val="21"/>
                <w:highlight w:val="none"/>
                <w:lang w:val="en-US" w:eastAsia="zh-CN" w:bidi="ar-SA"/>
              </w:rPr>
            </w:pPr>
            <w:r>
              <w:rPr>
                <w:rFonts w:hint="default" w:ascii="Times New Roman" w:hAnsi="Times New Roman" w:eastAsia="楷体_GB2312" w:cs="Times New Roman"/>
                <w:color w:val="auto"/>
                <w:sz w:val="21"/>
                <w:szCs w:val="21"/>
                <w:highlight w:val="none"/>
                <w:lang w:val="en-US" w:eastAsia="zh-CN"/>
              </w:rPr>
              <w:t>1套</w:t>
            </w:r>
            <w:r>
              <w:rPr>
                <w:rFonts w:hint="default" w:ascii="Times New Roman" w:hAnsi="Times New Roman" w:eastAsia="楷体_GB2312" w:cs="Times New Roman"/>
                <w:color w:val="auto"/>
                <w:sz w:val="21"/>
                <w:szCs w:val="21"/>
                <w:highlight w:val="none"/>
              </w:rPr>
              <w:t>水喷淋+UV光解+活性炭吸附设施</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kern w:val="2"/>
                <w:sz w:val="21"/>
                <w:szCs w:val="21"/>
                <w:highlight w:val="none"/>
                <w:lang w:val="en-US" w:eastAsia="zh-CN" w:bidi="ar-SA"/>
              </w:rPr>
            </w:pPr>
            <w:r>
              <w:rPr>
                <w:rFonts w:hint="default" w:ascii="Times New Roman" w:hAnsi="Times New Roman" w:eastAsia="楷体_GB2312" w:cs="Times New Roman"/>
                <w:color w:val="auto"/>
                <w:sz w:val="21"/>
                <w:szCs w:val="21"/>
                <w:highlight w:val="none"/>
                <w:lang w:val="en-US" w:eastAsia="zh-CN"/>
              </w:rPr>
              <w:t>4</w:t>
            </w:r>
            <w:r>
              <w:rPr>
                <w:rFonts w:hint="default" w:ascii="Times New Roman" w:hAnsi="Times New Roman" w:eastAsia="楷体_GB2312" w:cs="Times New Roman"/>
                <w:color w:val="auto"/>
                <w:sz w:val="21"/>
                <w:szCs w:val="21"/>
                <w:highlight w:val="none"/>
              </w:rPr>
              <w:t>0000</w:t>
            </w: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lang w:val="en-US" w:eastAsia="zh-CN"/>
              </w:rPr>
              <w:t>1套</w:t>
            </w:r>
            <w:r>
              <w:rPr>
                <w:rFonts w:hint="default" w:ascii="Times New Roman" w:hAnsi="Times New Roman" w:eastAsia="楷体_GB2312" w:cs="Times New Roman"/>
                <w:color w:val="auto"/>
                <w:sz w:val="21"/>
                <w:szCs w:val="21"/>
                <w:highlight w:val="none"/>
              </w:rPr>
              <w:t>水喷淋+干式过滤</w:t>
            </w:r>
            <w:r>
              <w:rPr>
                <w:rFonts w:hint="default" w:ascii="Times New Roman" w:hAnsi="Times New Roman" w:eastAsia="楷体_GB2312" w:cs="Times New Roman"/>
                <w:color w:val="auto"/>
                <w:sz w:val="21"/>
                <w:szCs w:val="21"/>
                <w:highlight w:val="none"/>
                <w:lang w:val="en-US" w:eastAsia="zh-CN"/>
              </w:rPr>
              <w:t>+分子筛转轮</w:t>
            </w:r>
            <w:r>
              <w:rPr>
                <w:rFonts w:hint="default" w:ascii="Times New Roman" w:hAnsi="Times New Roman" w:eastAsia="楷体_GB2312" w:cs="Times New Roman"/>
                <w:color w:val="auto"/>
                <w:sz w:val="21"/>
                <w:szCs w:val="21"/>
                <w:highlight w:val="none"/>
              </w:rPr>
              <w:t>吸附/脱附+催化氧化设施</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kern w:val="2"/>
                <w:sz w:val="21"/>
                <w:szCs w:val="21"/>
                <w:highlight w:val="none"/>
                <w:lang w:val="en-US" w:eastAsia="zh-CN" w:bidi="ar-SA"/>
              </w:rPr>
            </w:pPr>
            <w:r>
              <w:rPr>
                <w:rFonts w:hint="default" w:ascii="Times New Roman" w:hAnsi="Times New Roman" w:eastAsia="楷体_GB2312" w:cs="Times New Roman"/>
                <w:color w:val="auto"/>
                <w:sz w:val="21"/>
                <w:szCs w:val="21"/>
                <w:highlight w:val="none"/>
              </w:rPr>
              <w:t>50000</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pacing w:val="-6"/>
                <w:sz w:val="21"/>
                <w:szCs w:val="21"/>
                <w:highlight w:val="none"/>
              </w:rPr>
            </w:pPr>
            <w:r>
              <w:rPr>
                <w:rFonts w:hint="default" w:ascii="Times New Roman" w:hAnsi="Times New Roman" w:eastAsia="楷体_GB2312" w:cs="Times New Roman"/>
                <w:color w:val="auto"/>
                <w:spacing w:val="-6"/>
                <w:sz w:val="21"/>
                <w:szCs w:val="21"/>
                <w:highlight w:val="none"/>
              </w:rPr>
              <w:t>FQ-0001</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8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189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z w:val="21"/>
                <w:szCs w:val="21"/>
                <w:highlight w:val="none"/>
              </w:rPr>
            </w:pP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79" w:leftChars="-25" w:right="-79" w:rightChars="-25" w:firstLine="0" w:firstLineChars="0"/>
              <w:jc w:val="center"/>
              <w:textAlignment w:val="auto"/>
              <w:rPr>
                <w:rFonts w:hint="default" w:ascii="Times New Roman" w:hAnsi="Times New Roman" w:eastAsia="楷体_GB2312" w:cs="Times New Roman"/>
                <w:color w:val="auto"/>
                <w:spacing w:val="-6"/>
                <w:sz w:val="21"/>
                <w:szCs w:val="21"/>
                <w:highlight w:val="none"/>
              </w:rPr>
            </w:pP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r>
    </w:tbl>
    <w:p>
      <w:pPr>
        <w:spacing w:line="320" w:lineRule="exact"/>
        <w:ind w:firstLine="0" w:firstLineChars="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注：1</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建设内容应包括原有末端治理设施应用情况，以及所采取的末端治理设施提升措施。</w:t>
      </w:r>
    </w:p>
    <w:p>
      <w:pPr>
        <w:spacing w:before="292" w:beforeLines="50"/>
        <w:ind w:firstLine="632" w:firstLineChars="200"/>
        <w:rPr>
          <w:rFonts w:hint="default"/>
          <w:b/>
          <w:bCs/>
          <w:highlight w:val="none"/>
          <w:lang w:val="en-US" w:eastAsia="zh-CN"/>
        </w:rPr>
      </w:pPr>
      <w:r>
        <w:rPr>
          <w:rFonts w:hint="default"/>
          <w:b/>
          <w:bCs/>
          <w:highlight w:val="none"/>
          <w:lang w:val="en-US" w:eastAsia="zh-CN"/>
        </w:rPr>
        <w:t>3.4结构减排项目实施信息（根据实际情况选用）</w:t>
      </w:r>
    </w:p>
    <w:p>
      <w:pPr>
        <w:ind w:firstLine="632" w:firstLineChars="200"/>
        <w:rPr>
          <w:rFonts w:hint="default"/>
          <w:highlight w:val="none"/>
          <w:lang w:val="en-US" w:eastAsia="zh-CN"/>
        </w:rPr>
      </w:pPr>
      <w:r>
        <w:rPr>
          <w:rFonts w:hint="default"/>
          <w:highlight w:val="none"/>
          <w:lang w:val="en-US" w:eastAsia="zh-CN"/>
        </w:rPr>
        <w:t>结构减排包括生产工艺水平提升、清洁生产水平提升、部分生产线关停/替代等，应说明结构减排项目的具体项目名称、项目完成时间、工序/设备、建设内容（结构减排车间或生产线关闭情况、相关手续办理情况以及关闭前主要生产和产污情况）、减排车间或生产线对应的废气收集类型、废气治理设施等信息，参照以下示列填写表3-4，并附结构减排车间或生产线关闭前的废气收集类型、废气治理设施及关闭后车间或生产线现状照片。</w:t>
      </w:r>
    </w:p>
    <w:p>
      <w:pPr>
        <w:rPr>
          <w:rFonts w:hint="default"/>
          <w:highlight w:val="none"/>
          <w:lang w:val="en-US" w:eastAsia="zh-CN"/>
        </w:rPr>
      </w:pPr>
      <w:r>
        <w:rPr>
          <w:rFonts w:hint="default"/>
          <w:highlight w:val="none"/>
          <w:lang w:val="en-US" w:eastAsia="zh-CN"/>
        </w:rPr>
        <w:t>结构减排车间或生产线涉及物料的VOCs含量取值</w:t>
      </w:r>
      <w:r>
        <w:rPr>
          <w:rFonts w:hint="eastAsia"/>
          <w:highlight w:val="none"/>
          <w:lang w:val="en-US" w:eastAsia="zh-CN"/>
        </w:rPr>
        <w:t>佐证</w:t>
      </w:r>
      <w:r>
        <w:rPr>
          <w:rFonts w:hint="default"/>
          <w:highlight w:val="none"/>
          <w:lang w:val="en-US" w:eastAsia="zh-CN"/>
        </w:rPr>
        <w:t>、统计期内物料使用量统计台账、配套的废气治理设施的设计方案、结构减排车间或生产线关闭</w:t>
      </w:r>
      <w:r>
        <w:rPr>
          <w:rFonts w:hint="eastAsia"/>
          <w:highlight w:val="none"/>
          <w:lang w:val="en-US" w:eastAsia="zh-CN"/>
        </w:rPr>
        <w:t>佐证</w:t>
      </w:r>
      <w:r>
        <w:rPr>
          <w:rFonts w:hint="default"/>
          <w:highlight w:val="none"/>
          <w:lang w:val="en-US" w:eastAsia="zh-CN"/>
        </w:rPr>
        <w:t>等材料应在</w:t>
      </w:r>
      <w:r>
        <w:rPr>
          <w:rFonts w:hint="eastAsia" w:ascii="仿宋_GB2312" w:hAnsi="仿宋_GB2312" w:cs="仿宋_GB2312"/>
          <w:highlight w:val="none"/>
          <w:lang w:val="en-US" w:eastAsia="zh-CN"/>
        </w:rPr>
        <w:t>“</w:t>
      </w:r>
      <w:r>
        <w:rPr>
          <w:rFonts w:hint="default"/>
          <w:highlight w:val="none"/>
          <w:lang w:val="en-US" w:eastAsia="zh-CN"/>
        </w:rPr>
        <w:t>5、佐证材料</w:t>
      </w:r>
      <w:r>
        <w:rPr>
          <w:rFonts w:hint="eastAsia" w:ascii="仿宋_GB2312" w:hAnsi="仿宋_GB2312" w:cs="仿宋_GB2312"/>
          <w:highlight w:val="none"/>
          <w:lang w:val="en-US" w:eastAsia="zh-CN"/>
        </w:rPr>
        <w:t>”</w:t>
      </w:r>
      <w:r>
        <w:rPr>
          <w:rFonts w:hint="default"/>
          <w:highlight w:val="none"/>
          <w:lang w:val="en-US" w:eastAsia="zh-CN"/>
        </w:rPr>
        <w:t>进行列明。</w:t>
      </w:r>
    </w:p>
    <w:p>
      <w:pPr>
        <w:ind w:firstLine="0" w:firstLineChars="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表3-4 结构减排项目信息汇总表</w:t>
      </w:r>
    </w:p>
    <w:tbl>
      <w:tblPr>
        <w:tblStyle w:val="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37"/>
        <w:gridCol w:w="799"/>
        <w:gridCol w:w="1611"/>
        <w:gridCol w:w="1045"/>
        <w:gridCol w:w="839"/>
        <w:gridCol w:w="1199"/>
        <w:gridCol w:w="871"/>
        <w:gridCol w:w="877"/>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61" w:type="dxa"/>
            <w:noWrap w:val="0"/>
            <w:vAlign w:val="center"/>
          </w:tcPr>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治理项目名称</w:t>
            </w:r>
          </w:p>
        </w:tc>
        <w:tc>
          <w:tcPr>
            <w:tcW w:w="837" w:type="dxa"/>
            <w:noWrap w:val="0"/>
            <w:vAlign w:val="center"/>
          </w:tcPr>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完成</w:t>
            </w:r>
          </w:p>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时间</w:t>
            </w:r>
          </w:p>
        </w:tc>
        <w:tc>
          <w:tcPr>
            <w:tcW w:w="799"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b/>
                <w:bCs/>
                <w:color w:val="auto"/>
                <w:spacing w:val="-6"/>
                <w:kern w:val="0"/>
                <w:sz w:val="21"/>
                <w:szCs w:val="21"/>
                <w:highlight w:val="none"/>
                <w:lang w:val="en-US" w:eastAsia="zh-CN"/>
              </w:rPr>
            </w:pPr>
            <w:r>
              <w:rPr>
                <w:rFonts w:hint="default" w:ascii="Times New Roman" w:hAnsi="Times New Roman" w:eastAsia="楷体_GB2312" w:cs="Times New Roman"/>
                <w:b/>
                <w:bCs/>
                <w:color w:val="auto"/>
                <w:spacing w:val="-6"/>
                <w:kern w:val="0"/>
                <w:sz w:val="21"/>
                <w:szCs w:val="21"/>
                <w:highlight w:val="none"/>
                <w:lang w:val="en-US" w:eastAsia="zh-CN"/>
              </w:rPr>
              <w:t>减排车间或生产线</w:t>
            </w:r>
          </w:p>
        </w:tc>
        <w:tc>
          <w:tcPr>
            <w:tcW w:w="1611" w:type="dxa"/>
            <w:noWrap w:val="0"/>
            <w:vAlign w:val="center"/>
          </w:tcPr>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lang w:val="en-US" w:eastAsia="zh-CN"/>
              </w:rPr>
            </w:pPr>
            <w:r>
              <w:rPr>
                <w:rFonts w:hint="default" w:ascii="Times New Roman" w:hAnsi="Times New Roman" w:eastAsia="楷体_GB2312" w:cs="Times New Roman"/>
                <w:b/>
                <w:bCs/>
                <w:color w:val="auto"/>
                <w:kern w:val="0"/>
                <w:sz w:val="21"/>
                <w:szCs w:val="21"/>
                <w:highlight w:val="none"/>
                <w:lang w:val="en-US" w:eastAsia="zh-CN"/>
              </w:rPr>
              <w:t>建设内容</w:t>
            </w:r>
          </w:p>
        </w:tc>
        <w:tc>
          <w:tcPr>
            <w:tcW w:w="1045" w:type="dxa"/>
            <w:noWrap w:val="0"/>
            <w:vAlign w:val="center"/>
          </w:tcPr>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lang w:val="en-US" w:eastAsia="zh-CN"/>
              </w:rPr>
            </w:pPr>
            <w:r>
              <w:rPr>
                <w:rFonts w:hint="default" w:ascii="Times New Roman" w:hAnsi="Times New Roman" w:eastAsia="楷体_GB2312" w:cs="Times New Roman"/>
                <w:b/>
                <w:bCs/>
                <w:color w:val="auto"/>
                <w:kern w:val="0"/>
                <w:sz w:val="21"/>
                <w:szCs w:val="21"/>
                <w:highlight w:val="none"/>
                <w:lang w:val="en-US" w:eastAsia="zh-CN"/>
              </w:rPr>
              <w:t>减排车间或生产线使用的涉VOCs物料名称</w:t>
            </w:r>
            <w:r>
              <w:rPr>
                <w:rFonts w:hint="default" w:ascii="Times New Roman" w:hAnsi="Times New Roman" w:eastAsia="楷体_GB2312" w:cs="Times New Roman"/>
                <w:b/>
                <w:bCs/>
                <w:color w:val="auto"/>
                <w:kern w:val="0"/>
                <w:sz w:val="21"/>
                <w:szCs w:val="21"/>
                <w:highlight w:val="none"/>
                <w:vertAlign w:val="superscript"/>
                <w:lang w:val="en-US" w:eastAsia="zh-CN"/>
              </w:rPr>
              <w:t>1</w:t>
            </w:r>
          </w:p>
        </w:tc>
        <w:tc>
          <w:tcPr>
            <w:tcW w:w="839"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b/>
                <w:bCs/>
                <w:color w:val="auto"/>
                <w:spacing w:val="-6"/>
                <w:kern w:val="0"/>
                <w:sz w:val="21"/>
                <w:szCs w:val="21"/>
                <w:highlight w:val="none"/>
                <w:lang w:val="en-US" w:eastAsia="zh-CN"/>
              </w:rPr>
            </w:pPr>
            <w:r>
              <w:rPr>
                <w:rFonts w:hint="default" w:ascii="Times New Roman" w:hAnsi="Times New Roman" w:eastAsia="楷体_GB2312" w:cs="Times New Roman"/>
                <w:b/>
                <w:bCs/>
                <w:color w:val="auto"/>
                <w:spacing w:val="-11"/>
                <w:sz w:val="21"/>
                <w:szCs w:val="21"/>
                <w:highlight w:val="none"/>
                <w:lang w:val="en-US" w:eastAsia="zh-CN"/>
              </w:rPr>
              <w:t>物料的VOCs</w:t>
            </w:r>
            <w:r>
              <w:rPr>
                <w:rFonts w:hint="default" w:ascii="Times New Roman" w:hAnsi="Times New Roman" w:eastAsia="楷体_GB2312" w:cs="Times New Roman"/>
                <w:b/>
                <w:bCs/>
                <w:color w:val="auto"/>
                <w:spacing w:val="-11"/>
                <w:sz w:val="21"/>
                <w:szCs w:val="21"/>
                <w:highlight w:val="none"/>
              </w:rPr>
              <w:t>含量</w:t>
            </w:r>
            <w:r>
              <w:rPr>
                <w:rFonts w:hint="default" w:ascii="Times New Roman" w:hAnsi="Times New Roman" w:eastAsia="楷体_GB2312" w:cs="Times New Roman"/>
                <w:b/>
                <w:bCs/>
                <w:color w:val="auto"/>
                <w:spacing w:val="-11"/>
                <w:sz w:val="21"/>
                <w:szCs w:val="21"/>
                <w:highlight w:val="none"/>
                <w:lang w:eastAsia="zh-CN"/>
              </w:rPr>
              <w:t>（</w:t>
            </w:r>
            <w:r>
              <w:rPr>
                <w:rFonts w:hint="default" w:ascii="Times New Roman" w:hAnsi="Times New Roman" w:eastAsia="楷体_GB2312" w:cs="Times New Roman"/>
                <w:b/>
                <w:bCs/>
                <w:color w:val="auto"/>
                <w:spacing w:val="-11"/>
                <w:sz w:val="21"/>
                <w:szCs w:val="21"/>
                <w:highlight w:val="none"/>
                <w:lang w:val="en-US" w:eastAsia="zh-CN"/>
              </w:rPr>
              <w:t>%</w:t>
            </w:r>
            <w:r>
              <w:rPr>
                <w:rFonts w:hint="default" w:ascii="Times New Roman" w:hAnsi="Times New Roman" w:eastAsia="楷体_GB2312" w:cs="Times New Roman"/>
                <w:b/>
                <w:bCs/>
                <w:color w:val="auto"/>
                <w:spacing w:val="-11"/>
                <w:sz w:val="21"/>
                <w:szCs w:val="21"/>
                <w:highlight w:val="none"/>
                <w:lang w:eastAsia="zh-CN"/>
              </w:rPr>
              <w:t>）</w:t>
            </w:r>
            <w:r>
              <w:rPr>
                <w:rFonts w:hint="default" w:ascii="Times New Roman" w:hAnsi="Times New Roman" w:eastAsia="楷体_GB2312" w:cs="Times New Roman"/>
                <w:b/>
                <w:bCs/>
                <w:color w:val="auto"/>
                <w:spacing w:val="-11"/>
                <w:sz w:val="21"/>
                <w:szCs w:val="21"/>
                <w:highlight w:val="none"/>
                <w:vertAlign w:val="superscript"/>
                <w:lang w:val="en-US" w:eastAsia="zh-CN"/>
              </w:rPr>
              <w:t>2</w:t>
            </w:r>
          </w:p>
        </w:tc>
        <w:tc>
          <w:tcPr>
            <w:tcW w:w="1199"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b/>
                <w:bCs/>
                <w:color w:val="auto"/>
                <w:spacing w:val="-6"/>
                <w:kern w:val="0"/>
                <w:sz w:val="21"/>
                <w:szCs w:val="21"/>
                <w:highlight w:val="none"/>
                <w:lang w:val="en-US" w:eastAsia="zh-CN"/>
              </w:rPr>
            </w:pPr>
            <w:r>
              <w:rPr>
                <w:rFonts w:hint="default" w:ascii="Times New Roman" w:hAnsi="Times New Roman" w:eastAsia="楷体_GB2312" w:cs="Times New Roman"/>
                <w:b/>
                <w:bCs/>
                <w:color w:val="auto"/>
                <w:spacing w:val="-6"/>
                <w:kern w:val="0"/>
                <w:sz w:val="21"/>
                <w:szCs w:val="21"/>
                <w:highlight w:val="none"/>
                <w:lang w:val="en-US" w:eastAsia="zh-CN"/>
              </w:rPr>
              <w:t>统计期内减排车间或生产线涉VOCs物料使用量（吨）</w:t>
            </w:r>
            <w:r>
              <w:rPr>
                <w:rFonts w:hint="default" w:ascii="Times New Roman" w:hAnsi="Times New Roman" w:eastAsia="楷体_GB2312" w:cs="Times New Roman"/>
                <w:b/>
                <w:bCs/>
                <w:color w:val="auto"/>
                <w:spacing w:val="-6"/>
                <w:kern w:val="0"/>
                <w:sz w:val="21"/>
                <w:szCs w:val="21"/>
                <w:highlight w:val="none"/>
                <w:vertAlign w:val="superscript"/>
                <w:lang w:val="en-US" w:eastAsia="zh-CN"/>
              </w:rPr>
              <w:t>3</w:t>
            </w:r>
          </w:p>
        </w:tc>
        <w:tc>
          <w:tcPr>
            <w:tcW w:w="871"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b/>
                <w:bCs/>
                <w:color w:val="auto"/>
                <w:spacing w:val="-6"/>
                <w:kern w:val="0"/>
                <w:sz w:val="21"/>
                <w:szCs w:val="21"/>
                <w:highlight w:val="none"/>
                <w:lang w:val="en-US" w:eastAsia="zh-CN"/>
              </w:rPr>
            </w:pPr>
            <w:r>
              <w:rPr>
                <w:rFonts w:hint="default" w:ascii="Times New Roman" w:hAnsi="Times New Roman" w:eastAsia="楷体_GB2312" w:cs="Times New Roman"/>
                <w:b/>
                <w:bCs/>
                <w:color w:val="auto"/>
                <w:spacing w:val="-6"/>
                <w:kern w:val="0"/>
                <w:sz w:val="21"/>
                <w:szCs w:val="21"/>
                <w:highlight w:val="none"/>
                <w:lang w:val="en-US" w:eastAsia="zh-CN"/>
              </w:rPr>
              <w:t>减排车间或生产线对应的废气收集类型</w:t>
            </w:r>
            <w:r>
              <w:rPr>
                <w:rFonts w:hint="default" w:ascii="Times New Roman" w:hAnsi="Times New Roman" w:eastAsia="楷体_GB2312" w:cs="Times New Roman"/>
                <w:b/>
                <w:bCs/>
                <w:color w:val="auto"/>
                <w:spacing w:val="-6"/>
                <w:kern w:val="0"/>
                <w:sz w:val="21"/>
                <w:szCs w:val="21"/>
                <w:highlight w:val="none"/>
                <w:vertAlign w:val="superscript"/>
                <w:lang w:val="en-US" w:eastAsia="zh-CN"/>
              </w:rPr>
              <w:t>4</w:t>
            </w:r>
          </w:p>
        </w:tc>
        <w:tc>
          <w:tcPr>
            <w:tcW w:w="877"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b/>
                <w:bCs/>
                <w:color w:val="auto"/>
                <w:spacing w:val="-6"/>
                <w:kern w:val="0"/>
                <w:sz w:val="21"/>
                <w:szCs w:val="21"/>
                <w:highlight w:val="none"/>
                <w:lang w:val="en-US" w:eastAsia="zh-CN"/>
              </w:rPr>
            </w:pPr>
            <w:r>
              <w:rPr>
                <w:rFonts w:hint="default" w:ascii="Times New Roman" w:hAnsi="Times New Roman" w:eastAsia="楷体_GB2312" w:cs="Times New Roman"/>
                <w:b/>
                <w:bCs/>
                <w:color w:val="auto"/>
                <w:spacing w:val="-6"/>
                <w:kern w:val="0"/>
                <w:sz w:val="21"/>
                <w:szCs w:val="21"/>
                <w:highlight w:val="none"/>
              </w:rPr>
              <w:t>减排车间或生产线对应的废气</w:t>
            </w:r>
            <w:r>
              <w:rPr>
                <w:rFonts w:hint="default" w:ascii="Times New Roman" w:hAnsi="Times New Roman" w:eastAsia="楷体_GB2312" w:cs="Times New Roman"/>
                <w:b/>
                <w:bCs/>
                <w:color w:val="auto"/>
                <w:spacing w:val="-6"/>
                <w:kern w:val="0"/>
                <w:sz w:val="21"/>
                <w:szCs w:val="21"/>
                <w:highlight w:val="none"/>
                <w:lang w:val="en-US" w:eastAsia="zh-CN"/>
              </w:rPr>
              <w:t>治理设施</w:t>
            </w:r>
          </w:p>
        </w:tc>
        <w:tc>
          <w:tcPr>
            <w:tcW w:w="1044" w:type="dxa"/>
            <w:noWrap w:val="0"/>
            <w:vAlign w:val="center"/>
          </w:tcPr>
          <w:p>
            <w:pPr>
              <w:spacing w:line="28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治理设施处理风量（m</w:t>
            </w:r>
            <w:r>
              <w:rPr>
                <w:rFonts w:hint="default" w:ascii="Times New Roman" w:hAnsi="Times New Roman" w:eastAsia="楷体_GB2312" w:cs="Times New Roman"/>
                <w:b/>
                <w:bCs/>
                <w:color w:val="auto"/>
                <w:kern w:val="0"/>
                <w:sz w:val="21"/>
                <w:szCs w:val="21"/>
                <w:highlight w:val="none"/>
                <w:vertAlign w:val="superscript"/>
              </w:rPr>
              <w:t>3</w:t>
            </w:r>
            <w:r>
              <w:rPr>
                <w:rFonts w:hint="default" w:ascii="Times New Roman" w:hAnsi="Times New Roman" w:eastAsia="楷体_GB2312" w:cs="Times New Roman"/>
                <w:b/>
                <w:bCs/>
                <w:color w:val="auto"/>
                <w:kern w:val="0"/>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1"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涂装车间关停</w:t>
            </w:r>
          </w:p>
        </w:tc>
        <w:tc>
          <w:tcPr>
            <w:tcW w:w="837" w:type="dxa"/>
            <w:noWrap w:val="0"/>
            <w:vAlign w:val="center"/>
          </w:tcPr>
          <w:p>
            <w:pPr>
              <w:spacing w:line="280" w:lineRule="exact"/>
              <w:ind w:left="-79" w:leftChars="-25" w:right="-79"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202</w:t>
            </w:r>
            <w:r>
              <w:rPr>
                <w:rFonts w:hint="default" w:ascii="Times New Roman" w:hAnsi="Times New Roman" w:eastAsia="楷体_GB2312" w:cs="Times New Roman"/>
                <w:color w:val="auto"/>
                <w:kern w:val="0"/>
                <w:sz w:val="21"/>
                <w:szCs w:val="21"/>
                <w:highlight w:val="none"/>
                <w:lang w:val="en-US" w:eastAsia="zh-CN"/>
              </w:rPr>
              <w:t>3</w:t>
            </w:r>
            <w:r>
              <w:rPr>
                <w:rFonts w:hint="default" w:ascii="Times New Roman" w:hAnsi="Times New Roman" w:eastAsia="楷体_GB2312" w:cs="Times New Roman"/>
                <w:color w:val="auto"/>
                <w:kern w:val="0"/>
                <w:sz w:val="21"/>
                <w:szCs w:val="21"/>
                <w:highlight w:val="none"/>
              </w:rPr>
              <w:t>年</w:t>
            </w:r>
          </w:p>
          <w:p>
            <w:pPr>
              <w:spacing w:line="280" w:lineRule="exact"/>
              <w:ind w:left="-79" w:leftChars="-25" w:right="-79"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lang w:val="en-US" w:eastAsia="zh-CN"/>
              </w:rPr>
              <w:t>2</w:t>
            </w:r>
            <w:r>
              <w:rPr>
                <w:rFonts w:hint="default" w:ascii="Times New Roman" w:hAnsi="Times New Roman" w:eastAsia="楷体_GB2312" w:cs="Times New Roman"/>
                <w:color w:val="auto"/>
                <w:kern w:val="0"/>
                <w:sz w:val="21"/>
                <w:szCs w:val="21"/>
                <w:highlight w:val="none"/>
              </w:rPr>
              <w:t>月</w:t>
            </w:r>
          </w:p>
        </w:tc>
        <w:tc>
          <w:tcPr>
            <w:tcW w:w="799"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涂装车间</w:t>
            </w:r>
          </w:p>
        </w:tc>
        <w:tc>
          <w:tcPr>
            <w:tcW w:w="1611"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spacing w:val="-6"/>
                <w:kern w:val="0"/>
                <w:sz w:val="21"/>
                <w:szCs w:val="21"/>
                <w:highlight w:val="none"/>
                <w:lang w:val="en-US" w:eastAsia="zh-CN"/>
              </w:rPr>
              <w:t>涂装车间已关闭，不再具备生产能力，已办理排污许可变更手续。原涂装车间采用丙烯酸油漆对工件进行喷涂，主要涉VOCs工序为调漆、喷涂及烘干。</w:t>
            </w:r>
          </w:p>
        </w:tc>
        <w:tc>
          <w:tcPr>
            <w:tcW w:w="1045"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丙烯酸油漆</w:t>
            </w:r>
          </w:p>
        </w:tc>
        <w:tc>
          <w:tcPr>
            <w:tcW w:w="839"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40%</w:t>
            </w:r>
          </w:p>
        </w:tc>
        <w:tc>
          <w:tcPr>
            <w:tcW w:w="1199"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20</w:t>
            </w:r>
          </w:p>
        </w:tc>
        <w:tc>
          <w:tcPr>
            <w:tcW w:w="871"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单层密闭正压</w:t>
            </w:r>
          </w:p>
        </w:tc>
        <w:tc>
          <w:tcPr>
            <w:tcW w:w="877"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水喷淋+活性炭吸附</w:t>
            </w:r>
          </w:p>
        </w:tc>
        <w:tc>
          <w:tcPr>
            <w:tcW w:w="1044" w:type="dxa"/>
            <w:noWrap w:val="0"/>
            <w:vAlign w:val="center"/>
          </w:tcPr>
          <w:p>
            <w:pPr>
              <w:spacing w:line="280" w:lineRule="exact"/>
              <w:ind w:firstLine="0" w:firstLineChars="0"/>
              <w:jc w:val="center"/>
              <w:rPr>
                <w:rFonts w:hint="default" w:ascii="Times New Roman" w:hAnsi="Times New Roman" w:eastAsia="楷体_GB2312" w:cs="Times New Roman"/>
                <w:color w:val="auto"/>
                <w:kern w:val="0"/>
                <w:sz w:val="21"/>
                <w:szCs w:val="21"/>
                <w:highlight w:val="none"/>
                <w:lang w:val="en-US" w:eastAsia="zh-CN"/>
              </w:rPr>
            </w:pPr>
            <w:r>
              <w:rPr>
                <w:rFonts w:hint="default" w:ascii="Times New Roman" w:hAnsi="Times New Roman" w:eastAsia="楷体_GB2312" w:cs="Times New Roman"/>
                <w:color w:val="auto"/>
                <w:kern w:val="0"/>
                <w:sz w:val="21"/>
                <w:szCs w:val="21"/>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1"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w:t>
            </w:r>
          </w:p>
        </w:tc>
        <w:tc>
          <w:tcPr>
            <w:tcW w:w="837"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799"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611"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45"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839"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99"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871"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877"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44" w:type="dxa"/>
            <w:noWrap w:val="0"/>
            <w:vAlign w:val="center"/>
          </w:tcPr>
          <w:p>
            <w:pPr>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r>
    </w:tbl>
    <w:p>
      <w:pPr>
        <w:pStyle w:val="2"/>
        <w:spacing w:after="0" w:line="300" w:lineRule="exact"/>
        <w:ind w:firstLine="0" w:firstLineChars="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注：1</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若使用多种涉VOCs物料的，请分行填写。</w:t>
      </w:r>
    </w:p>
    <w:p>
      <w:pPr>
        <w:pStyle w:val="2"/>
        <w:spacing w:after="0" w:line="300" w:lineRule="exact"/>
        <w:ind w:firstLine="412" w:firstLineChars="20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2</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涉VOCs物料的VOCs含量取值按照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sz w:val="21"/>
          <w:szCs w:val="21"/>
          <w:highlight w:val="none"/>
          <w:lang w:val="en-US" w:eastAsia="zh-CN"/>
        </w:rPr>
        <w:t>中“</w:t>
      </w:r>
      <w:r>
        <w:rPr>
          <w:rFonts w:hint="default" w:ascii="Times New Roman" w:hAnsi="Times New Roman" w:eastAsia="楷体_GB2312" w:cs="Times New Roman"/>
          <w:sz w:val="21"/>
          <w:szCs w:val="21"/>
          <w:highlight w:val="none"/>
          <w:lang w:val="en-US" w:eastAsia="zh-CN"/>
        </w:rPr>
        <w:t>4.3.1 物料衡算</w:t>
      </w:r>
      <w:r>
        <w:rPr>
          <w:rFonts w:hint="eastAsia" w:ascii="楷体_GB2312" w:hAnsi="楷体_GB2312" w:eastAsia="楷体_GB2312" w:cs="楷体_GB2312"/>
          <w:sz w:val="21"/>
          <w:szCs w:val="21"/>
          <w:highlight w:val="none"/>
          <w:lang w:val="en-US" w:eastAsia="zh-CN"/>
        </w:rPr>
        <w:t>法”中</w:t>
      </w:r>
      <w:r>
        <w:rPr>
          <w:rFonts w:hint="default" w:ascii="Times New Roman" w:hAnsi="Times New Roman" w:eastAsia="楷体_GB2312" w:cs="Times New Roman"/>
          <w:sz w:val="21"/>
          <w:szCs w:val="21"/>
          <w:highlight w:val="none"/>
          <w:lang w:val="en-US" w:eastAsia="zh-CN"/>
        </w:rPr>
        <w:t>相关要求执行。</w:t>
      </w:r>
    </w:p>
    <w:p>
      <w:pPr>
        <w:pStyle w:val="2"/>
        <w:spacing w:after="0" w:line="300" w:lineRule="exact"/>
        <w:ind w:firstLine="412" w:firstLineChars="20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3</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涉VOCs物料使用量根据</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default" w:ascii="Times New Roman" w:hAnsi="Times New Roman" w:eastAsia="楷体_GB2312" w:cs="Times New Roman"/>
          <w:sz w:val="21"/>
          <w:szCs w:val="21"/>
          <w:highlight w:val="none"/>
          <w:lang w:val="en-US" w:eastAsia="zh-CN"/>
        </w:rPr>
        <w:t>中有关基准期排放量的相关规定进行统计。</w:t>
      </w:r>
    </w:p>
    <w:p>
      <w:pPr>
        <w:pStyle w:val="2"/>
        <w:spacing w:after="0" w:line="300" w:lineRule="exact"/>
        <w:ind w:firstLine="412" w:firstLineChars="200"/>
        <w:rPr>
          <w:rFonts w:hint="default" w:ascii="Times New Roman" w:hAnsi="Times New Roman" w:eastAsia="楷体_GB2312" w:cs="Times New Roman"/>
          <w:sz w:val="21"/>
          <w:szCs w:val="21"/>
          <w:highlight w:val="none"/>
          <w:lang w:val="en-US" w:eastAsia="zh-CN"/>
        </w:rPr>
      </w:pPr>
      <w:r>
        <w:rPr>
          <w:rFonts w:hint="default" w:ascii="Times New Roman" w:hAnsi="Times New Roman" w:eastAsia="楷体_GB2312" w:cs="Times New Roman"/>
          <w:sz w:val="21"/>
          <w:szCs w:val="21"/>
          <w:highlight w:val="none"/>
          <w:lang w:val="en-US" w:eastAsia="zh-CN"/>
        </w:rPr>
        <w:t>4</w:t>
      </w:r>
      <w:r>
        <w:rPr>
          <w:rFonts w:hint="eastAsia" w:ascii="仿宋_GB2312" w:hAnsi="仿宋_GB2312" w:eastAsia="仿宋_GB2312" w:cs="仿宋_GB2312"/>
          <w:sz w:val="21"/>
          <w:szCs w:val="21"/>
          <w:highlight w:val="none"/>
          <w:lang w:val="en-US" w:eastAsia="zh-CN"/>
        </w:rPr>
        <w:t>．</w:t>
      </w:r>
      <w:r>
        <w:rPr>
          <w:rFonts w:hint="default" w:ascii="Times New Roman" w:hAnsi="Times New Roman" w:eastAsia="楷体_GB2312" w:cs="Times New Roman"/>
          <w:sz w:val="21"/>
          <w:szCs w:val="21"/>
          <w:highlight w:val="none"/>
          <w:lang w:val="en-US" w:eastAsia="zh-CN"/>
        </w:rPr>
        <w:t>废气收集类型请对照</w:t>
      </w:r>
      <w:r>
        <w:rPr>
          <w:rFonts w:hint="eastAsia" w:ascii="楷体_GB2312" w:hAnsi="楷体_GB2312" w:eastAsia="楷体_GB2312" w:cs="楷体_GB2312"/>
          <w:b w:val="0"/>
          <w:bCs w:val="0"/>
          <w:color w:val="auto"/>
          <w:sz w:val="21"/>
          <w:szCs w:val="21"/>
          <w:highlight w:val="none"/>
        </w:rPr>
        <w:t>《广东省生态环境厅关于印发工业源挥发性有机物和氮氧化物减排量核算方法的通知》（粤环函〔2023〕538号）的</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广东省工业源挥发性有机物减排量核算方法（2023年修订版）</w:t>
      </w:r>
      <w:r>
        <w:rPr>
          <w:rFonts w:hint="eastAsia" w:ascii="楷体_GB2312" w:hAnsi="楷体_GB2312" w:eastAsia="楷体_GB2312" w:cs="楷体_GB2312"/>
          <w:b w:val="0"/>
          <w:bCs w:val="0"/>
          <w:color w:val="auto"/>
          <w:sz w:val="21"/>
          <w:szCs w:val="21"/>
          <w:highlight w:val="none"/>
          <w:lang w:eastAsia="zh-CN"/>
        </w:rPr>
        <w:t>”</w:t>
      </w:r>
      <w:r>
        <w:rPr>
          <w:rFonts w:hint="eastAsia" w:ascii="楷体_GB2312" w:hAnsi="楷体_GB2312" w:eastAsia="楷体_GB2312" w:cs="楷体_GB2312"/>
          <w:sz w:val="21"/>
          <w:szCs w:val="21"/>
          <w:highlight w:val="none"/>
          <w:lang w:val="en-US" w:eastAsia="zh-CN"/>
        </w:rPr>
        <w:t>“表</w:t>
      </w:r>
      <w:r>
        <w:rPr>
          <w:rFonts w:hint="default" w:ascii="Times New Roman" w:hAnsi="Times New Roman" w:eastAsia="楷体_GB2312" w:cs="Times New Roman"/>
          <w:sz w:val="21"/>
          <w:szCs w:val="21"/>
          <w:highlight w:val="none"/>
          <w:lang w:val="en-US" w:eastAsia="zh-CN"/>
        </w:rPr>
        <w:t>4.3-1 废气收集集气效率参考值</w:t>
      </w:r>
      <w:r>
        <w:rPr>
          <w:rFonts w:hint="eastAsia" w:ascii="楷体_GB2312" w:hAnsi="楷体_GB2312" w:eastAsia="楷体_GB2312" w:cs="楷体_GB2312"/>
          <w:sz w:val="21"/>
          <w:szCs w:val="21"/>
          <w:highlight w:val="none"/>
          <w:lang w:val="en-US" w:eastAsia="zh-CN"/>
        </w:rPr>
        <w:t>”中</w:t>
      </w:r>
      <w:r>
        <w:rPr>
          <w:rFonts w:hint="default" w:ascii="Times New Roman" w:hAnsi="Times New Roman" w:eastAsia="楷体_GB2312" w:cs="Times New Roman"/>
          <w:sz w:val="21"/>
          <w:szCs w:val="21"/>
          <w:highlight w:val="none"/>
          <w:lang w:val="en-US" w:eastAsia="zh-CN"/>
        </w:rPr>
        <w:t>相关表述进行填写。</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四</w:t>
      </w:r>
      <w:r>
        <w:rPr>
          <w:rFonts w:hint="eastAsia" w:ascii="黑体" w:hAnsi="黑体" w:eastAsia="黑体" w:cs="黑体"/>
          <w:color w:val="auto"/>
          <w:highlight w:val="none"/>
        </w:rPr>
        <w:t>、企业治理项目减排量核算信息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b/>
          <w:bCs/>
          <w:color w:val="auto"/>
          <w:highlight w:val="none"/>
        </w:rPr>
      </w:pPr>
      <w:r>
        <w:rPr>
          <w:rFonts w:hint="eastAsia"/>
          <w:b/>
          <w:bCs/>
          <w:color w:val="auto"/>
          <w:highlight w:val="none"/>
          <w:lang w:val="en-US" w:eastAsia="zh-CN"/>
        </w:rPr>
        <w:t>4</w:t>
      </w:r>
      <w:r>
        <w:rPr>
          <w:rFonts w:hint="eastAsia"/>
          <w:b/>
          <w:bCs/>
          <w:color w:val="auto"/>
          <w:highlight w:val="none"/>
        </w:rPr>
        <w:t>.1 减排量核算过程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rPr>
        <w:t>按照</w:t>
      </w:r>
      <w:r>
        <w:rPr>
          <w:rFonts w:hint="eastAsia" w:ascii="Times New Roman" w:hAnsi="Times New Roman" w:eastAsia="仿宋_GB2312" w:cs="Times New Roman"/>
          <w:b w:val="0"/>
          <w:bCs w:val="0"/>
          <w:color w:val="auto"/>
          <w:sz w:val="32"/>
          <w:szCs w:val="22"/>
          <w:highlight w:val="none"/>
        </w:rPr>
        <w:t>《广东省生态环境厅关于印发工业源挥发性有机物和氮氧化物减排量核算方法的通知》（粤环函〔2023〕538号）的</w:t>
      </w:r>
      <w:r>
        <w:rPr>
          <w:rFonts w:hint="eastAsia" w:ascii="Times New Roman" w:hAnsi="Times New Roman" w:eastAsia="仿宋_GB2312" w:cs="Times New Roman"/>
          <w:b w:val="0"/>
          <w:bCs w:val="0"/>
          <w:color w:val="auto"/>
          <w:sz w:val="32"/>
          <w:szCs w:val="22"/>
          <w:highlight w:val="none"/>
          <w:lang w:eastAsia="zh-CN"/>
        </w:rPr>
        <w:t>“</w:t>
      </w:r>
      <w:r>
        <w:rPr>
          <w:rFonts w:hint="eastAsia" w:ascii="Times New Roman" w:hAnsi="Times New Roman" w:eastAsia="仿宋_GB2312" w:cs="Times New Roman"/>
          <w:color w:val="auto"/>
          <w:sz w:val="32"/>
          <w:szCs w:val="22"/>
          <w:highlight w:val="none"/>
        </w:rPr>
        <w:t>广东省工业源挥发性有机物减排量核算方法（2023年修订版）</w:t>
      </w:r>
      <w:r>
        <w:rPr>
          <w:rFonts w:hint="eastAsia" w:ascii="Times New Roman" w:hAnsi="Times New Roman" w:eastAsia="仿宋_GB2312" w:cs="Times New Roman"/>
          <w:b w:val="0"/>
          <w:bCs w:val="0"/>
          <w:color w:val="auto"/>
          <w:sz w:val="32"/>
          <w:szCs w:val="22"/>
          <w:highlight w:val="none"/>
          <w:lang w:eastAsia="zh-CN"/>
        </w:rPr>
        <w:t>”</w:t>
      </w:r>
      <w:r>
        <w:rPr>
          <w:rFonts w:hint="eastAsia"/>
          <w:color w:val="auto"/>
          <w:highlight w:val="none"/>
        </w:rPr>
        <w:t>要求，分别对源头替代项目、过程控制项目和末端治理项目治理后所形成的VOCs减排量进行核算。减排量核算过程信息应包含包括但不限于以下内容：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核算周期（基准期和减排期）选取时间范围；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核算周期（基准期和减排期）内对应工序的</w:t>
      </w:r>
      <w:r>
        <w:rPr>
          <w:rFonts w:hint="eastAsia"/>
          <w:color w:val="auto"/>
          <w:highlight w:val="none"/>
          <w:lang w:val="en-US" w:eastAsia="zh-CN"/>
        </w:rPr>
        <w:t>具体</w:t>
      </w:r>
      <w:r>
        <w:rPr>
          <w:rFonts w:hint="eastAsia"/>
          <w:color w:val="auto"/>
          <w:highlight w:val="none"/>
        </w:rPr>
        <w:t>活动</w:t>
      </w:r>
      <w:r>
        <w:rPr>
          <w:rFonts w:hint="eastAsia"/>
          <w:color w:val="auto"/>
          <w:highlight w:val="none"/>
          <w:lang w:val="en-US" w:eastAsia="zh-CN"/>
        </w:rPr>
        <w:t>水平</w:t>
      </w:r>
      <w:r>
        <w:rPr>
          <w:rFonts w:hint="eastAsia"/>
          <w:color w:val="auto"/>
          <w:highlight w:val="none"/>
        </w:rPr>
        <w:t>数据</w:t>
      </w:r>
      <w:r>
        <w:rPr>
          <w:rFonts w:hint="eastAsia"/>
          <w:color w:val="auto"/>
          <w:highlight w:val="none"/>
          <w:lang w:val="en-US" w:eastAsia="zh-CN"/>
        </w:rPr>
        <w:t>及生产负荷水平</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基准期和减排</w:t>
      </w:r>
      <w:r>
        <w:rPr>
          <w:rFonts w:hint="eastAsia"/>
          <w:color w:val="auto"/>
          <w:highlight w:val="none"/>
          <w:lang w:val="en-US" w:eastAsia="zh-CN"/>
        </w:rPr>
        <w:t>期VOCs产生量、排放量及减排量</w:t>
      </w:r>
      <w:r>
        <w:rPr>
          <w:rFonts w:hint="eastAsia"/>
          <w:color w:val="auto"/>
          <w:highlight w:val="none"/>
        </w:rPr>
        <w:t>计算参数的来源和选取</w:t>
      </w:r>
      <w:r>
        <w:rPr>
          <w:rFonts w:hint="eastAsia"/>
          <w:color w:val="auto"/>
          <w:highlight w:val="none"/>
          <w:lang w:val="en-US" w:eastAsia="zh-CN"/>
        </w:rPr>
        <w:t>依据</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治理项目实施前后，末端治理设施进、出口VOCs</w:t>
      </w:r>
      <w:r>
        <w:rPr>
          <w:rFonts w:hint="eastAsia"/>
          <w:color w:val="auto"/>
          <w:highlight w:val="none"/>
          <w:lang w:val="en-US" w:eastAsia="zh-CN"/>
        </w:rPr>
        <w:t>监测数据</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auto"/>
          <w:highlight w:val="none"/>
        </w:rPr>
      </w:pPr>
      <w:r>
        <w:rPr>
          <w:rFonts w:hint="eastAsia"/>
          <w:color w:val="auto"/>
          <w:highlight w:val="none"/>
          <w:lang w:val="en-US" w:eastAsia="zh-CN"/>
        </w:rPr>
        <w:t>（5）完整的</w:t>
      </w:r>
      <w:r>
        <w:rPr>
          <w:rFonts w:hint="eastAsia"/>
          <w:color w:val="auto"/>
          <w:highlight w:val="none"/>
        </w:rPr>
        <w:t>基准期和减排</w:t>
      </w:r>
      <w:r>
        <w:rPr>
          <w:rFonts w:hint="eastAsia"/>
          <w:color w:val="auto"/>
          <w:highlight w:val="none"/>
          <w:lang w:val="en-US" w:eastAsia="zh-CN"/>
        </w:rPr>
        <w:t>期VOCs产生量、排放量及减排量</w:t>
      </w:r>
      <w:r>
        <w:rPr>
          <w:rFonts w:hint="eastAsia"/>
          <w:color w:val="auto"/>
          <w:highlight w:val="none"/>
        </w:rPr>
        <w:t>计算过程。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b/>
          <w:bCs/>
          <w:color w:val="auto"/>
          <w:highlight w:val="none"/>
        </w:rPr>
      </w:pPr>
      <w:r>
        <w:rPr>
          <w:rFonts w:hint="eastAsia"/>
          <w:b/>
          <w:bCs/>
          <w:color w:val="auto"/>
          <w:highlight w:val="none"/>
          <w:lang w:val="en-US" w:eastAsia="zh-CN"/>
        </w:rPr>
        <w:t>4</w:t>
      </w:r>
      <w:r>
        <w:rPr>
          <w:rFonts w:hint="eastAsia"/>
          <w:b/>
          <w:bCs/>
          <w:color w:val="auto"/>
          <w:highlight w:val="none"/>
        </w:rPr>
        <w:t>.2减排量数据汇总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highlight w:val="none"/>
        </w:rPr>
      </w:pPr>
      <w:r>
        <w:rPr>
          <w:rFonts w:hint="eastAsia"/>
          <w:color w:val="auto"/>
          <w:highlight w:val="none"/>
        </w:rPr>
        <w:t>完成治理项目</w:t>
      </w:r>
      <w:r>
        <w:rPr>
          <w:rFonts w:hint="eastAsia"/>
          <w:color w:val="auto"/>
          <w:highlight w:val="none"/>
          <w:lang w:val="en-US" w:eastAsia="zh-CN"/>
        </w:rPr>
        <w:t>VOCs</w:t>
      </w:r>
      <w:r>
        <w:rPr>
          <w:rFonts w:hint="eastAsia"/>
          <w:color w:val="auto"/>
          <w:highlight w:val="none"/>
        </w:rPr>
        <w:t>减排量核算后，分别将源头替代项目、过程控制项目和末端治理项目治理后所形成的VOCs减排量汇总后填写值表</w:t>
      </w:r>
      <w:r>
        <w:rPr>
          <w:rFonts w:hint="eastAsia"/>
          <w:color w:val="auto"/>
          <w:highlight w:val="none"/>
          <w:lang w:val="en-US" w:eastAsia="zh-CN"/>
        </w:rPr>
        <w:t>4</w:t>
      </w:r>
      <w:r>
        <w:rPr>
          <w:rFonts w:hint="eastAsia"/>
          <w:color w:val="auto"/>
          <w:highlight w:val="none"/>
        </w:rPr>
        <w:t>-1。</w:t>
      </w:r>
    </w:p>
    <w:p>
      <w:pPr>
        <w:bidi w:val="0"/>
        <w:ind w:left="0" w:leftChars="0" w:firstLine="0" w:firstLineChars="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表</w:t>
      </w:r>
      <w:r>
        <w:rPr>
          <w:rFonts w:hint="eastAsia" w:ascii="Times New Roman" w:hAnsi="Times New Roman" w:eastAsia="黑体" w:cs="Times New Roman"/>
          <w:color w:val="auto"/>
          <w:sz w:val="28"/>
          <w:szCs w:val="28"/>
          <w:highlight w:val="none"/>
          <w:lang w:val="en-US" w:eastAsia="zh-CN"/>
        </w:rPr>
        <w:t>4</w:t>
      </w: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rPr>
        <w:t xml:space="preserve"> 项目信息减排量数据汇总表</w:t>
      </w:r>
    </w:p>
    <w:tbl>
      <w:tblPr>
        <w:tblStyle w:val="9"/>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3955"/>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1</w:t>
            </w: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项目类型：源头替代项目</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基准期VOCs排放量：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项目名称：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减排期VOCs排放量：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项目描述：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治理项目实际VOCs减排量：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w:t>
            </w: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项目类型：过程控制项目</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基准期VOCs排放量：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项目名称：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减排期VOCs排放量：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项目描述：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治理项目实际VOCs减排量：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3</w:t>
            </w: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项目类型：末端治理项目</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基准期VOCs</w:t>
            </w:r>
            <w:r>
              <w:rPr>
                <w:rFonts w:hint="default" w:ascii="Times New Roman" w:hAnsi="Times New Roman" w:eastAsia="楷体_GB2312" w:cs="Times New Roman"/>
                <w:color w:val="auto"/>
                <w:sz w:val="21"/>
                <w:szCs w:val="21"/>
                <w:highlight w:val="none"/>
                <w:lang w:val="en-US" w:eastAsia="zh-CN"/>
              </w:rPr>
              <w:t>排放</w:t>
            </w:r>
            <w:r>
              <w:rPr>
                <w:rFonts w:hint="default" w:ascii="Times New Roman" w:hAnsi="Times New Roman" w:eastAsia="楷体_GB2312" w:cs="Times New Roman"/>
                <w:color w:val="auto"/>
                <w:sz w:val="21"/>
                <w:szCs w:val="21"/>
                <w:highlight w:val="none"/>
              </w:rPr>
              <w:t>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项目名称：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减排期VOCs</w:t>
            </w:r>
            <w:r>
              <w:rPr>
                <w:rFonts w:hint="default" w:ascii="Times New Roman" w:hAnsi="Times New Roman" w:eastAsia="楷体_GB2312" w:cs="Times New Roman"/>
                <w:color w:val="auto"/>
                <w:sz w:val="21"/>
                <w:szCs w:val="21"/>
                <w:highlight w:val="none"/>
                <w:lang w:val="en-US" w:eastAsia="zh-CN"/>
              </w:rPr>
              <w:t>排放</w:t>
            </w:r>
            <w:r>
              <w:rPr>
                <w:rFonts w:hint="default" w:ascii="Times New Roman" w:hAnsi="Times New Roman" w:eastAsia="楷体_GB2312" w:cs="Times New Roman"/>
                <w:color w:val="auto"/>
                <w:sz w:val="21"/>
                <w:szCs w:val="21"/>
                <w:highlight w:val="none"/>
              </w:rPr>
              <w:t>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项目描述：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治理项目实际VOCs减排量：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lang w:val="en-US" w:eastAsia="zh-CN"/>
              </w:rPr>
              <w:t>4</w:t>
            </w: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项目类型：</w:t>
            </w:r>
            <w:r>
              <w:rPr>
                <w:rFonts w:hint="default" w:eastAsia="楷体_GB2312" w:cs="Times New Roman"/>
                <w:color w:val="auto"/>
                <w:sz w:val="21"/>
                <w:szCs w:val="21"/>
                <w:highlight w:val="none"/>
                <w:lang w:val="en-US" w:eastAsia="zh-CN"/>
              </w:rPr>
              <w:t>结构减排</w:t>
            </w:r>
            <w:r>
              <w:rPr>
                <w:rFonts w:hint="default" w:ascii="Times New Roman" w:hAnsi="Times New Roman" w:eastAsia="楷体_GB2312" w:cs="Times New Roman"/>
                <w:color w:val="auto"/>
                <w:sz w:val="21"/>
                <w:szCs w:val="21"/>
                <w:highlight w:val="none"/>
              </w:rPr>
              <w:t>项目</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基准期VOCs</w:t>
            </w:r>
            <w:r>
              <w:rPr>
                <w:rFonts w:hint="default" w:ascii="Times New Roman" w:hAnsi="Times New Roman" w:eastAsia="楷体_GB2312" w:cs="Times New Roman"/>
                <w:color w:val="auto"/>
                <w:sz w:val="21"/>
                <w:szCs w:val="21"/>
                <w:highlight w:val="none"/>
                <w:lang w:val="en-US" w:eastAsia="zh-CN"/>
              </w:rPr>
              <w:t>排放</w:t>
            </w:r>
            <w:r>
              <w:rPr>
                <w:rFonts w:hint="default" w:ascii="Times New Roman" w:hAnsi="Times New Roman" w:eastAsia="楷体_GB2312" w:cs="Times New Roman"/>
                <w:color w:val="auto"/>
                <w:sz w:val="21"/>
                <w:szCs w:val="21"/>
                <w:highlight w:val="none"/>
              </w:rPr>
              <w:t>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kern w:val="2"/>
                <w:sz w:val="21"/>
                <w:szCs w:val="21"/>
                <w:highlight w:val="none"/>
                <w:lang w:val="en-US" w:eastAsia="zh-CN" w:bidi="ar-SA"/>
              </w:rPr>
            </w:pPr>
            <w:r>
              <w:rPr>
                <w:rFonts w:hint="default" w:ascii="Times New Roman" w:hAnsi="Times New Roman" w:eastAsia="楷体_GB2312" w:cs="Times New Roman"/>
                <w:color w:val="auto"/>
                <w:sz w:val="21"/>
                <w:szCs w:val="21"/>
                <w:highlight w:val="none"/>
              </w:rPr>
              <w:t>项目名称：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减排期VOCs</w:t>
            </w:r>
            <w:r>
              <w:rPr>
                <w:rFonts w:hint="default" w:ascii="Times New Roman" w:hAnsi="Times New Roman" w:eastAsia="楷体_GB2312" w:cs="Times New Roman"/>
                <w:color w:val="auto"/>
                <w:sz w:val="21"/>
                <w:szCs w:val="21"/>
                <w:highlight w:val="none"/>
                <w:lang w:val="en-US" w:eastAsia="zh-CN"/>
              </w:rPr>
              <w:t>排放</w:t>
            </w:r>
            <w:r>
              <w:rPr>
                <w:rFonts w:hint="default" w:ascii="Times New Roman" w:hAnsi="Times New Roman" w:eastAsia="楷体_GB2312" w:cs="Times New Roman"/>
                <w:color w:val="auto"/>
                <w:sz w:val="21"/>
                <w:szCs w:val="21"/>
                <w:highlight w:val="none"/>
              </w:rPr>
              <w:t>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kern w:val="2"/>
                <w:sz w:val="21"/>
                <w:szCs w:val="21"/>
                <w:highlight w:val="none"/>
                <w:lang w:val="en-US" w:eastAsia="zh-CN" w:bidi="ar-SA"/>
              </w:rPr>
            </w:pPr>
            <w:r>
              <w:rPr>
                <w:rFonts w:hint="default" w:ascii="Times New Roman" w:hAnsi="Times New Roman" w:eastAsia="楷体_GB2312" w:cs="Times New Roman"/>
                <w:color w:val="auto"/>
                <w:sz w:val="21"/>
                <w:szCs w:val="21"/>
                <w:highlight w:val="none"/>
              </w:rPr>
              <w:t>项目描述：</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eastAsia="楷体_GB2312" w:cs="Times New Roman"/>
                <w:color w:val="auto"/>
                <w:sz w:val="21"/>
                <w:szCs w:val="21"/>
                <w:highlight w:val="none"/>
                <w:lang w:val="en-US" w:eastAsia="zh-CN"/>
              </w:rPr>
              <w:t>结构减排</w:t>
            </w:r>
            <w:r>
              <w:rPr>
                <w:rFonts w:hint="default" w:ascii="Times New Roman" w:hAnsi="Times New Roman" w:eastAsia="楷体_GB2312" w:cs="Times New Roman"/>
                <w:color w:val="auto"/>
                <w:sz w:val="21"/>
                <w:szCs w:val="21"/>
                <w:highlight w:val="none"/>
              </w:rPr>
              <w:t>项目实际VOCs减排量：</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楷体_GB2312" w:cs="Times New Roman"/>
                <w:color w:val="auto"/>
                <w:sz w:val="21"/>
                <w:szCs w:val="21"/>
                <w:highlight w:val="none"/>
              </w:rPr>
            </w:pPr>
          </w:p>
        </w:tc>
        <w:tc>
          <w:tcPr>
            <w:tcW w:w="39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4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5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治理项目VOCs减排量合计：</w:t>
            </w:r>
            <w:r>
              <w:rPr>
                <w:rFonts w:hint="default" w:ascii="Times New Roman" w:hAnsi="Times New Roman" w:eastAsia="楷体_GB2312" w:cs="Times New Roman"/>
                <w:color w:val="auto"/>
                <w:sz w:val="21"/>
                <w:szCs w:val="21"/>
                <w:highlight w:val="none"/>
                <w:u w:val="single"/>
              </w:rPr>
              <w:t xml:space="preserve">       </w:t>
            </w:r>
            <w:r>
              <w:rPr>
                <w:rFonts w:hint="default" w:ascii="Times New Roman" w:hAnsi="Times New Roman" w:eastAsia="楷体_GB2312" w:cs="Times New Roman"/>
                <w:color w:val="auto"/>
                <w:sz w:val="21"/>
                <w:szCs w:val="21"/>
                <w:highlight w:val="none"/>
              </w:rPr>
              <w:t>吨</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highlight w:val="none"/>
          <w:lang w:val="en-US" w:eastAsia="zh-CN"/>
        </w:rPr>
      </w:pPr>
    </w:p>
    <w:p>
      <w:pPr>
        <w:pStyle w:val="2"/>
        <w:spacing w:after="0"/>
        <w:ind w:firstLine="0" w:firstLineChars="0"/>
        <w:rPr>
          <w:rFonts w:hint="default"/>
          <w:highlight w:val="none"/>
          <w:lang w:val="en-US" w:eastAsia="zh-CN"/>
        </w:rPr>
      </w:pPr>
      <w:r>
        <w:rPr>
          <w:rFonts w:hint="eastAsia" w:ascii="黑体" w:hAnsi="黑体" w:eastAsia="黑体" w:cs="黑体"/>
          <w:color w:val="auto"/>
          <w:highlight w:val="none"/>
          <w:lang w:val="en-US" w:eastAsia="zh-CN"/>
        </w:rPr>
        <w:t>五</w:t>
      </w:r>
      <w:r>
        <w:rPr>
          <w:rFonts w:hint="eastAsia" w:ascii="黑体" w:hAnsi="黑体" w:eastAsia="黑体" w:cs="黑体"/>
          <w:color w:val="auto"/>
          <w:highlight w:val="none"/>
        </w:rPr>
        <w:t>、佐证材料</w:t>
      </w:r>
    </w:p>
    <w:p>
      <w:pPr>
        <w:pStyle w:val="2"/>
        <w:spacing w:after="0"/>
        <w:ind w:firstLine="0" w:firstLineChars="0"/>
        <w:rPr>
          <w:rFonts w:hint="default"/>
          <w:highlight w:val="none"/>
          <w:lang w:val="en-US" w:eastAsia="zh-CN"/>
        </w:rPr>
      </w:pPr>
    </w:p>
    <w:p>
      <w:pPr>
        <w:pStyle w:val="2"/>
        <w:spacing w:after="0"/>
        <w:ind w:firstLine="0" w:firstLineChars="0"/>
        <w:rPr>
          <w:rFonts w:hint="default"/>
          <w:highlight w:val="none"/>
          <w:lang w:val="en-US" w:eastAsia="zh-CN"/>
        </w:rPr>
      </w:pPr>
    </w:p>
    <w:p>
      <w:pPr>
        <w:ind w:firstLine="316" w:firstLineChars="100"/>
        <w:rPr>
          <w:rFonts w:hint="eastAsia"/>
        </w:rPr>
      </w:pPr>
    </w:p>
    <w:p/>
    <w:sectPr>
      <w:headerReference r:id="rId3" w:type="first"/>
      <w:footerReference r:id="rId5" w:type="first"/>
      <w:footerReference r:id="rId4" w:type="default"/>
      <w:pgSz w:w="11906" w:h="16838"/>
      <w:pgMar w:top="2098" w:right="1531" w:bottom="1985"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ascii="宋体" w:hAnsi="宋体" w:eastAsia="宋体"/>
        <w:szCs w:val="18"/>
      </w:rPr>
    </w:pPr>
    <w:r>
      <w:rPr>
        <w:rFonts w:hint="eastAsia" w:ascii="宋体" w:hAnsi="宋体" w:eastAsia="宋体"/>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ZjUxMjEzYjFmMDAzZDZjNzc4NzMzMWIyMGE2ZWIifQ=="/>
  </w:docVars>
  <w:rsids>
    <w:rsidRoot w:val="6D212DA4"/>
    <w:rsid w:val="0DE2760F"/>
    <w:rsid w:val="534353EF"/>
    <w:rsid w:val="6D21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9">
    <w:name w:val="网格型1"/>
    <w:basedOn w:val="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9</Pages>
  <Words>3924</Words>
  <Characters>4309</Characters>
  <Lines>0</Lines>
  <Paragraphs>0</Paragraphs>
  <TotalTime>0</TotalTime>
  <ScaleCrop>false</ScaleCrop>
  <LinksUpToDate>false</LinksUpToDate>
  <CharactersWithSpaces>4438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2024-06-25T07:54:00Z</dcterms:created>
  <dc:creator>cjj</dc:creator>
  <cp:lastModifiedBy>Administrator</cp:lastModifiedBy>
  <dcterms:modified xsi:type="dcterms:W3CDTF">2026-04-28T08:29:40Z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8868E6CC9EBC45A2A73B5E7E210AC588_11</vt:lpwstr>
  </property>
</Properties>
</file>