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54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u w:val="none"/>
          <w:lang w:eastAsia="zh-CN"/>
        </w:rPr>
      </w:pPr>
    </w:p>
    <w:p w14:paraId="1BE7DF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u w:val="none"/>
          <w:lang w:eastAsia="zh-CN"/>
        </w:rPr>
      </w:pPr>
    </w:p>
    <w:p w14:paraId="4D6D0A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u w:val="none"/>
          <w:lang w:eastAsia="zh-CN"/>
        </w:rPr>
      </w:pPr>
      <w:r>
        <w:rPr>
          <w:rFonts w:hint="default" w:ascii="Times New Roman" w:hAnsi="Times New Roman" w:eastAsia="方正小标宋简体" w:cs="Times New Roman"/>
          <w:color w:val="auto"/>
          <w:sz w:val="44"/>
          <w:szCs w:val="44"/>
          <w:u w:val="none"/>
          <w:lang w:eastAsia="zh-CN"/>
        </w:rPr>
        <w:t>关于继续促进</w:t>
      </w:r>
      <w:r>
        <w:rPr>
          <w:rFonts w:hint="default" w:ascii="Times New Roman" w:hAnsi="Times New Roman" w:eastAsia="方正小标宋简体" w:cs="Times New Roman"/>
          <w:color w:val="auto"/>
          <w:sz w:val="44"/>
          <w:szCs w:val="44"/>
          <w:u w:val="none"/>
        </w:rPr>
        <w:t>我市房地产市场</w:t>
      </w:r>
      <w:r>
        <w:rPr>
          <w:rFonts w:hint="default" w:ascii="Times New Roman" w:hAnsi="Times New Roman" w:eastAsia="方正小标宋简体" w:cs="Times New Roman"/>
          <w:color w:val="auto"/>
          <w:sz w:val="44"/>
          <w:szCs w:val="44"/>
          <w:u w:val="none"/>
          <w:lang w:eastAsia="zh-CN"/>
        </w:rPr>
        <w:t>高质量发展的若干措施（征求意见稿）</w:t>
      </w:r>
    </w:p>
    <w:p w14:paraId="6116F22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u w:val="none"/>
        </w:rPr>
      </w:pPr>
    </w:p>
    <w:p w14:paraId="311CF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为深入贯彻</w:t>
      </w:r>
      <w:r>
        <w:rPr>
          <w:rFonts w:hint="default" w:ascii="Times New Roman" w:hAnsi="Times New Roman" w:eastAsia="仿宋_GB2312" w:cs="Times New Roman"/>
          <w:color w:val="auto"/>
          <w:sz w:val="32"/>
          <w:szCs w:val="32"/>
          <w:u w:val="none"/>
          <w:lang w:val="en-US" w:eastAsia="zh-CN"/>
        </w:rPr>
        <w:t>中央、省委、市委城市工作会议精神</w:t>
      </w:r>
      <w:r>
        <w:rPr>
          <w:rFonts w:hint="default" w:ascii="Times New Roman" w:hAnsi="Times New Roman" w:eastAsia="仿宋_GB2312" w:cs="Times New Roman"/>
          <w:color w:val="auto"/>
          <w:sz w:val="32"/>
          <w:szCs w:val="32"/>
          <w:u w:val="none"/>
        </w:rPr>
        <w:t>，顺应房地产市场供求关系的新变化，更好满足居民刚性和改善性住房需求，持续巩固房地产市场稳定态势。结合我市实际，制定以下措施。</w:t>
      </w:r>
    </w:p>
    <w:p w14:paraId="077652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val="en-US" w:eastAsia="zh-CN"/>
        </w:rPr>
        <w:t>鼓励合理住房消费</w:t>
      </w:r>
    </w:p>
    <w:p w14:paraId="71CE91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（一）优化商业性个人住房贷款套数认定标准。</w:t>
      </w:r>
      <w:r>
        <w:rPr>
          <w:rFonts w:hint="default" w:ascii="Times New Roman" w:hAnsi="Times New Roman" w:eastAsia="仿宋_GB2312" w:cs="Times New Roman"/>
          <w:color w:val="auto"/>
          <w:kern w:val="2"/>
          <w:sz w:val="32"/>
          <w:szCs w:val="32"/>
          <w:lang w:val="en-US" w:eastAsia="zh-CN" w:bidi="ar-SA"/>
        </w:rPr>
        <w:t>居民家庭（包括借款人、配偶及未成年子女，下同）申请贷款购买商品住房时，家庭成员在拟购住房所在县（市、区）名下无成套住房的，不论是否已利用贷款购买过住房，银行业金融机构均按首套住房执行住房信贷政策。多子女家庭、赡养老人家庭购买商品住房时，在拟购住房所在县（市、区）已有住房的，套数认定核减1套。银行业金融机构按照优化后的套数认定标准执行住房信贷政策。</w:t>
      </w:r>
    </w:p>
    <w:p w14:paraId="0BB8100A">
      <w:pPr>
        <w:spacing w:line="54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val="en-US" w:eastAsia="zh-CN"/>
        </w:rPr>
        <w:t>（二）提高公积金</w:t>
      </w:r>
      <w:r>
        <w:rPr>
          <w:rFonts w:hint="default" w:ascii="Times New Roman" w:hAnsi="Times New Roman" w:eastAsia="楷体" w:cs="Times New Roman"/>
          <w:b/>
          <w:bCs/>
          <w:sz w:val="32"/>
          <w:szCs w:val="32"/>
        </w:rPr>
        <w:t>贷款最高额度</w:t>
      </w:r>
    </w:p>
    <w:p w14:paraId="2AF90F04">
      <w:pPr>
        <w:numPr>
          <w:ilvl w:val="0"/>
          <w:numId w:val="0"/>
        </w:num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rPr>
        <w:t>缴存职工使用住房公积金贷款购买首套普通自住</w:t>
      </w:r>
      <w:r>
        <w:rPr>
          <w:rFonts w:hint="default" w:ascii="Times New Roman" w:hAnsi="Times New Roman" w:eastAsia="仿宋_GB2312" w:cs="Times New Roman"/>
          <w:sz w:val="32"/>
          <w:szCs w:val="32"/>
          <w:lang w:val="en-US" w:eastAsia="zh-CN"/>
        </w:rPr>
        <w:t>住</w:t>
      </w:r>
      <w:r>
        <w:rPr>
          <w:rFonts w:hint="default" w:ascii="Times New Roman" w:hAnsi="Times New Roman" w:eastAsia="仿宋_GB2312" w:cs="Times New Roman"/>
          <w:sz w:val="32"/>
          <w:szCs w:val="32"/>
        </w:rPr>
        <w:t>房的，一人最高贷款额度60万元，二人及以上共同申请贷款最高额度80万元。</w:t>
      </w:r>
    </w:p>
    <w:p w14:paraId="76A1DB5A">
      <w:pPr>
        <w:numPr>
          <w:ilvl w:val="0"/>
          <w:numId w:val="0"/>
        </w:numPr>
        <w:spacing w:line="54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rPr>
        <w:t>为改善职工住房条件，再次购买普通自住住房且符合我市贷款相关规定的，一人最高可贷50万元，二人及以上共同申请贷款最高可贷70万元。</w:t>
      </w:r>
    </w:p>
    <w:p w14:paraId="44B2A34E">
      <w:pPr>
        <w:numPr>
          <w:ilvl w:val="0"/>
          <w:numId w:val="0"/>
        </w:numPr>
        <w:spacing w:line="540" w:lineRule="exact"/>
        <w:ind w:left="0" w:leftChars="0"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rPr>
        <w:t>调整贷款额度计算方式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rPr>
        <w:t>一人缴存申请贷款的，每缴存一年可贷12万元，缴存年限不够一整年的，按一整年计算；每缴存多一年增加12万元额度，依此推算，最高不超过我市个人可贷额度，同时贷款额度不能超过个人公积金账户余额的20倍。</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sz w:val="32"/>
          <w:szCs w:val="32"/>
        </w:rPr>
        <w:t>二人及以上缴存共同申请贷款的，贷款额度按各自缴存年限和账户余额计算，不超过二人及以上缴存最高可贷额度。</w:t>
      </w:r>
      <w:r>
        <w:rPr>
          <w:rFonts w:hint="default" w:ascii="Times New Roman" w:hAnsi="Times New Roman" w:eastAsia="仿宋_GB2312" w:cs="Times New Roman"/>
          <w:sz w:val="32"/>
          <w:szCs w:val="32"/>
          <w:lang w:val="en-US" w:eastAsia="zh-CN"/>
        </w:rPr>
        <w:t>未涉及事项仍按原政策执行</w:t>
      </w:r>
      <w:r>
        <w:rPr>
          <w:rFonts w:hint="default" w:ascii="Times New Roman" w:hAnsi="Times New Roman" w:eastAsia="仿宋_GB2312" w:cs="Times New Roman"/>
          <w:color w:val="auto"/>
          <w:kern w:val="2"/>
          <w:sz w:val="32"/>
          <w:szCs w:val="32"/>
          <w:lang w:val="en-US" w:eastAsia="zh-CN" w:bidi="ar-SA"/>
        </w:rPr>
        <w:t>。</w:t>
      </w:r>
    </w:p>
    <w:p w14:paraId="688A238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rPr>
        <w:t>施行前贷款申请已在我市住房公积金管理中心初审审批的仍按原政策执行。本政策由公积金中心负责解释。</w:t>
      </w:r>
    </w:p>
    <w:p w14:paraId="45110374">
      <w:pPr>
        <w:spacing w:line="54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（三）实行公积金“一人购房全家帮”。</w:t>
      </w:r>
      <w:r>
        <w:rPr>
          <w:rFonts w:hint="default" w:ascii="Times New Roman" w:hAnsi="Times New Roman" w:eastAsia="仿宋_GB2312" w:cs="Times New Roman"/>
          <w:sz w:val="32"/>
          <w:szCs w:val="32"/>
          <w:lang w:val="en-US" w:eastAsia="zh-CN"/>
        </w:rPr>
        <w:t>缴存职工可提取账户余额用于支付其直系亲属（配偶、父母、子女）在我市辖区内购买自住住房偿还贷款本息（含首付款），所有申请人合计提取额不得超过已付购房首付款、历年还贷本息和提前还款金额总和。未涉及事项仍按原政策执行。</w:t>
      </w:r>
    </w:p>
    <w:p w14:paraId="0E401AF1">
      <w:pPr>
        <w:spacing w:line="54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（四）提高职工租房提取公积金额度。</w:t>
      </w:r>
      <w:r>
        <w:rPr>
          <w:rFonts w:hint="default" w:ascii="Times New Roman" w:hAnsi="Times New Roman" w:eastAsia="仿宋_GB2312" w:cs="Times New Roman"/>
          <w:sz w:val="32"/>
          <w:szCs w:val="32"/>
        </w:rPr>
        <w:t>职工本人及其配偶在我市行政区域范围内工作所在县（市、区）无房产，且在揭阳市连续正常缴存住房公积金3个月（含）以上,可申请提取住房公积金支付房租。每人每月可提取</w:t>
      </w:r>
      <w:r>
        <w:rPr>
          <w:rFonts w:hint="default" w:ascii="Times New Roman" w:hAnsi="Times New Roman" w:eastAsia="仿宋_GB2312" w:cs="Times New Roman"/>
          <w:sz w:val="32"/>
          <w:szCs w:val="32"/>
          <w:lang w:val="en-US" w:eastAsia="zh-CN"/>
        </w:rPr>
        <w:t>800</w:t>
      </w:r>
      <w:r>
        <w:rPr>
          <w:rFonts w:hint="default" w:ascii="Times New Roman" w:hAnsi="Times New Roman" w:eastAsia="仿宋_GB2312" w:cs="Times New Roman"/>
          <w:sz w:val="32"/>
          <w:szCs w:val="32"/>
        </w:rPr>
        <w:t>元，每次提取时限累计不超过12个月(含)，1年最高提取额为</w:t>
      </w:r>
      <w:r>
        <w:rPr>
          <w:rFonts w:hint="default" w:ascii="Times New Roman" w:hAnsi="Times New Roman" w:eastAsia="仿宋_GB2312" w:cs="Times New Roman"/>
          <w:sz w:val="32"/>
          <w:szCs w:val="32"/>
          <w:lang w:val="en-US" w:eastAsia="zh-CN"/>
        </w:rPr>
        <w:t>9600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未涉及事项仍按原政策执行。</w:t>
      </w:r>
    </w:p>
    <w:p w14:paraId="174173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　　（五）落实税务支持政策。</w:t>
      </w:r>
      <w:r>
        <w:rPr>
          <w:rFonts w:hint="default" w:ascii="Times New Roman" w:hAnsi="Times New Roman" w:eastAsia="仿宋_GB2312" w:cs="Times New Roman"/>
          <w:color w:val="auto"/>
          <w:kern w:val="2"/>
          <w:sz w:val="32"/>
          <w:szCs w:val="32"/>
          <w:lang w:val="en-US" w:eastAsia="zh-CN" w:bidi="ar-SA"/>
        </w:rPr>
        <w:t>自2026年1月1日至2027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14:paraId="20CA0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lang w:val="en-US" w:eastAsia="zh-CN"/>
        </w:rPr>
        <w:t>稳定房地产开发企业投资预期</w:t>
      </w:r>
    </w:p>
    <w:p w14:paraId="792748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（六）优化土地供应。</w:t>
      </w:r>
    </w:p>
    <w:p w14:paraId="5F99D5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合理安排土地供应。自然资源部门根据住房需求科学安排新增土地供应和存量土地盘活，合理确定公共基础设施、工业、住宅、商业等方面的用地比例、布局并严格落实执行，促进房地产市场供需平衡、结构合理。落实征拆安置支出，供应土地需为净地。</w:t>
      </w:r>
    </w:p>
    <w:p w14:paraId="05387F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优化土地出让方式。新出让商品住宅用地可采取“竞配建+地价”的出让方式，将公共服务设施配建要求、建设时序、移交主体和产权归属等内容纳入土地供应方案，作为国有建设用地使用权出让的条件和依据。新出让商品住宅用地土地出让金，房地产企业可以采取分期方式支付。</w:t>
      </w:r>
    </w:p>
    <w:p w14:paraId="1EF68D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（七）支持商业、办公项目调整转型。</w:t>
      </w:r>
      <w:r>
        <w:rPr>
          <w:rFonts w:hint="default" w:ascii="Times New Roman" w:hAnsi="Times New Roman" w:eastAsia="仿宋_GB2312" w:cs="Times New Roman"/>
          <w:color w:val="auto"/>
          <w:sz w:val="32"/>
          <w:szCs w:val="32"/>
          <w:lang w:eastAsia="zh-CN"/>
        </w:rPr>
        <w:t>对在建或闲置的商业办公、酒店等非居住房屋可依法依规改造为租赁式公寓及养老、文化、旅游、体育等国家鼓励的产业用房，也可在符合规划原则、权属不变、满足安全要求、尊重群众意愿的前提下，依法依规改建为保障性租赁住房。对于已建成但未售的空置商业、办公项目，在不改变规划用途，不影响经营使用功能，满足用水、用电等条件下，由各相关部门根据各自职责出具满足消防、质量安全等意见后可办理不动产分割、合并登记，促进非住宅商品房销售。</w:t>
      </w:r>
    </w:p>
    <w:p w14:paraId="7FA08C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（八）支持自持商品住房用地分割开发利用。</w:t>
      </w:r>
      <w:r>
        <w:rPr>
          <w:rFonts w:hint="default" w:ascii="Times New Roman" w:hAnsi="Times New Roman" w:eastAsia="仿宋_GB2312" w:cs="Times New Roman"/>
          <w:color w:val="auto"/>
          <w:sz w:val="32"/>
          <w:szCs w:val="32"/>
          <w:lang w:eastAsia="zh-CN"/>
        </w:rPr>
        <w:t>对因规划调整、企业经营困难或破产造成无法全部开发利用的存量商服用地，经市、县人民政府批准，原土地使用条件约定不可分割转让的支持商品住房用地，可按规定分割宗地。依企业申请，经报原出让方同意，权利人按照原出让时点和现调整受理时点分别评估自持物业比例调整前后的市场评估总地价的差额，取高者补缴出让金后，可将自持商品住房分割转为可售住房入市。</w:t>
      </w:r>
    </w:p>
    <w:p w14:paraId="0763A6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（九）合理引导商服用地内部用途转换和商住用地比例优化调整。</w:t>
      </w:r>
      <w:r>
        <w:rPr>
          <w:rFonts w:hint="default" w:ascii="Times New Roman" w:hAnsi="Times New Roman" w:eastAsia="仿宋_GB2312" w:cs="Times New Roman"/>
          <w:color w:val="auto"/>
          <w:sz w:val="32"/>
          <w:szCs w:val="32"/>
          <w:lang w:eastAsia="zh-CN"/>
        </w:rPr>
        <w:t>在符合国土空间规划前提下，商服用地内部之间可细分地类互相转换，可不改变用地主体和规划条件。原用途为商住混合用地的，在符合国土空间规划的前提下，依企业申请，经报原出让方同意，权利人按照原出让时点和现调整受理时点分别评估商住比例调整前后的市场评估总地价的差额，取高者补缴出让金后，可调整土地用途商住比例。</w:t>
      </w:r>
    </w:p>
    <w:p w14:paraId="558DE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（十）继续支持工业地产发展。</w:t>
      </w:r>
      <w:r>
        <w:rPr>
          <w:rFonts w:hint="default" w:ascii="Times New Roman" w:hAnsi="Times New Roman" w:eastAsia="仿宋_GB2312" w:cs="Times New Roman"/>
          <w:color w:val="auto"/>
          <w:sz w:val="32"/>
          <w:szCs w:val="32"/>
          <w:lang w:val="en-US" w:eastAsia="zh-CN"/>
        </w:rPr>
        <w:t>标准工业厂房开发企业应当自领取营业执照之日起30日内，携相关资料到市或县（市、区）住房城乡建设部门申请办理开发资质证书。标准厂房在完成地下工程后，允许提前招商。提前招商对象须符合标准厂房入驻要求，并抄报所在地园区管委会或县（市、区）工业和信息化部门。工业地产开发企业建设的标准厂房销售参照《广东省商品房预售管理条例》的规定执行。</w:t>
      </w:r>
    </w:p>
    <w:p w14:paraId="6B6CC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（十一）支持“工抵房”网签备案。</w:t>
      </w:r>
      <w:r>
        <w:rPr>
          <w:rFonts w:hint="default" w:ascii="Times New Roman" w:hAnsi="Times New Roman" w:eastAsia="仿宋_GB2312" w:cs="Times New Roman"/>
          <w:color w:val="auto"/>
          <w:sz w:val="32"/>
          <w:szCs w:val="32"/>
          <w:lang w:eastAsia="zh-CN"/>
        </w:rPr>
        <w:t>对已取得《商品房预售许可证》的项目，房地产开发企业抵付给施工企业、材料供应商等的商品房（即“工抵房”），按双方签订的“工抵房”合同或协议，可直接将相关房源网签备案至施工企业、材料供应商等。“工抵房”销售后，网签备案合同可进行一次更名，销售资金存入监管账户，预售资金监管部门根据房地产开发企业申请，将销售资金拨付至原“工抵房”合同网签备案的施工单位、材料供应商等。</w:t>
      </w:r>
    </w:p>
    <w:p w14:paraId="3E1399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（十二）支持房地产企业合理资金需求</w:t>
      </w:r>
      <w:r>
        <w:rPr>
          <w:rFonts w:hint="default" w:ascii="Times New Roman" w:hAnsi="Times New Roman" w:eastAsia="仿宋_GB2312" w:cs="Times New Roman"/>
          <w:color w:val="auto"/>
          <w:sz w:val="32"/>
          <w:szCs w:val="32"/>
          <w:lang w:eastAsia="zh-CN"/>
        </w:rPr>
        <w:t>。开发企业可通过商业保险、国有担保公司担保函替代不高于保函金额的监管资金，合理释放房地产企业资金流动性。</w:t>
      </w:r>
    </w:p>
    <w:p w14:paraId="7462182D">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本通知自2026年5月1日起施行，有效期至2029年4月30日止。执行期间，如遇国家、省政策调整，按上级规定执行。</w:t>
      </w:r>
    </w:p>
    <w:p w14:paraId="32EDE2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0723E6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揭阳市住房和城乡建设局           揭阳市自然资源局</w:t>
      </w:r>
    </w:p>
    <w:p w14:paraId="35F049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34E5EC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4F9242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01A3819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揭阳市工业和信息化局       国家税务总局揭阳市税务局     </w:t>
      </w:r>
    </w:p>
    <w:p w14:paraId="50A4E7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320" w:firstLineChars="100"/>
        <w:jc w:val="left"/>
        <w:textAlignment w:val="auto"/>
        <w:rPr>
          <w:rFonts w:hint="default" w:ascii="Times New Roman" w:hAnsi="Times New Roman" w:eastAsia="仿宋_GB2312" w:cs="Times New Roman"/>
          <w:color w:val="auto"/>
          <w:sz w:val="32"/>
          <w:szCs w:val="32"/>
          <w:u w:val="none"/>
          <w:lang w:val="en-US" w:eastAsia="zh-CN"/>
        </w:rPr>
      </w:pPr>
    </w:p>
    <w:p w14:paraId="7E55A8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320" w:firstLineChars="100"/>
        <w:jc w:val="left"/>
        <w:textAlignment w:val="auto"/>
        <w:rPr>
          <w:rFonts w:hint="default" w:ascii="Times New Roman" w:hAnsi="Times New Roman" w:eastAsia="仿宋_GB2312" w:cs="Times New Roman"/>
          <w:color w:val="auto"/>
          <w:sz w:val="32"/>
          <w:szCs w:val="32"/>
          <w:u w:val="none"/>
          <w:lang w:val="en-US" w:eastAsia="zh-CN"/>
        </w:rPr>
      </w:pPr>
    </w:p>
    <w:p w14:paraId="36CFED0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u w:val="none"/>
          <w:lang w:val="en-US" w:eastAsia="zh-CN"/>
        </w:rPr>
      </w:pPr>
    </w:p>
    <w:p w14:paraId="09A58A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中国人民银行揭阳市分行         国家金融监督管理总局       </w:t>
      </w:r>
    </w:p>
    <w:p w14:paraId="1C3548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760" w:firstLineChars="18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揭阳监管分局</w:t>
      </w:r>
    </w:p>
    <w:p w14:paraId="21D68F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052F9F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7722D8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_GB2312" w:cs="Times New Roman"/>
          <w:color w:val="auto"/>
          <w:sz w:val="32"/>
          <w:szCs w:val="32"/>
          <w:u w:val="none"/>
          <w:lang w:val="en-US" w:eastAsia="zh-CN"/>
        </w:rPr>
      </w:pPr>
    </w:p>
    <w:p w14:paraId="6ABFA4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揭阳市住房公积金管理中心</w:t>
      </w:r>
    </w:p>
    <w:p w14:paraId="06D223A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2026年4月 </w:t>
      </w:r>
      <w:r>
        <w:rPr>
          <w:rFonts w:hint="eastAsia" w:ascii="Times New Roman" w:hAnsi="Times New Roman" w:eastAsia="仿宋_GB2312"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lang w:val="en-US" w:eastAsia="zh-CN"/>
        </w:rPr>
        <w:t xml:space="preserve">日  </w:t>
      </w:r>
    </w:p>
    <w:p w14:paraId="7ADCA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p>
    <w:p w14:paraId="044908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bookmarkStart w:id="0" w:name="_GoBack"/>
      <w:bookmarkEnd w:id="0"/>
    </w:p>
    <w:p w14:paraId="719E58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p>
    <w:p w14:paraId="6B98AA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p>
    <w:p w14:paraId="1E1D660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u w:val="none"/>
          <w:lang w:val="en-US" w:eastAsia="zh-CN"/>
        </w:rPr>
      </w:pPr>
    </w:p>
    <w:p w14:paraId="74610D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p>
    <w:p w14:paraId="7F7ED4E9">
      <w:pPr>
        <w:keepNext w:val="0"/>
        <w:keepLines w:val="0"/>
        <w:widowControl/>
        <w:suppressLineNumbers w:val="0"/>
        <w:ind w:firstLine="310" w:firstLineChars="100"/>
        <w:jc w:val="left"/>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黑体" w:cs="Times New Roman"/>
          <w:color w:val="auto"/>
          <w:kern w:val="0"/>
          <w:sz w:val="31"/>
          <w:szCs w:val="31"/>
          <w:lang w:val="en-US" w:eastAsia="zh-CN" w:bidi="ar"/>
        </w:rPr>
        <w:t>公开形式：主动公开</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4C284A-755C-4ECC-9396-B94A502D60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F432E78C-7625-4F0E-99AD-4C9114E847E8}"/>
  </w:font>
  <w:font w:name="仿宋_GB2312">
    <w:panose1 w:val="02010609030101010101"/>
    <w:charset w:val="86"/>
    <w:family w:val="modern"/>
    <w:pitch w:val="default"/>
    <w:sig w:usb0="00000001" w:usb1="080E0000" w:usb2="00000000" w:usb3="00000000" w:csb0="00040000" w:csb1="00000000"/>
    <w:embedRegular r:id="rId3" w:fontKey="{07F94790-55F0-4B62-AF5D-08E48BAB79C6}"/>
  </w:font>
  <w:font w:name="楷体">
    <w:panose1 w:val="02010609060101010101"/>
    <w:charset w:val="86"/>
    <w:family w:val="auto"/>
    <w:pitch w:val="default"/>
    <w:sig w:usb0="800002BF" w:usb1="38CF7CFA" w:usb2="00000016" w:usb3="00000000" w:csb0="00040001" w:csb1="00000000"/>
    <w:embedRegular r:id="rId4" w:fontKey="{4D2C8AC5-8919-4B0E-9493-607BF09C10E1}"/>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3E9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15A8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415A8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UyYzNlZmQzNzcwZWU1NTRiYzQ0NjA1ZDMzOTkifQ=="/>
  </w:docVars>
  <w:rsids>
    <w:rsidRoot w:val="43476687"/>
    <w:rsid w:val="043A5387"/>
    <w:rsid w:val="049E7451"/>
    <w:rsid w:val="089761A8"/>
    <w:rsid w:val="08CF758A"/>
    <w:rsid w:val="094E0AD4"/>
    <w:rsid w:val="13154592"/>
    <w:rsid w:val="193F707D"/>
    <w:rsid w:val="1DF1109F"/>
    <w:rsid w:val="29445A87"/>
    <w:rsid w:val="2A0A2137"/>
    <w:rsid w:val="2B802442"/>
    <w:rsid w:val="358A17F6"/>
    <w:rsid w:val="383C3259"/>
    <w:rsid w:val="3EC3774B"/>
    <w:rsid w:val="41683BD8"/>
    <w:rsid w:val="43476687"/>
    <w:rsid w:val="4607336A"/>
    <w:rsid w:val="4A07060A"/>
    <w:rsid w:val="4D636759"/>
    <w:rsid w:val="506A3A1E"/>
    <w:rsid w:val="552F3711"/>
    <w:rsid w:val="5BB428B7"/>
    <w:rsid w:val="5CBA7631"/>
    <w:rsid w:val="62DD22DA"/>
    <w:rsid w:val="6666770B"/>
    <w:rsid w:val="67617ED3"/>
    <w:rsid w:val="6E205BE6"/>
    <w:rsid w:val="702A2758"/>
    <w:rsid w:val="70F60817"/>
    <w:rsid w:val="72760055"/>
    <w:rsid w:val="785C2401"/>
    <w:rsid w:val="7BFC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60"/>
    </w:pPr>
    <w:rPr>
      <w:rFonts w:ascii="黑体" w:eastAsia="黑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unhideWhenUsed/>
    <w:qFormat/>
    <w:uiPriority w:val="99"/>
    <w:pPr>
      <w:spacing w:after="120"/>
      <w:ind w:left="420" w:leftChars="200" w:firstLine="420" w:firstLineChars="200"/>
    </w:pPr>
    <w:rPr>
      <w:rFonts w:ascii="宋体"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2554</Words>
  <Characters>2591</Characters>
  <Lines>0</Lines>
  <Paragraphs>0</Paragraphs>
  <TotalTime>4</TotalTime>
  <ScaleCrop>false</ScaleCrop>
  <LinksUpToDate>false</LinksUpToDate>
  <CharactersWithSpaces>2637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2023-09-17T02:23:00Z</dcterms:created>
  <dc:creator>HoHo</dc:creator>
  <cp:lastModifiedBy>Administrator</cp:lastModifiedBy>
  <cp:lastPrinted>2026-04-20T03:14:00Z</cp:lastPrinted>
  <dcterms:modified xsi:type="dcterms:W3CDTF">2026-04-21T01:03:09Z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C1765860A1EB453F9EBA7F9F82BD6A77_13</vt:lpwstr>
  </property>
  <property fmtid="{D5CDD505-2E9C-101B-9397-08002B2CF9AE}" pid="4" name="KSOTemplateDocerSaveRecord">
    <vt:lpwstr>eyJoZGlkIjoiYzg1MjM1Y2U3MGNhZWZjNTcyMjA1YWZjOGE5ZTAxZTcifQ==</vt:lpwstr>
  </property>
</Properties>
</file>