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00" w:lineRule="exact"/>
        <w:jc w:val="center"/>
        <w:rPr>
          <w:rFonts w:hint="default" w:ascii="Times New Roman" w:hAnsi="Times New Roman" w:eastAsia="方正小标宋简体" w:cs="Times New Roman"/>
          <w:color w:val="auto"/>
          <w:sz w:val="44"/>
          <w:szCs w:val="44"/>
          <w:lang w:val="en-US" w:eastAsia="zh-CN"/>
        </w:rPr>
      </w:pPr>
      <w:r>
        <w:rPr>
          <w:rFonts w:hint="eastAsia" w:ascii="Times New Roman" w:hAnsi="Times New Roman" w:eastAsia="方正小标宋简体" w:cs="Times New Roman"/>
          <w:color w:val="auto"/>
          <w:sz w:val="44"/>
          <w:szCs w:val="44"/>
          <w:lang w:val="en-US" w:eastAsia="zh-CN"/>
        </w:rPr>
        <w:t>揭阳市成品油产品质量监督抽查实施细则（2026年版）</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default" w:ascii="Times New Roman" w:hAnsi="Times New Roman" w:eastAsia="黑体" w:cs="Times New Roman"/>
          <w:kern w:val="2"/>
          <w:sz w:val="32"/>
          <w:szCs w:val="32"/>
          <w:lang w:val="en-US" w:eastAsia="zh-CN" w:bidi="ar"/>
        </w:rPr>
      </w:pPr>
      <w:r>
        <w:rPr>
          <w:rFonts w:hint="eastAsia" w:ascii="Times New Roman" w:hAnsi="Times New Roman" w:eastAsia="黑体" w:cs="Times New Roman"/>
          <w:kern w:val="2"/>
          <w:sz w:val="32"/>
          <w:szCs w:val="32"/>
          <w:lang w:val="en-US" w:eastAsia="zh-CN" w:bidi="ar"/>
        </w:rPr>
        <w:t>一、</w:t>
      </w:r>
      <w:r>
        <w:rPr>
          <w:rFonts w:hint="default" w:ascii="Times New Roman" w:hAnsi="Times New Roman" w:eastAsia="黑体" w:cs="Times New Roman"/>
          <w:kern w:val="2"/>
          <w:sz w:val="32"/>
          <w:szCs w:val="32"/>
          <w:lang w:val="en-US" w:eastAsia="zh-CN" w:bidi="ar"/>
        </w:rPr>
        <w:t>抽样方法</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以随机抽样的方式在被抽样生产者、销售者的待销产品中抽取。</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随机数一般可使用随机数表等方法产生。</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抽查数量：每款产品抽取2组样本，第1组用于检验，第2组用于备样。每组样本需抽取样品数量如下表所示：</w:t>
      </w:r>
    </w:p>
    <w:tbl>
      <w:tblPr>
        <w:tblStyle w:val="3"/>
        <w:tblW w:w="9042"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519"/>
        <w:gridCol w:w="2827"/>
        <w:gridCol w:w="28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tblHeader/>
        </w:trPr>
        <w:tc>
          <w:tcPr>
            <w:tcW w:w="8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Times New Roman" w:hAnsi="Times New Roman" w:eastAsia="仿宋_GB2312" w:cs="仿宋_GB2312"/>
                <w:b/>
                <w:bCs/>
                <w:sz w:val="24"/>
                <w:szCs w:val="24"/>
              </w:rPr>
            </w:pPr>
            <w:r>
              <w:rPr>
                <w:rFonts w:hint="eastAsia" w:ascii="Times New Roman" w:hAnsi="Times New Roman" w:eastAsia="仿宋_GB2312" w:cs="仿宋_GB2312"/>
                <w:b/>
                <w:bCs/>
                <w:sz w:val="24"/>
                <w:szCs w:val="24"/>
                <w:lang w:bidi="ar"/>
              </w:rPr>
              <w:t>序号</w:t>
            </w:r>
          </w:p>
        </w:tc>
        <w:tc>
          <w:tcPr>
            <w:tcW w:w="25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Times New Roman" w:hAnsi="Times New Roman" w:eastAsia="仿宋_GB2312" w:cs="仿宋_GB2312"/>
                <w:b/>
                <w:bCs/>
                <w:sz w:val="24"/>
                <w:szCs w:val="24"/>
              </w:rPr>
            </w:pPr>
            <w:r>
              <w:rPr>
                <w:rFonts w:hint="eastAsia" w:ascii="Times New Roman" w:hAnsi="Times New Roman" w:eastAsia="仿宋_GB2312" w:cs="仿宋_GB2312"/>
                <w:b/>
                <w:bCs/>
                <w:sz w:val="24"/>
                <w:szCs w:val="24"/>
                <w:lang w:bidi="ar"/>
              </w:rPr>
              <w:t>产品名称</w:t>
            </w:r>
          </w:p>
        </w:tc>
        <w:tc>
          <w:tcPr>
            <w:tcW w:w="2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Times New Roman" w:hAnsi="Times New Roman" w:eastAsia="仿宋_GB2312" w:cs="仿宋_GB2312"/>
                <w:b/>
                <w:bCs/>
                <w:sz w:val="24"/>
                <w:szCs w:val="24"/>
              </w:rPr>
            </w:pPr>
            <w:r>
              <w:rPr>
                <w:rFonts w:hint="eastAsia" w:ascii="Times New Roman" w:hAnsi="Times New Roman" w:eastAsia="仿宋_GB2312" w:cs="仿宋_GB2312"/>
                <w:b/>
                <w:bCs/>
                <w:sz w:val="24"/>
                <w:szCs w:val="24"/>
                <w:lang w:bidi="ar"/>
              </w:rPr>
              <w:t>第1组数量</w:t>
            </w:r>
          </w:p>
        </w:tc>
        <w:tc>
          <w:tcPr>
            <w:tcW w:w="282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Times New Roman" w:hAnsi="Times New Roman" w:eastAsia="仿宋_GB2312" w:cs="仿宋_GB2312"/>
                <w:b/>
                <w:bCs/>
                <w:sz w:val="24"/>
                <w:szCs w:val="24"/>
                <w:lang w:bidi="ar"/>
              </w:rPr>
            </w:pPr>
            <w:r>
              <w:rPr>
                <w:rFonts w:hint="eastAsia" w:ascii="Times New Roman" w:hAnsi="Times New Roman" w:eastAsia="仿宋_GB2312" w:cs="仿宋_GB2312"/>
                <w:b/>
                <w:bCs/>
                <w:sz w:val="24"/>
                <w:szCs w:val="24"/>
                <w:lang w:bidi="ar"/>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9"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exact"/>
              <w:jc w:val="center"/>
              <w:rPr>
                <w:rFonts w:hint="eastAsia" w:ascii="Times New Roman" w:hAnsi="Times New Roman" w:eastAsia="仿宋_GB2312" w:cs="仿宋_GB2312"/>
                <w:color w:val="000000"/>
                <w:kern w:val="2"/>
                <w:sz w:val="24"/>
                <w:szCs w:val="24"/>
                <w:lang w:val="en-US" w:eastAsia="zh-CN" w:bidi="ar-SA"/>
              </w:rPr>
            </w:pPr>
            <w:r>
              <w:rPr>
                <w:rFonts w:hint="eastAsia" w:ascii="Times New Roman" w:hAnsi="Times New Roman" w:eastAsia="仿宋_GB2312" w:cs="仿宋_GB2312"/>
                <w:color w:val="000000"/>
                <w:sz w:val="24"/>
                <w:szCs w:val="24"/>
              </w:rPr>
              <w:t>1</w:t>
            </w:r>
          </w:p>
        </w:tc>
        <w:tc>
          <w:tcPr>
            <w:tcW w:w="251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eastAsia" w:ascii="Times New Roman" w:hAnsi="Times New Roman" w:eastAsia="仿宋_GB2312" w:cs="仿宋_GB2312"/>
                <w:color w:val="000000"/>
                <w:sz w:val="24"/>
                <w:szCs w:val="24"/>
                <w:lang w:val="en-US" w:eastAsia="zh-CN" w:bidi="ar"/>
              </w:rPr>
              <w:t>车用汽油</w:t>
            </w:r>
          </w:p>
        </w:tc>
        <w:tc>
          <w:tcPr>
            <w:tcW w:w="28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560" w:lineRule="exact"/>
              <w:jc w:val="center"/>
              <w:rPr>
                <w:rFonts w:hint="eastAsia" w:ascii="Times New Roman" w:hAnsi="Times New Roman" w:eastAsia="仿宋_GB2312" w:cs="仿宋_GB2312"/>
                <w:color w:val="000000"/>
                <w:sz w:val="24"/>
                <w:szCs w:val="24"/>
                <w:lang w:val="en-US" w:eastAsia="zh-CN" w:bidi="ar"/>
              </w:rPr>
            </w:pPr>
            <w:r>
              <w:rPr>
                <w:rFonts w:hint="eastAsia" w:ascii="Times New Roman" w:hAnsi="Times New Roman" w:eastAsia="仿宋_GB2312" w:cs="仿宋_GB2312"/>
                <w:color w:val="000000"/>
                <w:sz w:val="24"/>
                <w:szCs w:val="24"/>
                <w:lang w:val="en-US" w:eastAsia="zh-CN" w:bidi="ar"/>
              </w:rPr>
              <w:t>至少2.7L（包含2部分，第一部分至少2L，第二部分至少700mL）</w:t>
            </w:r>
          </w:p>
        </w:tc>
        <w:tc>
          <w:tcPr>
            <w:tcW w:w="28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560" w:lineRule="exact"/>
              <w:jc w:val="center"/>
              <w:rPr>
                <w:rFonts w:hint="eastAsia" w:ascii="Times New Roman" w:hAnsi="Times New Roman" w:eastAsia="仿宋_GB2312" w:cs="仿宋_GB2312"/>
                <w:color w:val="000000"/>
                <w:sz w:val="24"/>
                <w:szCs w:val="24"/>
                <w:lang w:val="en-US" w:eastAsia="zh-CN" w:bidi="ar"/>
              </w:rPr>
            </w:pPr>
            <w:r>
              <w:rPr>
                <w:rFonts w:hint="eastAsia" w:ascii="Times New Roman" w:hAnsi="Times New Roman" w:eastAsia="仿宋_GB2312" w:cs="仿宋_GB2312"/>
                <w:color w:val="000000"/>
                <w:sz w:val="24"/>
                <w:szCs w:val="24"/>
                <w:lang w:val="en-US" w:eastAsia="zh-CN" w:bidi="ar"/>
              </w:rPr>
              <w:t>至少2.7L（包含2部分，第一部分至少2L，第二部分至少700mL）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69"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exact"/>
              <w:jc w:val="center"/>
              <w:rPr>
                <w:rFonts w:hint="eastAsia" w:ascii="Times New Roman" w:hAnsi="Times New Roman" w:eastAsia="仿宋_GB2312" w:cs="仿宋_GB2312"/>
                <w:color w:val="000000"/>
                <w:kern w:val="2"/>
                <w:sz w:val="24"/>
                <w:szCs w:val="24"/>
                <w:lang w:val="en-US" w:eastAsia="zh-CN" w:bidi="ar-SA"/>
              </w:rPr>
            </w:pPr>
            <w:r>
              <w:rPr>
                <w:rFonts w:hint="eastAsia" w:ascii="Times New Roman" w:hAnsi="Times New Roman" w:eastAsia="仿宋_GB2312" w:cs="仿宋_GB2312"/>
                <w:color w:val="000000"/>
                <w:sz w:val="24"/>
                <w:szCs w:val="24"/>
              </w:rPr>
              <w:t>2</w:t>
            </w:r>
          </w:p>
        </w:tc>
        <w:tc>
          <w:tcPr>
            <w:tcW w:w="2519"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eastAsia" w:ascii="Times New Roman" w:hAnsi="Times New Roman" w:eastAsia="仿宋_GB2312" w:cs="仿宋_GB2312"/>
                <w:color w:val="000000"/>
                <w:sz w:val="24"/>
                <w:szCs w:val="24"/>
                <w:lang w:val="en-US" w:eastAsia="zh-CN" w:bidi="ar"/>
              </w:rPr>
              <w:t>车用柴油</w:t>
            </w:r>
          </w:p>
        </w:tc>
        <w:tc>
          <w:tcPr>
            <w:tcW w:w="28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560" w:lineRule="exact"/>
              <w:jc w:val="center"/>
              <w:rPr>
                <w:rFonts w:hint="eastAsia" w:ascii="Times New Roman" w:hAnsi="Times New Roman" w:eastAsia="仿宋_GB2312" w:cs="仿宋_GB2312"/>
                <w:color w:val="000000"/>
                <w:sz w:val="24"/>
                <w:szCs w:val="24"/>
                <w:lang w:val="en-US" w:eastAsia="zh-CN" w:bidi="ar"/>
              </w:rPr>
            </w:pPr>
            <w:r>
              <w:rPr>
                <w:rFonts w:hint="eastAsia" w:ascii="Times New Roman" w:hAnsi="Times New Roman" w:eastAsia="仿宋_GB2312" w:cs="仿宋_GB2312"/>
                <w:color w:val="000000"/>
                <w:sz w:val="24"/>
                <w:szCs w:val="24"/>
                <w:lang w:val="en-US" w:eastAsia="zh-CN" w:bidi="ar"/>
              </w:rPr>
              <w:t>至少2L</w:t>
            </w:r>
          </w:p>
        </w:tc>
        <w:tc>
          <w:tcPr>
            <w:tcW w:w="2827"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560" w:lineRule="exact"/>
              <w:jc w:val="center"/>
              <w:rPr>
                <w:rFonts w:hint="eastAsia" w:ascii="Times New Roman" w:hAnsi="Times New Roman" w:eastAsia="仿宋_GB2312" w:cs="仿宋_GB2312"/>
                <w:color w:val="000000"/>
                <w:sz w:val="24"/>
                <w:szCs w:val="24"/>
                <w:lang w:val="en-US" w:eastAsia="zh-CN" w:bidi="ar"/>
              </w:rPr>
            </w:pPr>
            <w:r>
              <w:rPr>
                <w:rFonts w:hint="eastAsia" w:ascii="Times New Roman" w:hAnsi="Times New Roman" w:eastAsia="仿宋_GB2312" w:cs="仿宋_GB2312"/>
                <w:color w:val="000000"/>
                <w:sz w:val="24"/>
                <w:szCs w:val="24"/>
                <w:lang w:val="en-US" w:eastAsia="zh-CN" w:bidi="ar"/>
              </w:rPr>
              <w:t>至少2L</w:t>
            </w:r>
          </w:p>
        </w:tc>
      </w:tr>
    </w:tbl>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仿宋_GB2312" w:hAnsi="Times New Roman" w:eastAsia="仿宋_GB2312" w:cs="仿宋_GB2312"/>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抽样方法如下：在生产企业（油库）抽样时，按GB/T 4756-2015《石油液体手工取样法》规定的方法抽取样本；在加油站或燃油供应车辆抽样时，直接在加油机加油枪或加油管出口处（或取样处）随机抽取样本。抽取样本前，通过油枪或油管将至少4L油品放出，清洗加油管，避免加油管污染样品；同时清洗取样罐至少3次。将抽取的样品密封，贴上样品标签，加封封条，全部带回检验机构。</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Times New Roman" w:hAnsi="Times New Roman" w:eastAsia="黑体" w:cs="Times New Roman"/>
          <w:kern w:val="2"/>
          <w:sz w:val="32"/>
          <w:szCs w:val="32"/>
          <w:lang w:val="en-US" w:eastAsia="zh-CN" w:bidi="ar"/>
        </w:rPr>
      </w:pPr>
      <w:r>
        <w:rPr>
          <w:rFonts w:hint="eastAsia" w:ascii="Times New Roman" w:hAnsi="Times New Roman" w:eastAsia="黑体" w:cs="Times New Roman"/>
          <w:kern w:val="2"/>
          <w:sz w:val="32"/>
          <w:szCs w:val="32"/>
          <w:lang w:val="en-US" w:eastAsia="zh-CN" w:bidi="ar"/>
        </w:rPr>
        <w:t>二、检验依据</w:t>
      </w:r>
    </w:p>
    <w:p>
      <w:pPr>
        <w:keepNext w:val="0"/>
        <w:keepLines w:val="0"/>
        <w:pageBreakBefore w:val="0"/>
        <w:widowControl w:val="0"/>
        <w:kinsoku/>
        <w:wordWrap/>
        <w:overflowPunct/>
        <w:topLinePunct w:val="0"/>
        <w:bidi w:val="0"/>
        <w:spacing w:line="600" w:lineRule="exact"/>
        <w:ind w:firstLine="640" w:firstLineChars="200"/>
        <w:textAlignment w:val="auto"/>
        <w:rPr>
          <w:rFonts w:hint="eastAsia" w:ascii="Times New Roman" w:hAnsi="Times New Roman" w:eastAsia="楷体_GB2312" w:cs="Times New Roman"/>
          <w:color w:val="auto"/>
          <w:sz w:val="32"/>
          <w:szCs w:val="32"/>
          <w:lang w:val="en-US" w:eastAsia="zh-CN"/>
        </w:rPr>
      </w:pPr>
      <w:r>
        <w:rPr>
          <w:rFonts w:hint="eastAsia" w:ascii="Times New Roman" w:hAnsi="Times New Roman" w:eastAsia="楷体_GB2312" w:cs="Times New Roman"/>
          <w:color w:val="auto"/>
          <w:sz w:val="32"/>
          <w:szCs w:val="32"/>
          <w:lang w:val="en-US" w:eastAsia="zh-CN"/>
        </w:rPr>
        <w:t>（一）车用汽油</w:t>
      </w:r>
    </w:p>
    <w:tbl>
      <w:tblPr>
        <w:tblStyle w:val="3"/>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trPr>
        <w:tc>
          <w:tcPr>
            <w:tcW w:w="9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Times New Roman" w:hAnsi="Times New Roman" w:eastAsia="仿宋_GB2312" w:cs="仿宋_GB2312"/>
                <w:b/>
                <w:bCs/>
                <w:sz w:val="24"/>
                <w:szCs w:val="24"/>
                <w:lang w:bidi="ar"/>
              </w:rPr>
            </w:pPr>
            <w:r>
              <w:rPr>
                <w:rFonts w:hint="eastAsia" w:ascii="Times New Roman" w:hAnsi="Times New Roman" w:eastAsia="仿宋_GB2312" w:cs="仿宋_GB2312"/>
                <w:b/>
                <w:bCs/>
                <w:sz w:val="24"/>
                <w:szCs w:val="24"/>
                <w:lang w:bidi="ar"/>
              </w:rPr>
              <w:t>序号</w:t>
            </w:r>
          </w:p>
        </w:tc>
        <w:tc>
          <w:tcPr>
            <w:tcW w:w="4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Times New Roman" w:hAnsi="Times New Roman" w:eastAsia="仿宋_GB2312" w:cs="仿宋_GB2312"/>
                <w:b/>
                <w:bCs/>
                <w:sz w:val="24"/>
                <w:szCs w:val="24"/>
                <w:lang w:bidi="ar"/>
              </w:rPr>
            </w:pPr>
            <w:r>
              <w:rPr>
                <w:rFonts w:hint="eastAsia" w:ascii="Times New Roman" w:hAnsi="Times New Roman" w:eastAsia="仿宋_GB2312" w:cs="仿宋_GB2312"/>
                <w:b/>
                <w:bCs/>
                <w:sz w:val="24"/>
                <w:szCs w:val="24"/>
                <w:lang w:bidi="ar"/>
              </w:rPr>
              <w:t>检验项目</w:t>
            </w:r>
          </w:p>
        </w:tc>
        <w:tc>
          <w:tcPr>
            <w:tcW w:w="40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Times New Roman" w:hAnsi="Times New Roman" w:eastAsia="仿宋_GB2312" w:cs="仿宋_GB2312"/>
                <w:b/>
                <w:bCs/>
                <w:sz w:val="24"/>
                <w:szCs w:val="24"/>
                <w:lang w:bidi="ar"/>
              </w:rPr>
            </w:pPr>
            <w:r>
              <w:rPr>
                <w:rFonts w:hint="eastAsia" w:ascii="Times New Roman" w:hAnsi="Times New Roman" w:eastAsia="仿宋_GB2312" w:cs="仿宋_GB2312"/>
                <w:b/>
                <w:bCs/>
                <w:sz w:val="24"/>
                <w:szCs w:val="24"/>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61"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1</w:t>
            </w:r>
          </w:p>
        </w:tc>
        <w:tc>
          <w:tcPr>
            <w:tcW w:w="4126"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研究法辛烷值</w:t>
            </w:r>
          </w:p>
        </w:tc>
        <w:tc>
          <w:tcPr>
            <w:tcW w:w="4087"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GB/T 5487-2015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61"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2</w:t>
            </w:r>
          </w:p>
        </w:tc>
        <w:tc>
          <w:tcPr>
            <w:tcW w:w="4126"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馏程</w:t>
            </w:r>
          </w:p>
        </w:tc>
        <w:tc>
          <w:tcPr>
            <w:tcW w:w="4087"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GB/T 6536-2010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61"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3</w:t>
            </w:r>
          </w:p>
        </w:tc>
        <w:tc>
          <w:tcPr>
            <w:tcW w:w="4126"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硫含量</w:t>
            </w:r>
          </w:p>
        </w:tc>
        <w:tc>
          <w:tcPr>
            <w:tcW w:w="4087"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exact"/>
              <w:jc w:val="center"/>
              <w:rPr>
                <w:rFonts w:hint="default" w:ascii="Times New Roman" w:hAnsi="Times New Roman" w:eastAsia="仿宋_GB2312" w:cs="仿宋_GB2312"/>
                <w:color w:val="000000"/>
                <w:sz w:val="24"/>
                <w:szCs w:val="24"/>
              </w:rPr>
            </w:pPr>
            <w:r>
              <w:rPr>
                <w:rFonts w:hint="default" w:ascii="Times New Roman" w:hAnsi="Times New Roman" w:eastAsia="仿宋_GB2312" w:cs="仿宋_GB2312"/>
                <w:color w:val="000000"/>
                <w:sz w:val="24"/>
                <w:szCs w:val="24"/>
              </w:rPr>
              <w:t>SH/T 0689-2000</w:t>
            </w:r>
          </w:p>
          <w:p>
            <w:pPr>
              <w:snapToGrid w:val="0"/>
              <w:spacing w:line="300" w:lineRule="exact"/>
              <w:jc w:val="center"/>
              <w:rPr>
                <w:rFonts w:hint="default" w:ascii="Times New Roman" w:hAnsi="Times New Roman" w:eastAsia="仿宋_GB2312" w:cs="仿宋_GB2312"/>
                <w:color w:val="000000"/>
                <w:sz w:val="24"/>
                <w:szCs w:val="24"/>
              </w:rPr>
            </w:pPr>
            <w:r>
              <w:rPr>
                <w:rFonts w:hint="default" w:ascii="Times New Roman" w:hAnsi="Times New Roman" w:eastAsia="仿宋_GB2312" w:cs="仿宋_GB2312"/>
                <w:color w:val="000000"/>
                <w:sz w:val="24"/>
                <w:szCs w:val="24"/>
              </w:rPr>
              <w:t>GB/T 11140-2008</w:t>
            </w:r>
          </w:p>
          <w:p>
            <w:pPr>
              <w:snapToGrid w:val="0"/>
              <w:spacing w:line="300" w:lineRule="exact"/>
              <w:jc w:val="center"/>
              <w:rPr>
                <w:rFonts w:hint="default" w:ascii="Times New Roman" w:hAnsi="Times New Roman" w:eastAsia="仿宋_GB2312" w:cs="仿宋_GB2312"/>
                <w:color w:val="000000"/>
                <w:sz w:val="24"/>
                <w:szCs w:val="24"/>
              </w:rPr>
            </w:pPr>
            <w:r>
              <w:rPr>
                <w:rFonts w:hint="default" w:ascii="Times New Roman" w:hAnsi="Times New Roman" w:eastAsia="仿宋_GB2312" w:cs="仿宋_GB2312"/>
                <w:color w:val="000000"/>
                <w:sz w:val="24"/>
                <w:szCs w:val="24"/>
              </w:rPr>
              <w:t>NB/SH/T 0253-2021</w:t>
            </w:r>
          </w:p>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ASTM D7039-15a</w:t>
            </w:r>
            <w:r>
              <w:rPr>
                <w:rFonts w:hint="eastAsia" w:ascii="Times New Roman" w:hAnsi="Times New Roman" w:eastAsia="仿宋_GB2312" w:cs="仿宋_GB2312"/>
                <w:color w:val="000000"/>
                <w:sz w:val="24"/>
                <w:szCs w:val="24"/>
                <w:lang w:eastAsia="zh-CN"/>
              </w:rPr>
              <w:t>（</w:t>
            </w:r>
            <w:r>
              <w:rPr>
                <w:rFonts w:hint="eastAsia" w:ascii="Times New Roman" w:hAnsi="Times New Roman" w:eastAsia="仿宋_GB2312" w:cs="仿宋_GB2312"/>
                <w:color w:val="000000"/>
                <w:sz w:val="24"/>
                <w:szCs w:val="24"/>
                <w:lang w:val="en-US" w:eastAsia="zh-CN"/>
              </w:rPr>
              <w:t>2020</w:t>
            </w:r>
            <w:r>
              <w:rPr>
                <w:rFonts w:hint="eastAsia" w:ascii="Times New Roman" w:hAnsi="Times New Roman" w:eastAsia="仿宋_GB2312" w:cs="仿宋_GB2312"/>
                <w:color w:val="00000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61" w:type="dxa"/>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4</w:t>
            </w:r>
          </w:p>
        </w:tc>
        <w:tc>
          <w:tcPr>
            <w:tcW w:w="4126"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苯含量</w:t>
            </w:r>
          </w:p>
        </w:tc>
        <w:tc>
          <w:tcPr>
            <w:tcW w:w="4087" w:type="dxa"/>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eastAsia" w:ascii="Times New Roman" w:hAnsi="Times New Roman" w:eastAsia="仿宋_GB2312" w:cs="仿宋_GB2312"/>
                <w:color w:val="000000"/>
                <w:sz w:val="24"/>
                <w:szCs w:val="24"/>
                <w:lang w:val="en-US" w:eastAsia="zh-CN"/>
              </w:rPr>
              <w:t>NB/</w:t>
            </w:r>
            <w:r>
              <w:rPr>
                <w:rFonts w:hint="default" w:ascii="Times New Roman" w:hAnsi="Times New Roman" w:eastAsia="仿宋_GB2312" w:cs="仿宋_GB2312"/>
                <w:color w:val="000000"/>
                <w:sz w:val="24"/>
                <w:szCs w:val="24"/>
              </w:rPr>
              <w:t>SH/T 0713-20</w:t>
            </w:r>
            <w:r>
              <w:rPr>
                <w:rFonts w:hint="eastAsia" w:ascii="Times New Roman" w:hAnsi="Times New Roman" w:eastAsia="仿宋_GB2312" w:cs="仿宋_GB2312"/>
                <w:color w:val="000000"/>
                <w:sz w:val="24"/>
                <w:szCs w:val="24"/>
                <w:lang w:val="en-US" w:eastAsia="zh-CN"/>
              </w:rPr>
              <w:t>23</w:t>
            </w:r>
          </w:p>
          <w:p>
            <w:pPr>
              <w:snapToGrid w:val="0"/>
              <w:spacing w:line="300" w:lineRule="exact"/>
              <w:jc w:val="center"/>
              <w:rPr>
                <w:rFonts w:hint="default" w:ascii="Times New Roman" w:hAnsi="Times New Roman" w:eastAsia="仿宋_GB2312" w:cs="仿宋_GB2312"/>
                <w:color w:val="000000"/>
                <w:sz w:val="24"/>
                <w:szCs w:val="24"/>
              </w:rPr>
            </w:pPr>
            <w:r>
              <w:rPr>
                <w:rFonts w:hint="default" w:ascii="Times New Roman" w:hAnsi="Times New Roman" w:eastAsia="仿宋_GB2312" w:cs="仿宋_GB2312"/>
                <w:color w:val="000000"/>
                <w:sz w:val="24"/>
                <w:szCs w:val="24"/>
              </w:rPr>
              <w:t>SH/T 0693-2000</w:t>
            </w:r>
          </w:p>
          <w:p>
            <w:pPr>
              <w:snapToGrid w:val="0"/>
              <w:spacing w:line="300" w:lineRule="exact"/>
              <w:jc w:val="center"/>
              <w:rPr>
                <w:rFonts w:hint="default" w:ascii="Times New Roman" w:hAnsi="Times New Roman" w:eastAsia="仿宋_GB2312" w:cs="仿宋_GB2312"/>
                <w:color w:val="000000"/>
                <w:sz w:val="24"/>
                <w:szCs w:val="24"/>
              </w:rPr>
            </w:pPr>
            <w:r>
              <w:rPr>
                <w:rFonts w:hint="default" w:ascii="Times New Roman" w:hAnsi="Times New Roman" w:eastAsia="仿宋_GB2312" w:cs="仿宋_GB2312"/>
                <w:color w:val="000000"/>
                <w:sz w:val="24"/>
                <w:szCs w:val="24"/>
              </w:rPr>
              <w:t>GB/T 28768-2012</w:t>
            </w:r>
          </w:p>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GB/T 30519-</w:t>
            </w:r>
            <w:r>
              <w:rPr>
                <w:rFonts w:hint="eastAsia" w:ascii="Times New Roman" w:hAnsi="Times New Roman" w:eastAsia="仿宋_GB2312" w:cs="仿宋_GB2312"/>
                <w:color w:val="000000"/>
                <w:sz w:val="24"/>
                <w:szCs w:val="24"/>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61" w:type="dxa"/>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5</w:t>
            </w:r>
          </w:p>
        </w:tc>
        <w:tc>
          <w:tcPr>
            <w:tcW w:w="4126"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芳烃含量</w:t>
            </w:r>
          </w:p>
        </w:tc>
        <w:tc>
          <w:tcPr>
            <w:tcW w:w="4087" w:type="dxa"/>
            <w:noWrap w:val="0"/>
            <w:vAlign w:val="center"/>
          </w:tcPr>
          <w:p>
            <w:pPr>
              <w:snapToGrid w:val="0"/>
              <w:spacing w:line="300" w:lineRule="exact"/>
              <w:jc w:val="center"/>
              <w:rPr>
                <w:rFonts w:hint="default" w:ascii="Times New Roman" w:hAnsi="Times New Roman" w:eastAsia="仿宋_GB2312" w:cs="仿宋_GB2312"/>
                <w:color w:val="000000"/>
                <w:sz w:val="24"/>
                <w:szCs w:val="24"/>
              </w:rPr>
            </w:pPr>
            <w:r>
              <w:rPr>
                <w:rFonts w:hint="default" w:ascii="Times New Roman" w:hAnsi="Times New Roman" w:eastAsia="仿宋_GB2312" w:cs="仿宋_GB2312"/>
                <w:color w:val="000000"/>
                <w:sz w:val="24"/>
                <w:szCs w:val="24"/>
              </w:rPr>
              <w:t>GB/T 30519-</w:t>
            </w:r>
            <w:r>
              <w:rPr>
                <w:rFonts w:hint="eastAsia" w:ascii="Times New Roman" w:hAnsi="Times New Roman" w:eastAsia="仿宋_GB2312" w:cs="仿宋_GB2312"/>
                <w:color w:val="000000"/>
                <w:sz w:val="24"/>
                <w:szCs w:val="24"/>
                <w:lang w:val="en-US" w:eastAsia="zh-CN"/>
              </w:rPr>
              <w:t>2024</w:t>
            </w:r>
          </w:p>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GB/T 28768-2012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61" w:type="dxa"/>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6</w:t>
            </w:r>
          </w:p>
        </w:tc>
        <w:tc>
          <w:tcPr>
            <w:tcW w:w="4126"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烯烃含量</w:t>
            </w:r>
          </w:p>
        </w:tc>
        <w:tc>
          <w:tcPr>
            <w:tcW w:w="4087" w:type="dxa"/>
            <w:noWrap w:val="0"/>
            <w:vAlign w:val="center"/>
          </w:tcPr>
          <w:p>
            <w:pPr>
              <w:snapToGrid w:val="0"/>
              <w:spacing w:line="300" w:lineRule="exact"/>
              <w:jc w:val="center"/>
              <w:rPr>
                <w:rFonts w:hint="default" w:ascii="Times New Roman" w:hAnsi="Times New Roman" w:eastAsia="仿宋_GB2312" w:cs="仿宋_GB2312"/>
                <w:color w:val="000000"/>
                <w:sz w:val="24"/>
                <w:szCs w:val="24"/>
              </w:rPr>
            </w:pPr>
            <w:r>
              <w:rPr>
                <w:rFonts w:hint="default" w:ascii="Times New Roman" w:hAnsi="Times New Roman" w:eastAsia="仿宋_GB2312" w:cs="仿宋_GB2312"/>
                <w:color w:val="000000"/>
                <w:sz w:val="24"/>
                <w:szCs w:val="24"/>
              </w:rPr>
              <w:t>GB/T 30519-</w:t>
            </w:r>
            <w:r>
              <w:rPr>
                <w:rFonts w:hint="eastAsia" w:ascii="Times New Roman" w:hAnsi="Times New Roman" w:eastAsia="仿宋_GB2312" w:cs="仿宋_GB2312"/>
                <w:color w:val="000000"/>
                <w:sz w:val="24"/>
                <w:szCs w:val="24"/>
                <w:lang w:val="en-US" w:eastAsia="zh-CN"/>
              </w:rPr>
              <w:t>2024</w:t>
            </w:r>
          </w:p>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GB/T 28768-2012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61" w:type="dxa"/>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7</w:t>
            </w:r>
          </w:p>
        </w:tc>
        <w:tc>
          <w:tcPr>
            <w:tcW w:w="4126"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氧含量</w:t>
            </w:r>
          </w:p>
        </w:tc>
        <w:tc>
          <w:tcPr>
            <w:tcW w:w="4087" w:type="dxa"/>
            <w:noWrap w:val="0"/>
            <w:vAlign w:val="center"/>
          </w:tcPr>
          <w:p>
            <w:pPr>
              <w:snapToGrid w:val="0"/>
              <w:spacing w:line="300" w:lineRule="exact"/>
              <w:jc w:val="center"/>
              <w:rPr>
                <w:rFonts w:hint="default" w:ascii="Times New Roman" w:hAnsi="Times New Roman" w:eastAsia="仿宋_GB2312" w:cs="仿宋_GB2312"/>
                <w:color w:val="000000"/>
                <w:sz w:val="24"/>
                <w:szCs w:val="24"/>
              </w:rPr>
            </w:pPr>
            <w:r>
              <w:rPr>
                <w:rFonts w:hint="default" w:ascii="Times New Roman" w:hAnsi="Times New Roman" w:eastAsia="仿宋_GB2312" w:cs="仿宋_GB2312"/>
                <w:color w:val="000000"/>
                <w:sz w:val="24"/>
                <w:szCs w:val="24"/>
              </w:rPr>
              <w:t>NB/SH/T 0663-2014</w:t>
            </w:r>
          </w:p>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SH/T 0720-2002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61" w:type="dxa"/>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8</w:t>
            </w:r>
          </w:p>
        </w:tc>
        <w:tc>
          <w:tcPr>
            <w:tcW w:w="4126"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甲醇含量</w:t>
            </w:r>
          </w:p>
        </w:tc>
        <w:tc>
          <w:tcPr>
            <w:tcW w:w="4087" w:type="dxa"/>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NB/SH/T 0663-2014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61" w:type="dxa"/>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9</w:t>
            </w:r>
          </w:p>
        </w:tc>
        <w:tc>
          <w:tcPr>
            <w:tcW w:w="4126"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密度(20℃)</w:t>
            </w:r>
          </w:p>
        </w:tc>
        <w:tc>
          <w:tcPr>
            <w:tcW w:w="4087" w:type="dxa"/>
            <w:noWrap w:val="0"/>
            <w:vAlign w:val="center"/>
          </w:tcPr>
          <w:p>
            <w:pPr>
              <w:snapToGrid w:val="0"/>
              <w:spacing w:line="300" w:lineRule="exact"/>
              <w:jc w:val="center"/>
              <w:rPr>
                <w:rFonts w:hint="default" w:ascii="Times New Roman" w:hAnsi="Times New Roman" w:eastAsia="仿宋_GB2312" w:cs="仿宋_GB2312"/>
                <w:color w:val="000000"/>
                <w:sz w:val="24"/>
                <w:szCs w:val="24"/>
              </w:rPr>
            </w:pPr>
            <w:r>
              <w:rPr>
                <w:rFonts w:hint="default" w:ascii="Times New Roman" w:hAnsi="Times New Roman" w:eastAsia="仿宋_GB2312" w:cs="仿宋_GB2312"/>
                <w:color w:val="000000"/>
                <w:sz w:val="24"/>
                <w:szCs w:val="24"/>
              </w:rPr>
              <w:t>GB/T 1884-2000</w:t>
            </w:r>
          </w:p>
          <w:p>
            <w:pPr>
              <w:snapToGrid w:val="0"/>
              <w:spacing w:line="300" w:lineRule="exact"/>
              <w:jc w:val="center"/>
              <w:rPr>
                <w:rFonts w:hint="default" w:ascii="Times New Roman" w:hAnsi="Times New Roman" w:eastAsia="仿宋_GB2312" w:cs="仿宋_GB2312"/>
                <w:color w:val="000000"/>
                <w:sz w:val="24"/>
                <w:szCs w:val="24"/>
              </w:rPr>
            </w:pPr>
            <w:r>
              <w:rPr>
                <w:rFonts w:hint="default" w:ascii="Times New Roman" w:hAnsi="Times New Roman" w:eastAsia="仿宋_GB2312" w:cs="仿宋_GB2312"/>
                <w:color w:val="000000"/>
                <w:sz w:val="24"/>
                <w:szCs w:val="24"/>
              </w:rPr>
              <w:t>GB/T 1885- 1998</w:t>
            </w:r>
          </w:p>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SH/T 0604-2000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961" w:type="dxa"/>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10</w:t>
            </w:r>
          </w:p>
        </w:tc>
        <w:tc>
          <w:tcPr>
            <w:tcW w:w="4126"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蒸气压</w:t>
            </w:r>
          </w:p>
        </w:tc>
        <w:tc>
          <w:tcPr>
            <w:tcW w:w="4087" w:type="dxa"/>
            <w:noWrap w:val="0"/>
            <w:vAlign w:val="center"/>
          </w:tcPr>
          <w:p>
            <w:pPr>
              <w:snapToGrid w:val="0"/>
              <w:spacing w:line="300" w:lineRule="exact"/>
              <w:jc w:val="center"/>
              <w:rPr>
                <w:rFonts w:hint="default" w:ascii="Times New Roman" w:hAnsi="Times New Roman" w:eastAsia="仿宋_GB2312" w:cs="仿宋_GB2312"/>
                <w:color w:val="000000"/>
                <w:sz w:val="24"/>
                <w:szCs w:val="24"/>
              </w:rPr>
            </w:pPr>
            <w:r>
              <w:rPr>
                <w:rFonts w:hint="default" w:ascii="Times New Roman" w:hAnsi="Times New Roman" w:eastAsia="仿宋_GB2312" w:cs="仿宋_GB2312"/>
                <w:color w:val="000000"/>
                <w:sz w:val="24"/>
                <w:szCs w:val="24"/>
              </w:rPr>
              <w:t>GB/T 8017-2012</w:t>
            </w:r>
          </w:p>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rPr>
              <w:t>SH/T 0794-2007</w:t>
            </w:r>
          </w:p>
        </w:tc>
      </w:tr>
    </w:tbl>
    <w:p>
      <w:pPr>
        <w:keepNext w:val="0"/>
        <w:keepLines w:val="0"/>
        <w:pageBreakBefore w:val="0"/>
        <w:widowControl w:val="0"/>
        <w:kinsoku/>
        <w:wordWrap/>
        <w:overflowPunct/>
        <w:topLinePunct w:val="0"/>
        <w:bidi w:val="0"/>
        <w:spacing w:line="600" w:lineRule="exact"/>
        <w:ind w:firstLine="640" w:firstLineChars="200"/>
        <w:textAlignment w:val="auto"/>
        <w:rPr>
          <w:rFonts w:hint="default" w:ascii="Times New Roman" w:hAnsi="Times New Roman" w:eastAsia="楷体_GB2312" w:cs="Times New Roman"/>
          <w:color w:val="auto"/>
          <w:sz w:val="32"/>
          <w:szCs w:val="32"/>
          <w:lang w:val="en-US" w:eastAsia="zh-CN"/>
        </w:rPr>
      </w:pPr>
      <w:r>
        <w:rPr>
          <w:rFonts w:hint="eastAsia" w:ascii="Times New Roman" w:hAnsi="Times New Roman" w:eastAsia="楷体_GB2312" w:cs="Times New Roman"/>
          <w:color w:val="auto"/>
          <w:sz w:val="32"/>
          <w:szCs w:val="32"/>
          <w:lang w:val="en-US" w:eastAsia="zh-CN"/>
        </w:rPr>
        <w:t>（二）车用柴油</w:t>
      </w:r>
    </w:p>
    <w:tbl>
      <w:tblPr>
        <w:tblStyle w:val="3"/>
        <w:tblW w:w="9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4126"/>
        <w:gridCol w:w="40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96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Times New Roman" w:hAnsi="Times New Roman" w:eastAsia="仿宋_GB2312" w:cs="仿宋_GB2312"/>
                <w:b/>
                <w:bCs/>
                <w:sz w:val="24"/>
                <w:szCs w:val="24"/>
                <w:lang w:bidi="ar"/>
              </w:rPr>
            </w:pPr>
            <w:r>
              <w:rPr>
                <w:rFonts w:hint="eastAsia" w:ascii="Times New Roman" w:hAnsi="Times New Roman" w:eastAsia="仿宋_GB2312" w:cs="仿宋_GB2312"/>
                <w:b/>
                <w:bCs/>
                <w:sz w:val="24"/>
                <w:szCs w:val="24"/>
                <w:lang w:bidi="ar"/>
              </w:rPr>
              <w:t>序号</w:t>
            </w:r>
          </w:p>
        </w:tc>
        <w:tc>
          <w:tcPr>
            <w:tcW w:w="412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Times New Roman" w:hAnsi="Times New Roman" w:eastAsia="仿宋_GB2312" w:cs="仿宋_GB2312"/>
                <w:b/>
                <w:bCs/>
                <w:sz w:val="24"/>
                <w:szCs w:val="24"/>
                <w:lang w:bidi="ar"/>
              </w:rPr>
            </w:pPr>
            <w:r>
              <w:rPr>
                <w:rFonts w:hint="eastAsia" w:ascii="Times New Roman" w:hAnsi="Times New Roman" w:eastAsia="仿宋_GB2312" w:cs="仿宋_GB2312"/>
                <w:b/>
                <w:bCs/>
                <w:sz w:val="24"/>
                <w:szCs w:val="24"/>
                <w:lang w:bidi="ar"/>
              </w:rPr>
              <w:t>检验项目</w:t>
            </w:r>
          </w:p>
        </w:tc>
        <w:tc>
          <w:tcPr>
            <w:tcW w:w="4087"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Times New Roman" w:hAnsi="Times New Roman" w:eastAsia="仿宋_GB2312" w:cs="仿宋_GB2312"/>
                <w:b/>
                <w:bCs/>
                <w:sz w:val="24"/>
                <w:szCs w:val="24"/>
                <w:lang w:bidi="ar"/>
              </w:rPr>
            </w:pPr>
            <w:r>
              <w:rPr>
                <w:rFonts w:hint="eastAsia" w:ascii="Times New Roman" w:hAnsi="Times New Roman" w:eastAsia="仿宋_GB2312" w:cs="仿宋_GB2312"/>
                <w:b/>
                <w:bCs/>
                <w:sz w:val="24"/>
                <w:szCs w:val="24"/>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560" w:lineRule="exact"/>
              <w:jc w:val="center"/>
              <w:rPr>
                <w:rFonts w:hint="eastAsia"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1</w:t>
            </w:r>
          </w:p>
        </w:tc>
        <w:tc>
          <w:tcPr>
            <w:tcW w:w="41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硫含量</w:t>
            </w:r>
          </w:p>
        </w:tc>
        <w:tc>
          <w:tcPr>
            <w:tcW w:w="4087"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SH/T 0689-2000</w:t>
            </w:r>
          </w:p>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GB/T 11140-2008</w:t>
            </w:r>
          </w:p>
          <w:p>
            <w:pPr>
              <w:snapToGrid w:val="0"/>
              <w:spacing w:line="300" w:lineRule="exact"/>
              <w:jc w:val="center"/>
              <w:rPr>
                <w:rFonts w:hint="eastAsia"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rPr>
              <w:t>ASTM D7039-15a</w:t>
            </w:r>
            <w:r>
              <w:rPr>
                <w:rFonts w:hint="eastAsia" w:ascii="Times New Roman" w:hAnsi="Times New Roman" w:eastAsia="仿宋_GB2312" w:cs="仿宋_GB2312"/>
                <w:color w:val="000000"/>
                <w:sz w:val="24"/>
                <w:szCs w:val="24"/>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560" w:lineRule="exact"/>
              <w:jc w:val="center"/>
              <w:rPr>
                <w:rFonts w:hint="eastAsia"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2</w:t>
            </w:r>
          </w:p>
        </w:tc>
        <w:tc>
          <w:tcPr>
            <w:tcW w:w="41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凝点</w:t>
            </w:r>
          </w:p>
        </w:tc>
        <w:tc>
          <w:tcPr>
            <w:tcW w:w="4087"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GB/T 510- 2018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61"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560" w:lineRule="exact"/>
              <w:jc w:val="center"/>
              <w:rPr>
                <w:rFonts w:hint="eastAsia"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3</w:t>
            </w:r>
          </w:p>
        </w:tc>
        <w:tc>
          <w:tcPr>
            <w:tcW w:w="4126" w:type="dxa"/>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闪点（闭口）</w:t>
            </w:r>
          </w:p>
        </w:tc>
        <w:tc>
          <w:tcPr>
            <w:tcW w:w="4087" w:type="dxa"/>
            <w:tcBorders>
              <w:top w:val="single" w:color="auto" w:sz="4" w:space="0"/>
              <w:left w:val="single" w:color="auto" w:sz="4" w:space="0"/>
              <w:bottom w:val="single" w:color="auto" w:sz="4" w:space="0"/>
              <w:right w:val="single" w:color="auto" w:sz="4" w:space="0"/>
            </w:tcBorders>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GB/T 261-2021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61" w:type="dxa"/>
            <w:noWrap w:val="0"/>
            <w:vAlign w:val="center"/>
          </w:tcPr>
          <w:p>
            <w:pPr>
              <w:adjustRightInd w:val="0"/>
              <w:snapToGrid w:val="0"/>
              <w:spacing w:line="560" w:lineRule="exact"/>
              <w:jc w:val="center"/>
              <w:rPr>
                <w:rFonts w:hint="eastAsia"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4</w:t>
            </w:r>
          </w:p>
        </w:tc>
        <w:tc>
          <w:tcPr>
            <w:tcW w:w="412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十六烷值</w:t>
            </w:r>
          </w:p>
        </w:tc>
        <w:tc>
          <w:tcPr>
            <w:tcW w:w="4087" w:type="dxa"/>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GB/T 386-2021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61" w:type="dxa"/>
            <w:noWrap w:val="0"/>
            <w:vAlign w:val="center"/>
          </w:tcPr>
          <w:p>
            <w:pPr>
              <w:adjustRightInd w:val="0"/>
              <w:snapToGrid w:val="0"/>
              <w:spacing w:line="560" w:lineRule="exact"/>
              <w:jc w:val="center"/>
              <w:rPr>
                <w:rFonts w:hint="eastAsia"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5</w:t>
            </w:r>
          </w:p>
        </w:tc>
        <w:tc>
          <w:tcPr>
            <w:tcW w:w="412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十六烷指数</w:t>
            </w:r>
          </w:p>
        </w:tc>
        <w:tc>
          <w:tcPr>
            <w:tcW w:w="4087"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SH/T 0694-2000</w:t>
            </w:r>
          </w:p>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GB/T 11139-1989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61" w:type="dxa"/>
            <w:noWrap w:val="0"/>
            <w:vAlign w:val="center"/>
          </w:tcPr>
          <w:p>
            <w:pPr>
              <w:adjustRightInd w:val="0"/>
              <w:snapToGrid w:val="0"/>
              <w:spacing w:line="560" w:lineRule="exact"/>
              <w:jc w:val="center"/>
              <w:rPr>
                <w:rFonts w:hint="eastAsia"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6</w:t>
            </w:r>
          </w:p>
        </w:tc>
        <w:tc>
          <w:tcPr>
            <w:tcW w:w="412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馏程</w:t>
            </w:r>
          </w:p>
        </w:tc>
        <w:tc>
          <w:tcPr>
            <w:tcW w:w="4087" w:type="dxa"/>
            <w:noWrap w:val="0"/>
            <w:vAlign w:val="center"/>
          </w:tcPr>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GB/T 6536-2010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61" w:type="dxa"/>
            <w:noWrap w:val="0"/>
            <w:vAlign w:val="center"/>
          </w:tcPr>
          <w:p>
            <w:pPr>
              <w:adjustRightInd w:val="0"/>
              <w:snapToGrid w:val="0"/>
              <w:spacing w:line="560" w:lineRule="exact"/>
              <w:jc w:val="center"/>
              <w:rPr>
                <w:rFonts w:hint="eastAsia"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7</w:t>
            </w:r>
          </w:p>
        </w:tc>
        <w:tc>
          <w:tcPr>
            <w:tcW w:w="412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多环芳烃</w:t>
            </w:r>
          </w:p>
        </w:tc>
        <w:tc>
          <w:tcPr>
            <w:tcW w:w="4087"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NB/SH/T 0806-2022</w:t>
            </w:r>
          </w:p>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NB/SH/T 0606-2019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61" w:type="dxa"/>
            <w:noWrap w:val="0"/>
            <w:vAlign w:val="center"/>
          </w:tcPr>
          <w:p>
            <w:pPr>
              <w:adjustRightInd w:val="0"/>
              <w:snapToGrid w:val="0"/>
              <w:spacing w:line="560" w:lineRule="exact"/>
              <w:jc w:val="center"/>
              <w:rPr>
                <w:rFonts w:hint="eastAsia"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8</w:t>
            </w:r>
          </w:p>
        </w:tc>
        <w:tc>
          <w:tcPr>
            <w:tcW w:w="412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密度(20℃)</w:t>
            </w:r>
          </w:p>
        </w:tc>
        <w:tc>
          <w:tcPr>
            <w:tcW w:w="4087"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GB/T 1884-2000</w:t>
            </w:r>
          </w:p>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GB/T 1885- 1998</w:t>
            </w:r>
          </w:p>
          <w:p>
            <w:pPr>
              <w:snapToGrid w:val="0"/>
              <w:spacing w:line="300" w:lineRule="exact"/>
              <w:jc w:val="center"/>
              <w:rPr>
                <w:rFonts w:hint="eastAsia"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SH/T 0604-2000</w:t>
            </w:r>
          </w:p>
        </w:tc>
      </w:tr>
    </w:tbl>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rPr>
          <w:rFonts w:hint="eastAsia" w:ascii="Times New Roman" w:hAnsi="Times New Roman" w:eastAsia="宋体" w:cs="宋体"/>
          <w:color w:val="000000"/>
          <w:sz w:val="24"/>
          <w:lang w:val="en-US" w:eastAsia="zh-CN"/>
        </w:rPr>
      </w:pPr>
      <w:r>
        <w:rPr>
          <w:rFonts w:hint="eastAsia" w:ascii="Times New Roman" w:hAnsi="Times New Roman" w:eastAsia="宋体" w:cs="宋体"/>
          <w:color w:val="000000"/>
          <w:sz w:val="24"/>
          <w:lang w:val="en-US" w:eastAsia="zh-CN"/>
        </w:rPr>
        <w:t>备注：1. 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400" w:lineRule="exact"/>
        <w:ind w:firstLine="1200" w:firstLineChars="500"/>
        <w:jc w:val="left"/>
        <w:textAlignment w:val="auto"/>
        <w:rPr>
          <w:rFonts w:hint="eastAsia" w:ascii="Times New Roman" w:hAnsi="Times New Roman" w:eastAsia="宋体" w:cs="宋体"/>
          <w:color w:val="000000"/>
          <w:sz w:val="24"/>
          <w:lang w:val="en-US" w:eastAsia="zh-CN"/>
        </w:rPr>
      </w:pPr>
      <w:r>
        <w:rPr>
          <w:rFonts w:hint="eastAsia" w:ascii="Times New Roman" w:hAnsi="Times New Roman" w:eastAsia="宋体" w:cs="宋体"/>
          <w:color w:val="000000"/>
          <w:sz w:val="24"/>
          <w:lang w:val="en-US" w:eastAsia="zh-CN"/>
        </w:rPr>
        <w:t>2. 凡是注日期的文件，其随后所有的修改单（不包括勘误的内容）或修订版不适用于本细则。凡是不注日期的文件，其最新版本适用于本细则。</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default" w:ascii="Times New Roman" w:hAnsi="Times New Roman" w:eastAsia="黑体" w:cs="Times New Roman"/>
          <w:kern w:val="2"/>
          <w:sz w:val="32"/>
          <w:szCs w:val="32"/>
          <w:lang w:val="en-US" w:eastAsia="zh-CN" w:bidi="ar"/>
        </w:rPr>
      </w:pPr>
      <w:r>
        <w:rPr>
          <w:rFonts w:hint="eastAsia" w:ascii="Times New Roman" w:hAnsi="Times New Roman" w:eastAsia="黑体" w:cs="Times New Roman"/>
          <w:kern w:val="2"/>
          <w:sz w:val="32"/>
          <w:szCs w:val="32"/>
          <w:lang w:val="en-US" w:eastAsia="zh-CN" w:bidi="ar"/>
        </w:rPr>
        <w:t>三、</w:t>
      </w:r>
      <w:r>
        <w:rPr>
          <w:rFonts w:hint="default" w:ascii="Times New Roman" w:hAnsi="Times New Roman" w:eastAsia="黑体" w:cs="Times New Roman"/>
          <w:kern w:val="2"/>
          <w:sz w:val="32"/>
          <w:szCs w:val="32"/>
          <w:lang w:val="en-US" w:eastAsia="zh-CN" w:bidi="ar"/>
        </w:rPr>
        <w:t>判定规则</w:t>
      </w:r>
    </w:p>
    <w:p>
      <w:pPr>
        <w:keepNext w:val="0"/>
        <w:keepLines w:val="0"/>
        <w:pageBreakBefore w:val="0"/>
        <w:widowControl w:val="0"/>
        <w:kinsoku/>
        <w:wordWrap/>
        <w:overflowPunct/>
        <w:topLinePunct w:val="0"/>
        <w:bidi w:val="0"/>
        <w:spacing w:line="600" w:lineRule="exact"/>
        <w:ind w:firstLine="640" w:firstLineChars="200"/>
        <w:textAlignment w:val="auto"/>
        <w:rPr>
          <w:rFonts w:hint="default" w:ascii="Times New Roman" w:hAnsi="Times New Roman" w:eastAsia="楷体_GB2312" w:cs="Times New Roman"/>
          <w:color w:val="auto"/>
          <w:sz w:val="32"/>
          <w:szCs w:val="32"/>
          <w:lang w:val="en-US" w:eastAsia="zh-CN"/>
        </w:rPr>
      </w:pPr>
      <w:r>
        <w:rPr>
          <w:rFonts w:hint="eastAsia" w:ascii="Times New Roman" w:hAnsi="Times New Roman" w:eastAsia="楷体_GB2312" w:cs="Times New Roman"/>
          <w:color w:val="auto"/>
          <w:sz w:val="32"/>
          <w:szCs w:val="32"/>
          <w:lang w:val="en-US" w:eastAsia="zh-CN"/>
        </w:rPr>
        <w:t>（一）</w:t>
      </w:r>
      <w:r>
        <w:rPr>
          <w:rFonts w:hint="default" w:ascii="Times New Roman" w:hAnsi="Times New Roman" w:eastAsia="楷体_GB2312" w:cs="Times New Roman"/>
          <w:color w:val="auto"/>
          <w:sz w:val="32"/>
          <w:szCs w:val="32"/>
          <w:lang w:val="en-US" w:eastAsia="zh-CN"/>
        </w:rPr>
        <w:t>依据标准</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GB 17930-2016《车用汽油》</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GB 19147-2016《车用柴油》</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GB 19147-2016《车用柴油》第1号修改单</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现行有效的企业标准、团体标准、地方标准及产品明示质量要求</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广东省人民政府关于全面推广使用国ⅥB车用汽油的通知（粤府函〔2022〕159号）</w:t>
      </w:r>
    </w:p>
    <w:p>
      <w:pPr>
        <w:keepNext w:val="0"/>
        <w:keepLines w:val="0"/>
        <w:pageBreakBefore w:val="0"/>
        <w:widowControl w:val="0"/>
        <w:kinsoku/>
        <w:wordWrap/>
        <w:overflowPunct/>
        <w:topLinePunct w:val="0"/>
        <w:bidi w:val="0"/>
        <w:spacing w:line="600" w:lineRule="exact"/>
        <w:ind w:firstLine="640" w:firstLineChars="200"/>
        <w:textAlignment w:val="auto"/>
        <w:rPr>
          <w:rFonts w:hint="default" w:ascii="Times New Roman" w:hAnsi="Times New Roman" w:eastAsia="楷体_GB2312" w:cs="Times New Roman"/>
          <w:color w:val="auto"/>
          <w:sz w:val="32"/>
          <w:szCs w:val="32"/>
          <w:lang w:val="en-US" w:eastAsia="zh-CN"/>
        </w:rPr>
      </w:pPr>
      <w:r>
        <w:rPr>
          <w:rFonts w:hint="eastAsia" w:ascii="Times New Roman" w:hAnsi="Times New Roman" w:eastAsia="楷体_GB2312" w:cs="Times New Roman"/>
          <w:color w:val="auto"/>
          <w:sz w:val="32"/>
          <w:szCs w:val="32"/>
          <w:lang w:val="en-US" w:eastAsia="zh-CN"/>
        </w:rPr>
        <w:t>（二）</w:t>
      </w:r>
      <w:r>
        <w:rPr>
          <w:rFonts w:hint="default" w:ascii="Times New Roman" w:hAnsi="Times New Roman" w:eastAsia="楷体_GB2312" w:cs="Times New Roman"/>
          <w:color w:val="auto"/>
          <w:sz w:val="32"/>
          <w:szCs w:val="32"/>
          <w:lang w:val="en-US" w:eastAsia="zh-CN"/>
        </w:rPr>
        <w:t>判定原则</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经检验，检验项目全部合格，判定为被抽查产品所检项目未发现不合格；检验项目中任一项或一项以上不合格，判定为被抽查产品不合格。</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若被检产品明示的质量要求高于本细则中检验项目依据的标准要求时，应按被检产品明示的质量要求判定。</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若被检产品明示的质量要求低于本细则中检验项目依据的强制性标准要求时，应按照强制性标准要求判定。</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若被检产品明示的质量要求低于或包含本细则中检验项目依据的推荐性标准要求时，应以被检产品明示的质量要求判定。</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若被检产品明示的质量要求缺少本细则中检验项目依据的强制性标准要求时，应按照强制性标准要求判定。</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若被检产品明示的质量要求缺少本细则中检验项目依据的推荐性标准要求时，该项目不参与判定。</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rPr>
      </w:pPr>
    </w:p>
    <w:p>
      <w:pPr>
        <w:outlineLvl w:val="0"/>
        <w:rPr>
          <w:rFonts w:hint="eastAsia" w:ascii="Times New Roman" w:hAnsi="Times New Roman" w:eastAsia="仿宋_GB2312" w:cs="仿宋_GB2312"/>
          <w:sz w:val="32"/>
          <w:szCs w:val="32"/>
        </w:rPr>
      </w:pPr>
      <w:r>
        <w:rPr>
          <w:rFonts w:hint="eastAsia" w:ascii="Times New Roman" w:hAnsi="Times New Roman" w:eastAsia="黑体" w:cs="黑体"/>
          <w:bCs/>
          <w:color w:val="auto"/>
          <w:spacing w:val="-6"/>
          <w:sz w:val="32"/>
          <w:szCs w:val="32"/>
          <w:lang w:val="en-US" w:eastAsia="zh-CN"/>
        </w:rPr>
        <w:br w:type="page"/>
      </w:r>
    </w:p>
    <w:p>
      <w:pPr>
        <w:widowControl/>
        <w:spacing w:line="600" w:lineRule="exact"/>
        <w:jc w:val="center"/>
        <w:rPr>
          <w:rFonts w:hint="eastAsia" w:ascii="Times New Roman" w:hAnsi="Times New Roman" w:eastAsia="方正小标宋简体" w:cs="Times New Roman"/>
          <w:color w:val="auto"/>
          <w:sz w:val="44"/>
          <w:szCs w:val="44"/>
          <w:lang w:val="en-US" w:eastAsia="zh-CN"/>
        </w:rPr>
      </w:pPr>
      <w:bookmarkStart w:id="1" w:name="_GoBack"/>
      <w:r>
        <w:rPr>
          <w:rFonts w:hint="eastAsia" w:ascii="Times New Roman" w:hAnsi="Times New Roman" w:eastAsia="方正小标宋简体" w:cs="Times New Roman"/>
          <w:color w:val="auto"/>
          <w:sz w:val="44"/>
          <w:szCs w:val="44"/>
          <w:lang w:val="en-US" w:eastAsia="zh-CN"/>
        </w:rPr>
        <w:t>揭阳市车用尿素水溶液产品质量监督抽查实施细则（2026年版）</w:t>
      </w: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eastAsia" w:ascii="Times New Roman" w:hAnsi="Times New Roman" w:eastAsia="仿宋_GB2312" w:cs="仿宋_GB2312"/>
          <w:sz w:val="32"/>
          <w:szCs w:val="32"/>
        </w:rPr>
      </w:pP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Times New Roman" w:hAnsi="Times New Roman" w:eastAsia="黑体" w:cs="Times New Roman"/>
          <w:kern w:val="2"/>
          <w:sz w:val="32"/>
          <w:szCs w:val="32"/>
          <w:lang w:val="en-US" w:eastAsia="zh-CN" w:bidi="ar"/>
        </w:rPr>
      </w:pPr>
      <w:r>
        <w:rPr>
          <w:rFonts w:hint="eastAsia" w:ascii="Times New Roman" w:hAnsi="Times New Roman" w:eastAsia="黑体" w:cs="Times New Roman"/>
          <w:kern w:val="2"/>
          <w:sz w:val="32"/>
          <w:szCs w:val="32"/>
          <w:lang w:val="en-US" w:eastAsia="zh-CN" w:bidi="ar"/>
        </w:rPr>
        <w:t>一、抽样方法</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以随机抽样的方式在被抽样生产者、销售者的待销产品中抽取。</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随机数一般可使用随机数表等方法产生。</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每批次产品抽取两份</w:t>
      </w:r>
      <w:r>
        <w:rPr>
          <w:rFonts w:hint="eastAsia" w:ascii="Times New Roman" w:hAnsi="Times New Roman" w:eastAsia="仿宋_GB2312" w:cs="Times New Roman"/>
          <w:kern w:val="2"/>
          <w:sz w:val="32"/>
          <w:szCs w:val="32"/>
          <w:lang w:val="en-US" w:eastAsia="zh-CN" w:bidi="ar"/>
        </w:rPr>
        <w:t>，每份</w:t>
      </w:r>
      <w:r>
        <w:rPr>
          <w:rFonts w:hint="default" w:ascii="Times New Roman" w:hAnsi="Times New Roman" w:eastAsia="仿宋_GB2312" w:cs="Times New Roman"/>
          <w:kern w:val="2"/>
          <w:sz w:val="32"/>
          <w:szCs w:val="32"/>
          <w:lang w:val="en-US" w:eastAsia="zh-CN" w:bidi="ar"/>
        </w:rPr>
        <w:t>不</w:t>
      </w:r>
      <w:bookmarkStart w:id="0" w:name="_Hlk67497541"/>
      <w:r>
        <w:rPr>
          <w:rFonts w:hint="default" w:ascii="Times New Roman" w:hAnsi="Times New Roman" w:eastAsia="仿宋_GB2312" w:cs="Times New Roman"/>
          <w:kern w:val="2"/>
          <w:sz w:val="32"/>
          <w:szCs w:val="32"/>
          <w:lang w:val="en-US" w:eastAsia="zh-CN" w:bidi="ar"/>
        </w:rPr>
        <w:t>少</w:t>
      </w:r>
      <w:bookmarkEnd w:id="0"/>
      <w:r>
        <w:rPr>
          <w:rFonts w:hint="default" w:ascii="Times New Roman" w:hAnsi="Times New Roman" w:eastAsia="仿宋_GB2312" w:cs="Times New Roman"/>
          <w:kern w:val="2"/>
          <w:sz w:val="32"/>
          <w:szCs w:val="32"/>
          <w:lang w:val="en-US" w:eastAsia="zh-CN" w:bidi="ar"/>
        </w:rPr>
        <w:t>于</w:t>
      </w:r>
      <w:r>
        <w:rPr>
          <w:rFonts w:hint="eastAsia" w:ascii="Times New Roman" w:hAnsi="Times New Roman" w:eastAsia="仿宋_GB2312" w:cs="Times New Roman"/>
          <w:kern w:val="2"/>
          <w:sz w:val="32"/>
          <w:szCs w:val="32"/>
          <w:lang w:val="en-US" w:eastAsia="zh-CN" w:bidi="ar"/>
        </w:rPr>
        <w:t>2</w:t>
      </w:r>
      <w:r>
        <w:rPr>
          <w:rFonts w:hint="default" w:ascii="Times New Roman" w:hAnsi="Times New Roman" w:eastAsia="仿宋_GB2312" w:cs="Times New Roman"/>
          <w:kern w:val="2"/>
          <w:sz w:val="32"/>
          <w:szCs w:val="32"/>
          <w:lang w:val="en-US" w:eastAsia="zh-CN" w:bidi="ar"/>
        </w:rPr>
        <w:t>L</w:t>
      </w:r>
      <w:r>
        <w:rPr>
          <w:rFonts w:hint="eastAsia" w:ascii="Times New Roman" w:hAnsi="Times New Roman" w:eastAsia="仿宋_GB2312" w:cs="Times New Roman"/>
          <w:kern w:val="2"/>
          <w:sz w:val="32"/>
          <w:szCs w:val="32"/>
          <w:lang w:val="en-US" w:eastAsia="zh-CN" w:bidi="ar"/>
        </w:rPr>
        <w:t>。</w:t>
      </w:r>
      <w:r>
        <w:rPr>
          <w:rFonts w:hint="default" w:ascii="Times New Roman" w:hAnsi="Times New Roman" w:eastAsia="仿宋_GB2312" w:cs="Times New Roman"/>
          <w:kern w:val="2"/>
          <w:sz w:val="32"/>
          <w:szCs w:val="32"/>
          <w:lang w:val="en-US" w:eastAsia="zh-CN" w:bidi="ar"/>
        </w:rPr>
        <w:t>如产品独立包装大于50L，使用符合GB 29518—2013 《柴油发动机氮氧化物还原剂 尿素水溶液（AUS32）》附录I要求的包装物进行分装取样。其中1份作为检验样品，1份作为备用样品。</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Times New Roman" w:hAnsi="Times New Roman" w:eastAsia="黑体" w:cs="Times New Roman"/>
          <w:kern w:val="2"/>
          <w:sz w:val="32"/>
          <w:szCs w:val="32"/>
          <w:lang w:val="en-US" w:eastAsia="zh-CN" w:bidi="ar"/>
        </w:rPr>
      </w:pPr>
      <w:r>
        <w:rPr>
          <w:rFonts w:hint="eastAsia" w:ascii="Times New Roman" w:hAnsi="Times New Roman" w:eastAsia="黑体" w:cs="Times New Roman"/>
          <w:kern w:val="2"/>
          <w:sz w:val="32"/>
          <w:szCs w:val="32"/>
          <w:lang w:val="en-US" w:eastAsia="zh-CN" w:bidi="ar"/>
        </w:rPr>
        <w:t>二、检验依据</w:t>
      </w:r>
    </w:p>
    <w:tbl>
      <w:tblPr>
        <w:tblStyle w:val="3"/>
        <w:tblW w:w="88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1334"/>
        <w:gridCol w:w="3316"/>
        <w:gridCol w:w="3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858" w:type="dxa"/>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Times New Roman" w:hAnsi="Times New Roman" w:eastAsia="仿宋_GB2312" w:cs="仿宋_GB2312"/>
                <w:b/>
                <w:bCs/>
                <w:sz w:val="24"/>
                <w:szCs w:val="24"/>
                <w:lang w:bidi="ar"/>
              </w:rPr>
            </w:pPr>
            <w:r>
              <w:rPr>
                <w:rFonts w:hint="eastAsia" w:ascii="Times New Roman" w:hAnsi="Times New Roman" w:eastAsia="仿宋_GB2312" w:cs="仿宋_GB2312"/>
                <w:b/>
                <w:bCs/>
                <w:sz w:val="24"/>
                <w:szCs w:val="24"/>
                <w:lang w:bidi="ar"/>
              </w:rPr>
              <w:t>序号</w:t>
            </w:r>
          </w:p>
        </w:tc>
        <w:tc>
          <w:tcPr>
            <w:tcW w:w="4650" w:type="dxa"/>
            <w:gridSpan w:val="2"/>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Times New Roman" w:hAnsi="Times New Roman" w:eastAsia="仿宋_GB2312" w:cs="仿宋_GB2312"/>
                <w:b/>
                <w:bCs/>
                <w:sz w:val="24"/>
                <w:szCs w:val="24"/>
                <w:lang w:bidi="ar"/>
              </w:rPr>
            </w:pPr>
            <w:r>
              <w:rPr>
                <w:rFonts w:hint="eastAsia" w:ascii="Times New Roman" w:hAnsi="Times New Roman" w:eastAsia="仿宋_GB2312" w:cs="仿宋_GB2312"/>
                <w:b/>
                <w:bCs/>
                <w:sz w:val="24"/>
                <w:szCs w:val="24"/>
                <w:lang w:bidi="ar"/>
              </w:rPr>
              <w:t>检验项目</w:t>
            </w:r>
          </w:p>
        </w:tc>
        <w:tc>
          <w:tcPr>
            <w:tcW w:w="3365" w:type="dxa"/>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Times New Roman" w:hAnsi="Times New Roman" w:eastAsia="仿宋_GB2312" w:cs="仿宋_GB2312"/>
                <w:b/>
                <w:bCs/>
                <w:sz w:val="24"/>
                <w:szCs w:val="24"/>
                <w:lang w:bidi="ar"/>
              </w:rPr>
            </w:pPr>
            <w:r>
              <w:rPr>
                <w:rFonts w:hint="eastAsia" w:ascii="Times New Roman" w:hAnsi="Times New Roman" w:eastAsia="仿宋_GB2312" w:cs="仿宋_GB2312"/>
                <w:b/>
                <w:bCs/>
                <w:sz w:val="24"/>
                <w:szCs w:val="24"/>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1</w:t>
            </w:r>
          </w:p>
        </w:tc>
        <w:tc>
          <w:tcPr>
            <w:tcW w:w="4650" w:type="dxa"/>
            <w:gridSpan w:val="2"/>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尿素含量（质量分数）</w:t>
            </w:r>
          </w:p>
        </w:tc>
        <w:tc>
          <w:tcPr>
            <w:tcW w:w="3365"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2</w:t>
            </w:r>
          </w:p>
        </w:tc>
        <w:tc>
          <w:tcPr>
            <w:tcW w:w="4650" w:type="dxa"/>
            <w:gridSpan w:val="2"/>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密度（20℃）</w:t>
            </w:r>
          </w:p>
        </w:tc>
        <w:tc>
          <w:tcPr>
            <w:tcW w:w="3365"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SH/T 0604—2000</w:t>
            </w:r>
          </w:p>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或（GB/T 1884—2000</w:t>
            </w:r>
          </w:p>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和GB/T 1885—1998）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3</w:t>
            </w:r>
          </w:p>
        </w:tc>
        <w:tc>
          <w:tcPr>
            <w:tcW w:w="4650" w:type="dxa"/>
            <w:gridSpan w:val="2"/>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折光率</w:t>
            </w:r>
            <w:r>
              <w:rPr>
                <w:rFonts w:hint="default" w:ascii="Times New Roman" w:hAnsi="Times New Roman" w:eastAsia="仿宋_GB2312" w:cs="仿宋_GB2312"/>
                <w:color w:val="000000"/>
                <w:sz w:val="24"/>
                <w:szCs w:val="24"/>
                <w:vertAlign w:val="superscript"/>
                <w:lang w:val="en-US" w:eastAsia="zh-CN" w:bidi="ar"/>
              </w:rPr>
              <w:t>20</w:t>
            </w:r>
            <w:r>
              <w:rPr>
                <w:rFonts w:hint="default" w:ascii="Times New Roman" w:hAnsi="Times New Roman" w:eastAsia="仿宋_GB2312" w:cs="仿宋_GB2312"/>
                <w:color w:val="000000"/>
                <w:sz w:val="24"/>
                <w:szCs w:val="24"/>
                <w:lang w:val="en-US" w:eastAsia="zh-CN" w:bidi="ar"/>
              </w:rPr>
              <w:t>n</w:t>
            </w:r>
            <w:r>
              <w:rPr>
                <w:rFonts w:hint="default" w:ascii="Times New Roman" w:hAnsi="Times New Roman" w:eastAsia="仿宋_GB2312" w:cs="仿宋_GB2312"/>
                <w:color w:val="000000"/>
                <w:sz w:val="24"/>
                <w:szCs w:val="24"/>
                <w:vertAlign w:val="subscript"/>
                <w:lang w:val="en-US" w:eastAsia="zh-CN" w:bidi="ar"/>
              </w:rPr>
              <w:t>D</w:t>
            </w:r>
          </w:p>
        </w:tc>
        <w:tc>
          <w:tcPr>
            <w:tcW w:w="3365"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GB/T 614—2021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vMerge w:val="restart"/>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4</w:t>
            </w:r>
          </w:p>
        </w:tc>
        <w:tc>
          <w:tcPr>
            <w:tcW w:w="1334" w:type="dxa"/>
            <w:vMerge w:val="restart"/>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杂质含量</w:t>
            </w:r>
          </w:p>
        </w:tc>
        <w:tc>
          <w:tcPr>
            <w:tcW w:w="331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碱度（以NH</w:t>
            </w:r>
            <w:r>
              <w:rPr>
                <w:rFonts w:hint="default" w:ascii="Times New Roman" w:hAnsi="Times New Roman" w:eastAsia="仿宋_GB2312" w:cs="仿宋_GB2312"/>
                <w:color w:val="000000"/>
                <w:sz w:val="24"/>
                <w:szCs w:val="24"/>
                <w:vertAlign w:val="subscript"/>
                <w:lang w:val="en-US" w:eastAsia="zh-CN" w:bidi="ar"/>
              </w:rPr>
              <w:t>3</w:t>
            </w:r>
            <w:r>
              <w:rPr>
                <w:rFonts w:hint="default" w:ascii="Times New Roman" w:hAnsi="Times New Roman" w:eastAsia="仿宋_GB2312" w:cs="仿宋_GB2312"/>
                <w:color w:val="000000"/>
                <w:sz w:val="24"/>
                <w:szCs w:val="24"/>
                <w:lang w:val="en-US" w:eastAsia="zh-CN" w:bidi="ar"/>
              </w:rPr>
              <w:t>计）（质量分数）</w:t>
            </w:r>
          </w:p>
        </w:tc>
        <w:tc>
          <w:tcPr>
            <w:tcW w:w="3365"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1334"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331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缩二脲（质量分数）</w:t>
            </w:r>
          </w:p>
        </w:tc>
        <w:tc>
          <w:tcPr>
            <w:tcW w:w="3365"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1334"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331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醛类（以HCHO计）</w:t>
            </w:r>
          </w:p>
        </w:tc>
        <w:tc>
          <w:tcPr>
            <w:tcW w:w="3365"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1334"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331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不溶物</w:t>
            </w:r>
          </w:p>
        </w:tc>
        <w:tc>
          <w:tcPr>
            <w:tcW w:w="3365"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1334"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331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磷酸盐（以PO</w:t>
            </w:r>
            <w:r>
              <w:rPr>
                <w:rFonts w:hint="default" w:ascii="Times New Roman" w:hAnsi="Times New Roman" w:eastAsia="仿宋_GB2312" w:cs="仿宋_GB2312"/>
                <w:color w:val="000000"/>
                <w:sz w:val="24"/>
                <w:szCs w:val="24"/>
                <w:vertAlign w:val="subscript"/>
                <w:lang w:val="en-US" w:eastAsia="zh-CN" w:bidi="ar"/>
              </w:rPr>
              <w:t>4</w:t>
            </w:r>
            <w:r>
              <w:rPr>
                <w:rFonts w:hint="default" w:ascii="Times New Roman" w:hAnsi="Times New Roman" w:eastAsia="仿宋_GB2312" w:cs="仿宋_GB2312"/>
                <w:color w:val="000000"/>
                <w:sz w:val="24"/>
                <w:szCs w:val="24"/>
                <w:lang w:val="en-US" w:eastAsia="zh-CN" w:bidi="ar"/>
              </w:rPr>
              <w:t>计）</w:t>
            </w:r>
          </w:p>
        </w:tc>
        <w:tc>
          <w:tcPr>
            <w:tcW w:w="3365"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1334"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331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钙</w:t>
            </w:r>
          </w:p>
        </w:tc>
        <w:tc>
          <w:tcPr>
            <w:tcW w:w="3365" w:type="dxa"/>
            <w:vMerge w:val="restart"/>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 29518—2013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1334"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331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铁</w:t>
            </w:r>
          </w:p>
        </w:tc>
        <w:tc>
          <w:tcPr>
            <w:tcW w:w="3365" w:type="dxa"/>
            <w:vMerge w:val="continue"/>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1334"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331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铜</w:t>
            </w:r>
          </w:p>
        </w:tc>
        <w:tc>
          <w:tcPr>
            <w:tcW w:w="3365" w:type="dxa"/>
            <w:vMerge w:val="continue"/>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1334"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331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锌</w:t>
            </w:r>
          </w:p>
        </w:tc>
        <w:tc>
          <w:tcPr>
            <w:tcW w:w="3365" w:type="dxa"/>
            <w:vMerge w:val="continue"/>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1334"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331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铬</w:t>
            </w:r>
          </w:p>
        </w:tc>
        <w:tc>
          <w:tcPr>
            <w:tcW w:w="3365" w:type="dxa"/>
            <w:vMerge w:val="continue"/>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1334"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331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镍</w:t>
            </w:r>
          </w:p>
        </w:tc>
        <w:tc>
          <w:tcPr>
            <w:tcW w:w="3365" w:type="dxa"/>
            <w:vMerge w:val="continue"/>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1334"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331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铝</w:t>
            </w:r>
          </w:p>
        </w:tc>
        <w:tc>
          <w:tcPr>
            <w:tcW w:w="3365" w:type="dxa"/>
            <w:vMerge w:val="continue"/>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1334"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331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镁</w:t>
            </w:r>
          </w:p>
        </w:tc>
        <w:tc>
          <w:tcPr>
            <w:tcW w:w="3365" w:type="dxa"/>
            <w:vMerge w:val="continue"/>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1334"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331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钠</w:t>
            </w:r>
          </w:p>
        </w:tc>
        <w:tc>
          <w:tcPr>
            <w:tcW w:w="3365" w:type="dxa"/>
            <w:vMerge w:val="continue"/>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1334" w:type="dxa"/>
            <w:vMerge w:val="continue"/>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p>
        </w:tc>
        <w:tc>
          <w:tcPr>
            <w:tcW w:w="3316"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钾</w:t>
            </w:r>
          </w:p>
        </w:tc>
        <w:tc>
          <w:tcPr>
            <w:tcW w:w="3365" w:type="dxa"/>
            <w:vMerge w:val="continue"/>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58"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5</w:t>
            </w:r>
          </w:p>
        </w:tc>
        <w:tc>
          <w:tcPr>
            <w:tcW w:w="4650" w:type="dxa"/>
            <w:gridSpan w:val="2"/>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一致性确认</w:t>
            </w:r>
          </w:p>
        </w:tc>
        <w:tc>
          <w:tcPr>
            <w:tcW w:w="3365" w:type="dxa"/>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_GB2312" w:cs="仿宋_GB2312"/>
                <w:color w:val="000000"/>
                <w:sz w:val="24"/>
                <w:szCs w:val="24"/>
                <w:lang w:val="en-US" w:eastAsia="zh-CN"/>
              </w:rPr>
              <w:t>GB 29518—2013</w:t>
            </w:r>
          </w:p>
        </w:tc>
      </w:tr>
    </w:tbl>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rPr>
          <w:rFonts w:hint="eastAsia" w:ascii="Times New Roman" w:hAnsi="Times New Roman" w:eastAsia="宋体" w:cs="宋体"/>
          <w:color w:val="000000"/>
          <w:sz w:val="24"/>
          <w:lang w:val="en-US" w:eastAsia="zh-CN"/>
        </w:rPr>
      </w:pPr>
      <w:r>
        <w:rPr>
          <w:rFonts w:hint="eastAsia" w:ascii="Times New Roman" w:hAnsi="Times New Roman" w:eastAsia="宋体" w:cs="宋体"/>
          <w:color w:val="000000"/>
          <w:sz w:val="24"/>
          <w:lang w:val="en-US" w:eastAsia="zh-CN"/>
        </w:rPr>
        <w:t>备注：1. 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400" w:lineRule="exact"/>
        <w:ind w:firstLine="1200" w:firstLineChars="500"/>
        <w:jc w:val="left"/>
        <w:textAlignment w:val="auto"/>
        <w:rPr>
          <w:rFonts w:hint="default" w:ascii="Times New Roman" w:hAnsi="Times New Roman" w:eastAsia="宋体" w:cs="宋体"/>
          <w:color w:val="000000"/>
          <w:sz w:val="24"/>
          <w:lang w:val="en-US" w:eastAsia="zh-CN"/>
        </w:rPr>
      </w:pPr>
      <w:r>
        <w:rPr>
          <w:rFonts w:hint="eastAsia" w:ascii="Times New Roman" w:hAnsi="Times New Roman" w:eastAsia="宋体" w:cs="宋体"/>
          <w:color w:val="000000"/>
          <w:sz w:val="24"/>
          <w:lang w:val="en-US" w:eastAsia="zh-CN"/>
        </w:rPr>
        <w:t>2.</w:t>
      </w:r>
      <w:r>
        <w:rPr>
          <w:rFonts w:hint="default" w:ascii="Times New Roman" w:hAnsi="Times New Roman" w:eastAsia="宋体" w:cs="宋体"/>
          <w:color w:val="000000"/>
          <w:sz w:val="24"/>
          <w:lang w:val="en-US" w:eastAsia="zh-CN"/>
        </w:rPr>
        <w:t>凡是注日期的文件，其随后所有的修改单（不包括勘误的内容）或修订版不适用于本细则。凡是不注日期的文件，其最新版本适用于本细则。</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eastAsia" w:ascii="Times New Roman" w:hAnsi="Times New Roman" w:eastAsia="黑体" w:cs="Times New Roman"/>
          <w:kern w:val="2"/>
          <w:sz w:val="32"/>
          <w:szCs w:val="32"/>
          <w:lang w:val="en-US" w:eastAsia="zh-CN" w:bidi="ar"/>
        </w:rPr>
      </w:pPr>
      <w:r>
        <w:rPr>
          <w:rFonts w:hint="eastAsia" w:ascii="Times New Roman" w:hAnsi="Times New Roman" w:eastAsia="黑体" w:cs="Times New Roman"/>
          <w:kern w:val="2"/>
          <w:sz w:val="32"/>
          <w:szCs w:val="32"/>
          <w:lang w:val="en-US" w:eastAsia="zh-CN" w:bidi="ar"/>
        </w:rPr>
        <w:t>三、判定规则</w:t>
      </w:r>
    </w:p>
    <w:p>
      <w:pPr>
        <w:keepNext w:val="0"/>
        <w:keepLines w:val="0"/>
        <w:pageBreakBefore w:val="0"/>
        <w:widowControl w:val="0"/>
        <w:kinsoku/>
        <w:wordWrap/>
        <w:overflowPunct/>
        <w:topLinePunct w:val="0"/>
        <w:bidi w:val="0"/>
        <w:spacing w:line="600" w:lineRule="exact"/>
        <w:ind w:firstLine="640" w:firstLineChars="200"/>
        <w:textAlignment w:val="auto"/>
        <w:rPr>
          <w:rFonts w:hint="eastAsia" w:ascii="Times New Roman" w:hAnsi="Times New Roman" w:eastAsia="楷体_GB2312" w:cs="Times New Roman"/>
          <w:color w:val="auto"/>
          <w:sz w:val="32"/>
          <w:szCs w:val="32"/>
          <w:lang w:val="en-US" w:eastAsia="zh-CN"/>
        </w:rPr>
      </w:pPr>
      <w:r>
        <w:rPr>
          <w:rFonts w:hint="eastAsia" w:ascii="Times New Roman" w:hAnsi="Times New Roman" w:eastAsia="楷体_GB2312" w:cs="Times New Roman"/>
          <w:color w:val="auto"/>
          <w:sz w:val="32"/>
          <w:szCs w:val="32"/>
          <w:lang w:val="en-US" w:eastAsia="zh-CN"/>
        </w:rPr>
        <w:t>（一）依据标准</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GB 29518-2013 柴油发动机氮氧化物还原剂 尿素水溶液（AUS32）</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现行有效的企业标准、团体标准、地方标准及产品明示质量要求</w:t>
      </w:r>
      <w:r>
        <w:rPr>
          <w:rFonts w:hint="eastAsia" w:ascii="Times New Roman" w:hAnsi="Times New Roman" w:eastAsia="仿宋_GB2312" w:cs="Times New Roman"/>
          <w:kern w:val="2"/>
          <w:sz w:val="32"/>
          <w:szCs w:val="32"/>
          <w:lang w:val="en-US" w:eastAsia="zh-CN" w:bidi="ar"/>
        </w:rPr>
        <w:t>。</w:t>
      </w:r>
    </w:p>
    <w:p>
      <w:pPr>
        <w:keepNext w:val="0"/>
        <w:keepLines w:val="0"/>
        <w:pageBreakBefore w:val="0"/>
        <w:widowControl w:val="0"/>
        <w:kinsoku/>
        <w:wordWrap/>
        <w:overflowPunct/>
        <w:topLinePunct w:val="0"/>
        <w:autoSpaceDE/>
        <w:autoSpaceDN/>
        <w:bidi w:val="0"/>
        <w:adjustRightInd/>
        <w:snapToGrid/>
        <w:spacing w:line="580" w:lineRule="exact"/>
        <w:ind w:firstLine="636" w:firstLineChars="199"/>
        <w:textAlignment w:val="auto"/>
        <w:rPr>
          <w:rFonts w:hint="eastAsia" w:ascii="Times New Roman" w:hAnsi="Times New Roman" w:eastAsia="楷体_GB2312" w:cs="楷体_GB2312"/>
          <w:sz w:val="32"/>
          <w:szCs w:val="32"/>
        </w:rPr>
      </w:pPr>
      <w:r>
        <w:rPr>
          <w:rFonts w:hint="eastAsia" w:ascii="Times New Roman" w:hAnsi="Times New Roman" w:eastAsia="楷体_GB2312" w:cs="Times New Roman"/>
          <w:color w:val="auto"/>
          <w:sz w:val="32"/>
          <w:szCs w:val="32"/>
          <w:lang w:val="en-US" w:eastAsia="zh-CN"/>
        </w:rPr>
        <w:t>（二）判定原则</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经检验，检验项目全部合格，判定为被抽查产品</w:t>
      </w:r>
      <w:r>
        <w:rPr>
          <w:rFonts w:hint="eastAsia" w:ascii="Times New Roman" w:hAnsi="Times New Roman" w:eastAsia="仿宋_GB2312" w:cs="Times New Roman"/>
          <w:kern w:val="2"/>
          <w:sz w:val="32"/>
          <w:szCs w:val="32"/>
          <w:lang w:val="en-US" w:eastAsia="zh-CN" w:bidi="ar"/>
        </w:rPr>
        <w:t>所检项目未发现不</w:t>
      </w:r>
      <w:r>
        <w:rPr>
          <w:rFonts w:hint="default" w:ascii="Times New Roman" w:hAnsi="Times New Roman" w:eastAsia="仿宋_GB2312" w:cs="Times New Roman"/>
          <w:kern w:val="2"/>
          <w:sz w:val="32"/>
          <w:szCs w:val="32"/>
          <w:lang w:val="en-US" w:eastAsia="zh-CN" w:bidi="ar"/>
        </w:rPr>
        <w:t>合格；检验项目中任一项或一项以上不合格，判定为被抽查产品不合格。</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若被检产品明示的质量要求高于本细则中检验项目依据的标准要求时，应按被检产品明示的质量要求判定。</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若被检产品明示的质量要求低于本细则中检验项目依据的强制性标准要求时，应按照强制性标准要求判定。</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若被检产品明示的质量要求低于或包含本细则中检验项目依据的推荐性标准要求时，应以被检产品明示的质量要求判定。</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若被检产品明示的质量要求缺少本细则中检验项目依据的强制性标准要求时，应按照强制性标准要求判定。</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若被检产品明示的质量要求缺少本细则中检验项目依据的推荐性标准要求时，该项目不参与判定。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z w:val="32"/>
          <w:szCs w:val="32"/>
        </w:rPr>
      </w:pPr>
    </w:p>
    <w:p>
      <w:pPr>
        <w:widowControl/>
        <w:spacing w:line="600" w:lineRule="exact"/>
        <w:jc w:val="center"/>
        <w:rPr>
          <w:rFonts w:hint="eastAsia" w:ascii="Times New Roman" w:hAnsi="Times New Roman" w:eastAsia="方正小标宋简体" w:cs="Times New Roman"/>
          <w:color w:val="auto"/>
          <w:sz w:val="44"/>
          <w:szCs w:val="44"/>
          <w:lang w:val="en-US" w:eastAsia="zh-CN"/>
        </w:rPr>
      </w:pPr>
      <w:r>
        <w:rPr>
          <w:rFonts w:hint="eastAsia" w:ascii="Times New Roman" w:hAnsi="Times New Roman" w:eastAsia="黑体" w:cs="黑体"/>
          <w:bCs/>
          <w:color w:val="auto"/>
          <w:spacing w:val="-6"/>
          <w:sz w:val="32"/>
          <w:szCs w:val="32"/>
          <w:lang w:val="en-US" w:eastAsia="zh-CN"/>
        </w:rPr>
        <w:br w:type="page"/>
      </w:r>
      <w:r>
        <w:rPr>
          <w:rFonts w:hint="eastAsia" w:ascii="Times New Roman" w:hAnsi="Times New Roman" w:eastAsia="方正小标宋简体" w:cs="Times New Roman"/>
          <w:color w:val="auto"/>
          <w:sz w:val="44"/>
          <w:szCs w:val="44"/>
          <w:lang w:val="en-US" w:eastAsia="zh-CN"/>
        </w:rPr>
        <w:t>揭阳市液化石油气产品质量监督抽查</w:t>
      </w:r>
    </w:p>
    <w:p>
      <w:pPr>
        <w:widowControl/>
        <w:spacing w:line="600" w:lineRule="exact"/>
        <w:jc w:val="center"/>
        <w:rPr>
          <w:rFonts w:hint="default" w:ascii="Times New Roman" w:hAnsi="Times New Roman" w:eastAsia="方正小标宋简体" w:cs="Times New Roman"/>
          <w:color w:val="auto"/>
          <w:sz w:val="44"/>
          <w:szCs w:val="44"/>
          <w:lang w:val="en-US" w:eastAsia="zh-CN"/>
        </w:rPr>
      </w:pPr>
      <w:r>
        <w:rPr>
          <w:rFonts w:hint="eastAsia" w:ascii="Times New Roman" w:hAnsi="Times New Roman" w:eastAsia="方正小标宋简体" w:cs="Times New Roman"/>
          <w:color w:val="auto"/>
          <w:sz w:val="44"/>
          <w:szCs w:val="44"/>
          <w:lang w:val="en-US" w:eastAsia="zh-CN"/>
        </w:rPr>
        <w:t>实施细则（2026年版）</w:t>
      </w:r>
    </w:p>
    <w:p>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eastAsia" w:ascii="Times New Roman" w:hAnsi="Times New Roman" w:eastAsia="黑体" w:cs="黑体"/>
          <w:color w:val="000000"/>
          <w:sz w:val="32"/>
          <w:szCs w:val="32"/>
        </w:rPr>
      </w:pP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default" w:ascii="Times New Roman" w:hAnsi="Times New Roman" w:eastAsia="黑体" w:cs="Times New Roman"/>
          <w:kern w:val="2"/>
          <w:sz w:val="32"/>
          <w:szCs w:val="32"/>
          <w:lang w:val="en-US" w:eastAsia="zh-CN" w:bidi="ar"/>
        </w:rPr>
      </w:pPr>
      <w:r>
        <w:rPr>
          <w:rFonts w:hint="eastAsia" w:ascii="Times New Roman" w:hAnsi="Times New Roman" w:eastAsia="黑体" w:cs="Times New Roman"/>
          <w:kern w:val="2"/>
          <w:sz w:val="32"/>
          <w:szCs w:val="32"/>
          <w:lang w:val="en-US" w:eastAsia="zh-CN" w:bidi="ar"/>
        </w:rPr>
        <w:t>一、抽样方法</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以随机抽样的方式在被抽样经营者的待销产品中抽取。</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随机数一般可使用随机数表等方法产生。</w:t>
      </w:r>
    </w:p>
    <w:p>
      <w:pPr>
        <w:keepNext w:val="0"/>
        <w:keepLines w:val="0"/>
        <w:widowControl w:val="0"/>
        <w:suppressLineNumbers w:val="0"/>
        <w:spacing w:before="0" w:beforeAutospacing="0" w:after="0" w:afterAutospacing="0" w:line="560" w:lineRule="exact"/>
        <w:ind w:left="0" w:right="0" w:firstLine="640" w:firstLineChars="200"/>
        <w:jc w:val="both"/>
        <w:rPr>
          <w:rFonts w:ascii="Times New Roman" w:hAnsi="Times New Roman" w:eastAsia="仿宋_GB2312" w:cs="仿宋_GB2312"/>
          <w:sz w:val="32"/>
          <w:szCs w:val="32"/>
          <w:lang w:val="en-US" w:eastAsia="zh-CN" w:bidi="ar-SA"/>
        </w:rPr>
      </w:pPr>
      <w:r>
        <w:rPr>
          <w:rFonts w:hint="eastAsia" w:ascii="Times New Roman" w:hAnsi="Times New Roman" w:eastAsia="仿宋_GB2312" w:cs="Times New Roman"/>
          <w:kern w:val="2"/>
          <w:sz w:val="32"/>
          <w:szCs w:val="32"/>
          <w:lang w:val="en-US" w:eastAsia="zh-CN" w:bidi="ar"/>
        </w:rPr>
        <w:t>每批次至少抽取4kg样品，平均分为2份，其中1份用作检样、1份留作备样。样品抽样应按SH/T 0233-1992《液化石油气采样法》的规定进行。</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default" w:ascii="Times New Roman" w:hAnsi="Times New Roman" w:eastAsia="黑体" w:cs="Times New Roman"/>
          <w:kern w:val="2"/>
          <w:sz w:val="32"/>
          <w:szCs w:val="32"/>
          <w:lang w:val="en-US" w:eastAsia="zh-CN" w:bidi="ar"/>
        </w:rPr>
      </w:pPr>
      <w:r>
        <w:rPr>
          <w:rFonts w:hint="default" w:ascii="Times New Roman" w:hAnsi="Times New Roman" w:eastAsia="黑体" w:cs="Times New Roman"/>
          <w:kern w:val="2"/>
          <w:sz w:val="32"/>
          <w:szCs w:val="32"/>
          <w:lang w:val="en-US" w:eastAsia="zh-CN" w:bidi="ar"/>
        </w:rPr>
        <w:t>二、</w:t>
      </w:r>
      <w:r>
        <w:rPr>
          <w:rFonts w:hint="eastAsia" w:ascii="Times New Roman" w:hAnsi="Times New Roman" w:eastAsia="黑体" w:cs="Times New Roman"/>
          <w:kern w:val="2"/>
          <w:sz w:val="32"/>
          <w:szCs w:val="32"/>
          <w:lang w:val="en-US" w:eastAsia="zh-CN" w:bidi="ar"/>
        </w:rPr>
        <w:t>检验依据</w:t>
      </w:r>
    </w:p>
    <w:tbl>
      <w:tblPr>
        <w:tblStyle w:val="3"/>
        <w:tblW w:w="87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4650"/>
        <w:gridCol w:w="33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Times New Roman" w:hAnsi="Times New Roman" w:eastAsia="仿宋_GB2312" w:cs="仿宋_GB2312"/>
                <w:b/>
                <w:bCs/>
                <w:sz w:val="24"/>
                <w:szCs w:val="24"/>
                <w:lang w:bidi="ar"/>
              </w:rPr>
            </w:pPr>
            <w:r>
              <w:rPr>
                <w:rFonts w:hint="eastAsia" w:ascii="Times New Roman" w:hAnsi="Times New Roman" w:eastAsia="仿宋_GB2312" w:cs="仿宋_GB2312"/>
                <w:b/>
                <w:bCs/>
                <w:sz w:val="24"/>
                <w:szCs w:val="24"/>
                <w:lang w:bidi="ar"/>
              </w:rPr>
              <w:t>序号</w:t>
            </w:r>
          </w:p>
        </w:tc>
        <w:tc>
          <w:tcPr>
            <w:tcW w:w="4650" w:type="dxa"/>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Times New Roman" w:hAnsi="Times New Roman" w:eastAsia="仿宋_GB2312" w:cs="仿宋_GB2312"/>
                <w:b/>
                <w:bCs/>
                <w:sz w:val="24"/>
                <w:szCs w:val="24"/>
                <w:lang w:bidi="ar"/>
              </w:rPr>
            </w:pPr>
            <w:r>
              <w:rPr>
                <w:rFonts w:hint="eastAsia" w:ascii="Times New Roman" w:hAnsi="Times New Roman" w:eastAsia="仿宋_GB2312" w:cs="仿宋_GB2312"/>
                <w:b/>
                <w:bCs/>
                <w:sz w:val="24"/>
                <w:szCs w:val="24"/>
                <w:lang w:bidi="ar"/>
              </w:rPr>
              <w:t>检验项目</w:t>
            </w:r>
          </w:p>
        </w:tc>
        <w:tc>
          <w:tcPr>
            <w:tcW w:w="3365" w:type="dxa"/>
            <w:noWrap w:val="0"/>
            <w:vAlign w:val="center"/>
          </w:tcPr>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Times New Roman" w:hAnsi="Times New Roman" w:eastAsia="仿宋_GB2312" w:cs="仿宋_GB2312"/>
                <w:b/>
                <w:bCs/>
                <w:sz w:val="24"/>
                <w:szCs w:val="24"/>
                <w:lang w:bidi="ar"/>
              </w:rPr>
            </w:pPr>
            <w:r>
              <w:rPr>
                <w:rFonts w:hint="eastAsia" w:ascii="Times New Roman" w:hAnsi="Times New Roman" w:eastAsia="仿宋_GB2312" w:cs="仿宋_GB2312"/>
                <w:b/>
                <w:bCs/>
                <w:sz w:val="24"/>
                <w:szCs w:val="24"/>
                <w:lang w:bidi="ar"/>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8"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1</w:t>
            </w:r>
          </w:p>
        </w:tc>
        <w:tc>
          <w:tcPr>
            <w:tcW w:w="465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仿宋_GB2312" w:cs="仿宋_GB2312"/>
                <w:color w:val="000000"/>
                <w:sz w:val="24"/>
                <w:szCs w:val="24"/>
                <w:lang w:val="en-US" w:eastAsia="zh-CN" w:bidi="ar"/>
              </w:rPr>
            </w:pPr>
            <w:r>
              <w:rPr>
                <w:rFonts w:hint="eastAsia" w:ascii="Times New Roman" w:hAnsi="Times New Roman" w:eastAsia="仿宋_GB2312" w:cs="仿宋_GB2312"/>
                <w:color w:val="000000"/>
                <w:sz w:val="24"/>
                <w:szCs w:val="24"/>
                <w:lang w:val="en-US" w:eastAsia="zh-CN"/>
              </w:rPr>
              <w:t>组分</w:t>
            </w:r>
          </w:p>
        </w:tc>
        <w:tc>
          <w:tcPr>
            <w:tcW w:w="3365" w:type="dxa"/>
            <w:vMerge w:val="restart"/>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r>
              <w:rPr>
                <w:rFonts w:hint="default" w:ascii="Times New Roman" w:hAnsi="Times New Roman" w:eastAsia="仿宋" w:cs="Times New Roman"/>
                <w:color w:val="000000"/>
                <w:sz w:val="28"/>
                <w:szCs w:val="28"/>
                <w:lang w:val="en-US" w:eastAsia="zh-CN"/>
              </w:rPr>
              <w:t>NB/SH/T 0230-2019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08" w:type="dxa"/>
            <w:noWrap w:val="0"/>
            <w:vAlign w:val="center"/>
          </w:tcPr>
          <w:p>
            <w:pPr>
              <w:adjustRightInd w:val="0"/>
              <w:snapToGrid w:val="0"/>
              <w:spacing w:line="560" w:lineRule="exact"/>
              <w:jc w:val="center"/>
              <w:rPr>
                <w:rFonts w:hint="default" w:ascii="Times New Roman" w:hAnsi="Times New Roman" w:eastAsia="仿宋_GB2312" w:cs="仿宋_GB2312"/>
                <w:color w:val="000000"/>
                <w:sz w:val="24"/>
                <w:szCs w:val="24"/>
                <w:lang w:val="en-US" w:eastAsia="zh-CN" w:bidi="ar"/>
              </w:rPr>
            </w:pPr>
            <w:r>
              <w:rPr>
                <w:rFonts w:hint="default" w:ascii="Times New Roman" w:hAnsi="Times New Roman" w:eastAsia="仿宋_GB2312" w:cs="仿宋_GB2312"/>
                <w:color w:val="000000"/>
                <w:sz w:val="24"/>
                <w:szCs w:val="24"/>
                <w:lang w:val="en-US" w:eastAsia="zh-CN" w:bidi="ar"/>
              </w:rPr>
              <w:t>2</w:t>
            </w:r>
          </w:p>
        </w:tc>
        <w:tc>
          <w:tcPr>
            <w:tcW w:w="465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仿宋_GB2312" w:cs="仿宋_GB2312"/>
                <w:color w:val="000000"/>
                <w:sz w:val="24"/>
                <w:szCs w:val="24"/>
                <w:lang w:val="en-US" w:eastAsia="zh-CN" w:bidi="ar"/>
              </w:rPr>
            </w:pPr>
            <w:r>
              <w:rPr>
                <w:rFonts w:hint="eastAsia" w:ascii="Times New Roman" w:hAnsi="Times New Roman" w:eastAsia="仿宋_GB2312" w:cs="仿宋_GB2312"/>
                <w:color w:val="000000"/>
                <w:sz w:val="24"/>
                <w:szCs w:val="24"/>
                <w:lang w:val="en-US" w:eastAsia="zh-CN"/>
              </w:rPr>
              <w:t>二甲醚含量</w:t>
            </w:r>
          </w:p>
        </w:tc>
        <w:tc>
          <w:tcPr>
            <w:tcW w:w="3365" w:type="dxa"/>
            <w:vMerge w:val="continue"/>
            <w:noWrap w:val="0"/>
            <w:vAlign w:val="center"/>
          </w:tcPr>
          <w:p>
            <w:pPr>
              <w:snapToGrid w:val="0"/>
              <w:spacing w:line="300" w:lineRule="exact"/>
              <w:jc w:val="center"/>
              <w:rPr>
                <w:rFonts w:hint="default" w:ascii="Times New Roman" w:hAnsi="Times New Roman" w:eastAsia="仿宋_GB2312" w:cs="仿宋_GB2312"/>
                <w:color w:val="00000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8723" w:type="dxa"/>
            <w:gridSpan w:val="3"/>
            <w:noWrap w:val="0"/>
            <w:vAlign w:val="center"/>
          </w:tcPr>
          <w:p>
            <w:pPr>
              <w:snapToGrid w:val="0"/>
              <w:spacing w:line="300" w:lineRule="exact"/>
              <w:ind w:firstLine="480" w:firstLineChars="200"/>
              <w:jc w:val="left"/>
              <w:rPr>
                <w:rFonts w:hint="default" w:ascii="Times New Roman" w:hAnsi="Times New Roman" w:eastAsia="仿宋_GB2312" w:cs="仿宋_GB2312"/>
                <w:color w:val="000000"/>
                <w:sz w:val="24"/>
                <w:szCs w:val="24"/>
                <w:lang w:val="en-US" w:eastAsia="zh-CN"/>
              </w:rPr>
            </w:pPr>
            <w:r>
              <w:rPr>
                <w:rFonts w:hint="eastAsia" w:ascii="Times New Roman" w:hAnsi="Times New Roman" w:eastAsia="仿宋_GB2312" w:cs="仿宋_GB2312"/>
                <w:color w:val="000000"/>
                <w:kern w:val="0"/>
                <w:sz w:val="24"/>
                <w:szCs w:val="24"/>
              </w:rPr>
              <w:t>备注：由于产品标准未对“二甲醚”项目提出技术要求，因此该项目仅出具检验数据、不做结论判定</w:t>
            </w:r>
            <w:r>
              <w:rPr>
                <w:rFonts w:hint="eastAsia" w:ascii="Times New Roman" w:hAnsi="Times New Roman" w:cs="仿宋_GB2312"/>
                <w:color w:val="000000"/>
                <w:kern w:val="0"/>
                <w:sz w:val="24"/>
                <w:szCs w:val="24"/>
                <w:lang w:eastAsia="zh-CN"/>
              </w:rPr>
              <w:t>。</w:t>
            </w:r>
          </w:p>
        </w:tc>
      </w:tr>
    </w:tbl>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rPr>
          <w:rFonts w:ascii="Times New Roman" w:hAnsi="Times New Roman" w:eastAsia="宋体" w:cs="宋体"/>
          <w:color w:val="000000"/>
          <w:sz w:val="24"/>
        </w:rPr>
      </w:pPr>
      <w:r>
        <w:rPr>
          <w:rFonts w:hint="eastAsia" w:eastAsia="宋体" w:cs="宋体"/>
          <w:color w:val="000000"/>
          <w:sz w:val="24"/>
          <w:lang w:eastAsia="zh-CN"/>
        </w:rPr>
        <w:t>备</w:t>
      </w:r>
      <w:r>
        <w:rPr>
          <w:rFonts w:hint="eastAsia" w:ascii="Times New Roman" w:hAnsi="Times New Roman" w:eastAsia="宋体" w:cs="宋体"/>
          <w:color w:val="000000"/>
          <w:sz w:val="24"/>
        </w:rPr>
        <w:t>注：</w:t>
      </w:r>
      <w:r>
        <w:rPr>
          <w:rFonts w:hint="eastAsia" w:eastAsia="宋体" w:cs="宋体"/>
          <w:color w:val="000000"/>
          <w:sz w:val="24"/>
          <w:lang w:val="en-US" w:eastAsia="zh-CN"/>
        </w:rPr>
        <w:t xml:space="preserve">1. </w:t>
      </w:r>
      <w:r>
        <w:rPr>
          <w:rFonts w:hint="eastAsia" w:ascii="Times New Roman" w:hAnsi="Times New Roman" w:eastAsia="宋体" w:cs="宋体"/>
          <w:color w:val="000000"/>
          <w:sz w:val="24"/>
        </w:rPr>
        <w:t>执行企业标准、团体标准、地方标准的产品，检验项目参照上述内容执行。</w:t>
      </w:r>
    </w:p>
    <w:p>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1200" w:firstLineChars="500"/>
        <w:jc w:val="left"/>
        <w:textAlignment w:val="auto"/>
        <w:rPr>
          <w:rFonts w:ascii="Times New Roman" w:hAnsi="Times New Roman" w:eastAsia="宋体" w:cs="宋体"/>
          <w:sz w:val="32"/>
        </w:rPr>
      </w:pPr>
      <w:r>
        <w:rPr>
          <w:rFonts w:hint="eastAsia" w:ascii="Times New Roman" w:hAnsi="Times New Roman" w:eastAsia="宋体" w:cs="宋体"/>
          <w:color w:val="000000"/>
          <w:sz w:val="24"/>
          <w:lang w:val="en-US" w:eastAsia="zh-CN"/>
        </w:rPr>
        <w:t>2.</w:t>
      </w:r>
      <w:r>
        <w:rPr>
          <w:rFonts w:hint="eastAsia" w:ascii="Times New Roman" w:hAnsi="Times New Roman" w:eastAsia="宋体" w:cs="宋体"/>
          <w:color w:val="000000"/>
          <w:sz w:val="24"/>
        </w:rPr>
        <w:t>凡是注日期的文件，其随后所有的修改单（不包括勘误的内容）或修订版不适用于本细则。凡是不注日期的文件，其最新版本适用于本细则。</w:t>
      </w:r>
    </w:p>
    <w:p>
      <w:pPr>
        <w:keepNext w:val="0"/>
        <w:keepLines w:val="0"/>
        <w:widowControl w:val="0"/>
        <w:suppressLineNumbers w:val="0"/>
        <w:autoSpaceDE w:val="0"/>
        <w:autoSpaceDN/>
        <w:spacing w:before="0" w:beforeAutospacing="0" w:after="0" w:afterAutospacing="0" w:line="560" w:lineRule="exact"/>
        <w:ind w:left="0" w:right="0" w:firstLine="640" w:firstLineChars="200"/>
        <w:jc w:val="both"/>
        <w:rPr>
          <w:rFonts w:hint="default" w:ascii="Times New Roman" w:hAnsi="Times New Roman" w:eastAsia="黑体" w:cs="Times New Roman"/>
          <w:kern w:val="2"/>
          <w:sz w:val="32"/>
          <w:szCs w:val="32"/>
          <w:lang w:val="en-US" w:eastAsia="zh-CN" w:bidi="ar"/>
        </w:rPr>
      </w:pPr>
      <w:r>
        <w:rPr>
          <w:rFonts w:hint="eastAsia" w:ascii="Times New Roman" w:hAnsi="Times New Roman" w:eastAsia="黑体" w:cs="Times New Roman"/>
          <w:kern w:val="2"/>
          <w:sz w:val="32"/>
          <w:szCs w:val="32"/>
          <w:lang w:val="en-US" w:eastAsia="zh-CN" w:bidi="ar"/>
        </w:rPr>
        <w:t>三、判定规则</w:t>
      </w:r>
    </w:p>
    <w:p>
      <w:pPr>
        <w:keepNext w:val="0"/>
        <w:keepLines w:val="0"/>
        <w:pageBreakBefore w:val="0"/>
        <w:widowControl w:val="0"/>
        <w:kinsoku/>
        <w:wordWrap/>
        <w:overflowPunct/>
        <w:topLinePunct w:val="0"/>
        <w:bidi w:val="0"/>
        <w:spacing w:line="600" w:lineRule="exact"/>
        <w:ind w:firstLine="640" w:firstLineChars="200"/>
        <w:textAlignment w:val="auto"/>
        <w:rPr>
          <w:rFonts w:hint="default" w:ascii="Times New Roman" w:hAnsi="Times New Roman" w:eastAsia="楷体_GB2312" w:cs="Times New Roman"/>
          <w:color w:val="auto"/>
          <w:sz w:val="32"/>
          <w:szCs w:val="32"/>
          <w:lang w:val="en-US" w:eastAsia="zh-CN"/>
        </w:rPr>
      </w:pPr>
      <w:r>
        <w:rPr>
          <w:rFonts w:hint="eastAsia" w:ascii="Times New Roman" w:hAnsi="Times New Roman" w:eastAsia="楷体_GB2312" w:cs="Times New Roman"/>
          <w:color w:val="auto"/>
          <w:sz w:val="32"/>
          <w:szCs w:val="32"/>
          <w:lang w:val="en-US" w:eastAsia="zh-CN"/>
        </w:rPr>
        <w:t>（一）依据标准</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default" w:ascii="Times New Roman" w:hAnsi="Times New Roman" w:eastAsia="仿宋_GB2312" w:cs="Times New Roman"/>
          <w:kern w:val="2"/>
          <w:sz w:val="32"/>
          <w:szCs w:val="32"/>
          <w:lang w:val="en-US" w:eastAsia="zh-CN" w:bidi="ar"/>
        </w:rPr>
        <w:t>GB 11174-2011《液化石油气》</w:t>
      </w:r>
      <w:r>
        <w:rPr>
          <w:rFonts w:hint="eastAsia" w:ascii="Times New Roman" w:hAnsi="Times New Roman" w:eastAsia="仿宋_GB2312" w:cs="Times New Roman"/>
          <w:kern w:val="2"/>
          <w:sz w:val="32"/>
          <w:szCs w:val="32"/>
          <w:lang w:val="en-US" w:eastAsia="zh-CN" w:bidi="ar"/>
        </w:rPr>
        <w:t>。</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cs="宋体"/>
          <w:color w:val="000000"/>
          <w:kern w:val="0"/>
          <w:sz w:val="32"/>
          <w:szCs w:val="32"/>
        </w:rPr>
      </w:pPr>
      <w:r>
        <w:rPr>
          <w:rFonts w:hint="eastAsia" w:ascii="Times New Roman" w:hAnsi="Times New Roman" w:eastAsia="仿宋_GB2312" w:cs="Times New Roman"/>
          <w:kern w:val="2"/>
          <w:sz w:val="32"/>
          <w:szCs w:val="32"/>
          <w:lang w:val="en-US" w:eastAsia="zh-CN" w:bidi="ar"/>
        </w:rPr>
        <w:t>现行有效的企业标准、团体标准、地方标准及产品明示质量要求。</w:t>
      </w:r>
    </w:p>
    <w:p>
      <w:pPr>
        <w:keepNext w:val="0"/>
        <w:keepLines w:val="0"/>
        <w:pageBreakBefore w:val="0"/>
        <w:widowControl w:val="0"/>
        <w:kinsoku/>
        <w:wordWrap/>
        <w:overflowPunct/>
        <w:topLinePunct w:val="0"/>
        <w:bidi w:val="0"/>
        <w:spacing w:line="600" w:lineRule="exact"/>
        <w:ind w:firstLine="640" w:firstLineChars="200"/>
        <w:textAlignment w:val="auto"/>
        <w:rPr>
          <w:rFonts w:hint="default" w:ascii="Times New Roman" w:hAnsi="Times New Roman" w:eastAsia="楷体_GB2312" w:cs="Times New Roman"/>
          <w:color w:val="auto"/>
          <w:sz w:val="32"/>
          <w:szCs w:val="32"/>
          <w:lang w:val="en-US" w:eastAsia="zh-CN"/>
        </w:rPr>
      </w:pPr>
      <w:r>
        <w:rPr>
          <w:rFonts w:hint="default" w:ascii="Times New Roman" w:hAnsi="Times New Roman" w:eastAsia="楷体_GB2312" w:cs="Times New Roman"/>
          <w:color w:val="auto"/>
          <w:sz w:val="32"/>
          <w:szCs w:val="32"/>
          <w:lang w:val="en-US" w:eastAsia="zh-CN"/>
        </w:rPr>
        <w:t>（二）判定原则</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经检验，检验项目全部合格，判定为抽取的样本所检项目未检出不合格；检验项目中任一项或一项以上不合格，判定为被抽查产品不合格。</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当被检样品明示的质量要求优于监督抽查实施细则中依据的标准要求时，应按被检样品明示的质量要求判定；</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当被检样品明示的质量要求劣于或不包含监督抽查实施细则中依据的强制性标准要求时，应按照强制性标准要求判定；</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当被检样品明示的质量要求劣于或包含监督抽查实施细则中依据的推荐性标准要求时，应以被检样品明示的质量要求判定，如相应检验结果不符合相关推荐性标准要求时，应在检验报告中予以说明；</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当被检样品明示的质量要求不包含监督抽查实施细则中依据的推荐性标准要求时，该指标不参与判定，但应在检验报告中作出说明；</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当被检样品未能提供有效的企业标准时，按相关国家或行业标准进行判定；</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keepNext w:val="0"/>
        <w:keepLines w:val="0"/>
        <w:widowControl w:val="0"/>
        <w:suppressLineNumbers w:val="0"/>
        <w:spacing w:before="0" w:beforeAutospacing="0" w:after="0" w:afterAutospacing="0" w:line="560" w:lineRule="exact"/>
        <w:ind w:left="0" w:right="0" w:firstLine="640" w:firstLineChars="200"/>
        <w:jc w:val="both"/>
        <w:rPr>
          <w:rFonts w:hint="eastAsia"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按照产品质量相关法律法规的规定判定。</w:t>
      </w:r>
    </w:p>
    <w:p>
      <w:pPr>
        <w:keepNext w:val="0"/>
        <w:keepLines w:val="0"/>
        <w:widowControl w:val="0"/>
        <w:suppressLineNumbers w:val="0"/>
        <w:spacing w:before="0" w:beforeAutospacing="0" w:after="0" w:afterAutospacing="0" w:line="560" w:lineRule="exact"/>
        <w:ind w:left="0" w:right="0" w:firstLine="640" w:firstLineChars="200"/>
        <w:jc w:val="both"/>
        <w:rPr>
          <w:rFonts w:hint="default" w:ascii="Times New Roman" w:hAnsi="Times New Roman" w:eastAsia="仿宋_GB2312" w:cs="Times New Roman"/>
          <w:kern w:val="2"/>
          <w:sz w:val="32"/>
          <w:szCs w:val="32"/>
          <w:lang w:val="en-US" w:eastAsia="zh-CN" w:bidi="ar"/>
        </w:rPr>
      </w:pPr>
      <w:r>
        <w:rPr>
          <w:rFonts w:hint="eastAsia" w:ascii="Times New Roman" w:hAnsi="Times New Roman" w:eastAsia="仿宋_GB2312" w:cs="Times New Roman"/>
          <w:kern w:val="2"/>
          <w:sz w:val="32"/>
          <w:szCs w:val="32"/>
          <w:lang w:val="en-US" w:eastAsia="zh-CN" w:bidi="ar"/>
        </w:rPr>
        <w:t>检验中发现因样品失效或者其他原因致使检验无法进行的，检验人员应如实记录，并提供相关证明材料，报送组织监督抽查的市场监管部门。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93617B5-322F-4E78-9610-EDE8A58834B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9903835E-B5CC-4120-A363-79E56EE98671}"/>
  </w:font>
  <w:font w:name="方正小标宋简体">
    <w:panose1 w:val="03000509000000000000"/>
    <w:charset w:val="86"/>
    <w:family w:val="script"/>
    <w:pitch w:val="default"/>
    <w:sig w:usb0="00000001" w:usb1="080E0000" w:usb2="00000000" w:usb3="00000000" w:csb0="00040000" w:csb1="00000000"/>
    <w:embedRegular r:id="rId3" w:fontKey="{28C6BFFA-69FE-41E3-94AC-F7C7BF8642D2}"/>
  </w:font>
  <w:font w:name="楷体_GB2312">
    <w:altName w:val="楷体"/>
    <w:panose1 w:val="02010609030101010101"/>
    <w:charset w:val="86"/>
    <w:family w:val="modern"/>
    <w:pitch w:val="default"/>
    <w:sig w:usb0="00000000" w:usb1="00000000" w:usb2="00000000" w:usb3="00000000" w:csb0="00040000" w:csb1="00000000"/>
    <w:embedRegular r:id="rId4" w:fontKey="{A03FA003-F598-400E-B5AE-7FB7A102FC30}"/>
  </w:font>
  <w:font w:name="仿宋">
    <w:panose1 w:val="02010609060101010101"/>
    <w:charset w:val="86"/>
    <w:family w:val="modern"/>
    <w:pitch w:val="default"/>
    <w:sig w:usb0="800002BF" w:usb1="38CF7CFA" w:usb2="00000016" w:usb3="00000000" w:csb0="00040001" w:csb1="00000000"/>
    <w:embedRegular r:id="rId5" w:fontKey="{18AABA2E-28F6-4D60-97C0-EB588D4342D7}"/>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9D0CEC"/>
    <w:rsid w:val="03AF1619"/>
    <w:rsid w:val="094E5430"/>
    <w:rsid w:val="13B80305"/>
    <w:rsid w:val="1F107CD8"/>
    <w:rsid w:val="20007CAC"/>
    <w:rsid w:val="21073272"/>
    <w:rsid w:val="22FA2FCE"/>
    <w:rsid w:val="2A8275BB"/>
    <w:rsid w:val="304519D1"/>
    <w:rsid w:val="31013F5E"/>
    <w:rsid w:val="3ADF3D61"/>
    <w:rsid w:val="3CCA4804"/>
    <w:rsid w:val="43992BE7"/>
    <w:rsid w:val="51621046"/>
    <w:rsid w:val="520358AC"/>
    <w:rsid w:val="53481693"/>
    <w:rsid w:val="55621614"/>
    <w:rsid w:val="569D0CEC"/>
    <w:rsid w:val="57660DC4"/>
    <w:rsid w:val="62E362E2"/>
    <w:rsid w:val="67302F6D"/>
    <w:rsid w:val="73012015"/>
    <w:rsid w:val="7AE67076"/>
    <w:rsid w:val="7F225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pPr>
      <w:widowControl w:val="0"/>
      <w:jc w:val="both"/>
    </w:pPr>
    <w:rPr>
      <w:rFonts w:ascii="宋体" w:hAnsi="Courier New" w:eastAsia="宋体" w:cs="Times New Roman"/>
      <w:kern w:val="2"/>
      <w:sz w:val="32"/>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省市场监督管理局</Company>
  <Pages>9</Pages>
  <Words>2709</Words>
  <Characters>3428</Characters>
  <Lines>0</Lines>
  <Paragraphs>0</Paragraphs>
  <TotalTime>53</TotalTime>
  <ScaleCrop>false</ScaleCrop>
  <LinksUpToDate>false</LinksUpToDate>
  <CharactersWithSpaces>3503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2025-02-20T03:18:00Z</dcterms:created>
  <dc:creator>胡翌婧</dc:creator>
  <cp:lastModifiedBy>Administrator</cp:lastModifiedBy>
  <dcterms:modified xsi:type="dcterms:W3CDTF">2026-03-11T01:42:47Z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E2CDA39A08894AEFB1C251032B318927_11</vt:lpwstr>
  </property>
  <property fmtid="{D5CDD505-2E9C-101B-9397-08002B2CF9AE}" pid="4" name="KSOTemplateDocerSaveRecord">
    <vt:lpwstr>eyJoZGlkIjoiZWU0YjVjOWFiNDgxZGFlYjZjZWJjYzUwNjcwMWZjNmIifQ==</vt:lpwstr>
  </property>
</Properties>
</file>