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utoSpaceDE w:val="0"/>
        <w:autoSpaceDN/>
        <w:spacing w:before="0" w:beforeAutospacing="0" w:after="0" w:afterAutospacing="0" w:line="560" w:lineRule="exact"/>
        <w:ind w:right="0"/>
        <w:jc w:val="center"/>
        <w:rPr>
          <w:rFonts w:hint="default"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揭阳市玩具产品质量监督抽查实施细则</w:t>
      </w:r>
    </w:p>
    <w:p>
      <w:pPr>
        <w:widowControl/>
        <w:spacing w:line="600" w:lineRule="exact"/>
        <w:jc w:val="center"/>
        <w:rPr>
          <w:rFonts w:eastAsia="楷体_GB2312" w:cs="楷体_GB2312"/>
          <w:szCs w:val="40"/>
        </w:rPr>
      </w:pPr>
      <w:r>
        <w:rPr>
          <w:rFonts w:hint="eastAsia" w:ascii="Times New Roman" w:hAnsi="Times New Roman" w:eastAsia="方正小标宋简体" w:cs="Times New Roman"/>
          <w:color w:val="auto"/>
          <w:sz w:val="44"/>
          <w:szCs w:val="44"/>
          <w:lang w:val="en-US" w:eastAsia="zh-CN"/>
        </w:rPr>
        <w:t>（202</w:t>
      </w:r>
      <w:r>
        <w:rPr>
          <w:rFonts w:hint="default" w:ascii="Times New Roman" w:hAnsi="Times New Roman" w:eastAsia="方正小标宋简体" w:cs="Times New Roman"/>
          <w:color w:val="auto"/>
          <w:sz w:val="44"/>
          <w:szCs w:val="44"/>
          <w:lang w:val="en-US" w:eastAsia="zh-CN"/>
        </w:rPr>
        <w:t>6</w:t>
      </w:r>
      <w:r>
        <w:rPr>
          <w:rFonts w:hint="eastAsia" w:ascii="Times New Roman" w:hAnsi="Times New Roman" w:eastAsia="方正小标宋简体" w:cs="Times New Roman"/>
          <w:color w:val="auto"/>
          <w:sz w:val="44"/>
          <w:szCs w:val="44"/>
          <w:lang w:val="en-US" w:eastAsia="zh-CN"/>
        </w:rPr>
        <w:t>年版）</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黑体" w:cs="黑体"/>
          <w:szCs w:val="40"/>
        </w:rPr>
      </w:pPr>
      <w:r>
        <w:rPr>
          <w:rFonts w:hint="eastAsia" w:ascii="Times New Roman" w:hAnsi="Times New Roman" w:eastAsia="黑体" w:cs="Times New Roman"/>
          <w:kern w:val="2"/>
          <w:sz w:val="32"/>
          <w:szCs w:val="32"/>
          <w:lang w:val="en-US" w:eastAsia="zh-CN" w:bidi="ar"/>
        </w:rPr>
        <w:t>一、抽样方法</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以随机抽样的方式在被抽样生产者、销售者的待销产品中抽取。</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随机数一般可使用随机数表等方法产生。</w:t>
      </w:r>
    </w:p>
    <w:p>
      <w:pPr>
        <w:keepNext w:val="0"/>
        <w:keepLines w:val="0"/>
        <w:widowControl w:val="0"/>
        <w:suppressLineNumbers w:val="0"/>
        <w:spacing w:before="0" w:beforeAutospacing="0" w:after="0" w:afterAutospacing="0" w:line="560" w:lineRule="exact"/>
        <w:ind w:left="0" w:right="0" w:firstLine="640" w:firstLineChars="200"/>
        <w:jc w:val="both"/>
        <w:rPr>
          <w:rFonts w:cs="仿宋_GB2312"/>
          <w:sz w:val="28"/>
          <w:szCs w:val="36"/>
        </w:rPr>
      </w:pPr>
      <w:r>
        <w:rPr>
          <w:rFonts w:hint="eastAsia" w:ascii="Times New Roman" w:hAnsi="Times New Roman" w:eastAsia="仿宋_GB2312" w:cs="Times New Roman"/>
          <w:kern w:val="2"/>
          <w:sz w:val="32"/>
          <w:szCs w:val="32"/>
          <w:lang w:val="en-US" w:eastAsia="zh-CN" w:bidi="ar"/>
        </w:rPr>
        <w:t>按本细则如需检测</w:t>
      </w:r>
      <w:r>
        <w:rPr>
          <w:rFonts w:hint="default" w:ascii="Times New Roman" w:hAnsi="Times New Roman" w:eastAsia="仿宋_GB2312" w:cs="Times New Roman"/>
          <w:kern w:val="2"/>
          <w:sz w:val="32"/>
          <w:szCs w:val="32"/>
          <w:lang w:val="en-US" w:eastAsia="zh-CN" w:bidi="ar"/>
        </w:rPr>
        <w:t>GB 6675.1</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Times New Roman"/>
          <w:kern w:val="2"/>
          <w:sz w:val="32"/>
          <w:szCs w:val="32"/>
          <w:lang w:val="en-US" w:eastAsia="zh-CN" w:bidi="ar"/>
        </w:rPr>
        <w:t>025，每批次抽样数量</w:t>
      </w: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Times New Roman"/>
          <w:kern w:val="2"/>
          <w:sz w:val="32"/>
          <w:szCs w:val="32"/>
          <w:lang w:val="en-US" w:eastAsia="zh-CN" w:bidi="ar"/>
        </w:rPr>
        <w:t>个，其中</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Times New Roman"/>
          <w:kern w:val="2"/>
          <w:sz w:val="32"/>
          <w:szCs w:val="32"/>
          <w:lang w:val="en-US" w:eastAsia="zh-CN" w:bidi="ar"/>
        </w:rPr>
        <w:t>个作为检验样品、</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Times New Roman"/>
          <w:kern w:val="2"/>
          <w:sz w:val="32"/>
          <w:szCs w:val="32"/>
          <w:lang w:val="en-US" w:eastAsia="zh-CN" w:bidi="ar"/>
        </w:rPr>
        <w:t>个作为备用样品；其它标准每批次抽样数量3个，其中2个作为检验样品、1个作为备用样品。</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黑体" w:cs="黑体"/>
          <w:szCs w:val="40"/>
        </w:rPr>
      </w:pPr>
      <w:r>
        <w:rPr>
          <w:rFonts w:hint="eastAsia" w:ascii="Times New Roman" w:hAnsi="Times New Roman" w:eastAsia="黑体" w:cs="Times New Roman"/>
          <w:kern w:val="2"/>
          <w:sz w:val="32"/>
          <w:szCs w:val="32"/>
          <w:lang w:val="en-US" w:eastAsia="zh-CN" w:bidi="ar"/>
        </w:rPr>
        <w:t>二、检验依据</w:t>
      </w:r>
    </w:p>
    <w:p>
      <w:pPr>
        <w:spacing w:line="560" w:lineRule="exact"/>
        <w:jc w:val="center"/>
        <w:rPr>
          <w:rFonts w:ascii="仿宋_GB2312" w:cs="仿宋_GB2312"/>
          <w:b/>
          <w:sz w:val="28"/>
          <w:szCs w:val="28"/>
        </w:rPr>
      </w:pPr>
      <w:r>
        <w:rPr>
          <w:rFonts w:hint="eastAsia" w:ascii="仿宋_GB2312" w:cs="仿宋_GB2312"/>
          <w:b/>
          <w:sz w:val="28"/>
          <w:szCs w:val="28"/>
        </w:rPr>
        <w:t>表1 玩具</w:t>
      </w:r>
    </w:p>
    <w:p>
      <w:pPr>
        <w:spacing w:line="560" w:lineRule="exact"/>
        <w:jc w:val="center"/>
        <w:rPr>
          <w:rFonts w:ascii="仿宋_GB2312" w:cs="仿宋_GB2312"/>
          <w:b w:val="0"/>
          <w:bCs/>
          <w:sz w:val="24"/>
          <w:szCs w:val="24"/>
        </w:rPr>
      </w:pPr>
      <w:r>
        <w:rPr>
          <w:rFonts w:hint="eastAsia" w:ascii="仿宋_GB2312" w:cs="仿宋_GB2312"/>
          <w:b w:val="0"/>
          <w:bCs/>
          <w:sz w:val="24"/>
          <w:szCs w:val="24"/>
        </w:rPr>
        <w:t>（GB 6675.1—2014、GB 6675.2—2014、GB 6675.3—2014和GB 6675.4—2014）</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4474"/>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序号</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检验项目</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hint="default"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一、机械与物理性能（正常使用和可预见的合理滥用）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材料</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小零件</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挤压玩具、摇铃及类似玩具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小球</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毛球</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学前玩偶</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玩具奶嘴</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气球</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弹珠</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半球形玩具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可触及的金属或玻璃边缘</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功能性锐利边缘</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金属玩具边缘</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模塑玩具边缘</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外露螺栓或螺纹杆的边缘</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可触及的锐利尖端</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功能性锐利尖端</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木制玩具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突出物</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把手和其他类似的管子</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金属丝和杆件</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用于包装或玩具中的塑料袋或塑料薄膜</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18个月以下儿童使用的玩具上的绳索和弹性绳</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18个月以下儿童使用的玩具上的自回缩绳</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36个月以下儿童使用的拖拉玩具上的绳索或弹性绳</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玩具袋上的绳索</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童床或游戏围栏上的悬挂玩具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童床上的健身玩具及类似玩具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飞行玩具的绳索、细绳或线</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玩具推车、玩具婴儿车及类似玩具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带有折叠机构的其他玩具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铰链间隙</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刚性材料上的圆孔</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活动部件间的间隙</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乘骑玩具的传动链或皮带</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其他驱动机构</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发条钥匙</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弹簧</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可用脚起稳定作用的玩具的侧倾稳定性</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不可用脚起稳定作用的玩具的侧倾稳定性</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前后稳定性</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乘骑玩具及座位的超载性能</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静止在地面上的玩具的稳定性</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封闭式玩具的通风装置</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封闭式玩具的关闭件</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封闭头部的玩具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仿制防护玩具（头盔、帽子、护目镜）</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弹射玩具的一般要求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蓄能弹射玩具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非蓄能弹射玩具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水上玩具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制动装置</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default"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玩具自行车的一般要求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玩具自行车的使用说明</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玩具自行车的鞍座最大高度</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56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玩具自行车的制动要求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auto"/>
                <w:kern w:val="2"/>
                <w:sz w:val="21"/>
                <w:szCs w:val="21"/>
              </w:rPr>
            </w:pPr>
            <w:r>
              <w:rPr>
                <w:rFonts w:hint="eastAsia" w:ascii="Times New Roman" w:hAnsi="Times New Roman" w:eastAsia="宋体" w:cs="Times New Roman"/>
                <w:color w:val="auto"/>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电动童车的速度要求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热源玩具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液体填充玩具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口动玩具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玩具滚轴溜冰鞋、单排滚轴溜冰鞋及玩具滑板</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玩具火药帽</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声响要求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磁体和磁性部件</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cs="仿宋_GB2312"/>
                <w:b/>
                <w:color w:val="000000"/>
                <w:sz w:val="21"/>
                <w:szCs w:val="21"/>
              </w:rPr>
            </w:pPr>
            <w:r>
              <w:rPr>
                <w:rFonts w:hint="eastAsia" w:ascii="Times New Roman" w:hAnsi="Times New Roman" w:eastAsia="宋体" w:cs="Times New Roman"/>
                <w:b/>
                <w:bCs/>
                <w:color w:val="000000"/>
                <w:kern w:val="2"/>
                <w:sz w:val="21"/>
                <w:szCs w:val="21"/>
              </w:rPr>
              <w:t>二、易燃性能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一般要求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头戴玩具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化妆服饰</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供儿童进入的玩具</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具有毛绒或纺织表面的软体填充玩具（动物和娃娃等）</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hint="eastAsia"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三、特定元素的迁移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最大限量要求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b/>
                <w:bCs/>
                <w:color w:val="000000"/>
                <w:kern w:val="2"/>
                <w:sz w:val="21"/>
                <w:szCs w:val="21"/>
              </w:rPr>
              <w:t>四、增塑剂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限定增塑剂限量要求</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22048</w:t>
            </w:r>
          </w:p>
        </w:tc>
      </w:tr>
    </w:tbl>
    <w:p>
      <w:pPr>
        <w:spacing w:before="156" w:beforeLines="50" w:line="560" w:lineRule="exact"/>
        <w:jc w:val="center"/>
        <w:rPr>
          <w:rFonts w:ascii="仿宋_GB2312" w:cs="仿宋_GB2312"/>
          <w:b/>
          <w:sz w:val="28"/>
          <w:szCs w:val="28"/>
        </w:rPr>
      </w:pPr>
      <w:r>
        <w:rPr>
          <w:rFonts w:hint="eastAsia" w:ascii="仿宋_GB2312" w:cs="仿宋_GB2312"/>
          <w:b/>
          <w:sz w:val="28"/>
          <w:szCs w:val="28"/>
        </w:rPr>
        <w:t>表2玩具</w:t>
      </w:r>
    </w:p>
    <w:p>
      <w:pPr>
        <w:spacing w:line="560" w:lineRule="exact"/>
        <w:jc w:val="center"/>
        <w:rPr>
          <w:rFonts w:ascii="仿宋_GB2312" w:cs="仿宋_GB2312"/>
          <w:b w:val="0"/>
          <w:bCs/>
          <w:sz w:val="24"/>
          <w:szCs w:val="24"/>
        </w:rPr>
      </w:pPr>
      <w:r>
        <w:rPr>
          <w:rFonts w:hint="eastAsia" w:ascii="仿宋_GB2312" w:cs="仿宋_GB2312"/>
          <w:b w:val="0"/>
          <w:bCs/>
          <w:sz w:val="24"/>
          <w:szCs w:val="24"/>
        </w:rPr>
        <w:t>（GB 6675.1—2025、GB 6675.2—2025、GB 6675.3—2025和GB 6675.4—2025）</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4247"/>
        <w:gridCol w:w="3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序号</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检验项目</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hint="eastAsia" w:ascii="Times New Roman" w:hAnsi="Times New Roman" w:eastAsia="宋体" w:cs="Times New Roman"/>
                <w:b/>
                <w:bCs/>
                <w:color w:val="000000"/>
                <w:kern w:val="2"/>
                <w:sz w:val="21"/>
                <w:szCs w:val="21"/>
              </w:rPr>
            </w:pPr>
            <w:r>
              <w:rPr>
                <w:rFonts w:hint="eastAsia" w:ascii="Times New Roman" w:hAnsi="Times New Roman" w:eastAsia="宋体" w:cs="Times New Roman"/>
                <w:b/>
                <w:bCs/>
                <w:color w:val="000000"/>
                <w:kern w:val="2"/>
                <w:sz w:val="21"/>
                <w:szCs w:val="21"/>
              </w:rPr>
              <w:t>一、机械与物理性能（正常使用和可预见的合理滥用）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材料</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小零件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挤压玩具、摇铃、紧固件和特定的其他玩具和玩具部件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小球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毛球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学前玩偶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玩具奶嘴</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气球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弹珠</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半球形玩具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可触及的金属或玻璃边缘</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功能性锐利边缘</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金属玩具边缘</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模塑玩具边缘</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外露螺栓或螺纹杆的边缘</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可触及的锐利尖端</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功能性锐利尖端</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木制玩具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突出物</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金属丝和杆件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玩具及其包装中的塑料薄膜或塑料袋</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供18个月以下儿童使用的玩具中的绳索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供18个月及以上但不足36个月儿童使用的玩具中的绳索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供36个月以下儿童使用的玩具中的固定绳圈和套索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拖拉玩具上的绳索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电缆</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供36个月以下儿童使用的特定绳索的直径</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供36个月以下儿童使用的玩具上的自回缩绳</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连接或预定以串着横跨的方式或其他方式连接到摇篮、童床、婴儿推车或童车的玩具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玩具袋上的绳索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飞行玩具的绳索、细绳或线</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玩具推车、玩具婴儿车及类似玩具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带有折叠机构的其他玩具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铰链线间隙</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刚性材料上的圆孔</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活动部件间的可触及间隙</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乘骑玩具的传动链或皮带</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其他驱动机构</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发条钥匙</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可用脚起稳定作用的玩具的侧向稳定性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不可用脚起稳定作用的玩具的侧向稳定性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前后稳定性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乘骑玩具及座位的超载要求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地面静止玩具的稳定性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封闭式玩具的通风</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封闭式玩具的关闭件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封闭头部的玩具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覆盖面部玩具和模拟防护装备玩具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弹射玩具的一般要求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弹射物</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蓄能弹射玩具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非蓄能弹射玩具的一般要求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口动弹射玩具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飞镖状弹射物</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箭（例如弓箭套装）</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飞行玩具的一般要求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飞行玩具的旋转叶片</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遥控飞行玩具的旋转叶片</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水上玩具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制动</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玩具自行车的一般要求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玩具自行车的使用说明</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玩具自行车的鞍座最大高度</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玩具自行车的制动要求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电动乘骑玩具的限速</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非电热源玩具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液体填充玩具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口动玩具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玩具轮滑鞋及玩具滑板</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玩具火药帽</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声响要求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玩具滑板车的强度</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玩具滑板车的稳定性</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玩具滑板车的可调节和可折叠的把立管和把横管</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玩具滑板车的制动</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玩具滑板车的车轮尺寸</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玩具滑板车的突出部件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磁体和磁性部件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悠悠球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预定供全部或部分绕颈穿戴的带子</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含有拉绳的雪橇</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下颌在把手和方向盘中的卡陷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组装</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功能性玩具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预定与食品接触的玩具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充气玩具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玩具枪标识</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包装袋上的绳索</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食品中包含或与食品相混的玩具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半球形包装</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球形、卵形或椭圆形的包装和可拆卸包装部件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端部倒圆的圆柱状可拆卸包装部件</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附着于食品上的玩具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模拟食品玩具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ascii="仿宋_GB2312" w:cs="仿宋_GB2312"/>
                <w:color w:val="000000"/>
                <w:sz w:val="21"/>
                <w:szCs w:val="21"/>
              </w:rPr>
            </w:pPr>
            <w:r>
              <w:rPr>
                <w:rFonts w:hint="eastAsia" w:ascii="Times New Roman" w:hAnsi="Times New Roman" w:eastAsia="宋体" w:cs="Times New Roman"/>
                <w:b/>
                <w:bCs/>
                <w:color w:val="000000"/>
                <w:kern w:val="2"/>
                <w:sz w:val="21"/>
                <w:szCs w:val="21"/>
              </w:rPr>
              <w:t>二、易燃性能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一般要求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头戴玩具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玩具化装服饰和供儿童玩耍时穿着的玩具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供儿童进入的玩具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软体填充玩具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left"/>
              <w:rPr>
                <w:rFonts w:ascii="仿宋_GB2312" w:cs="仿宋_GB2312"/>
                <w:sz w:val="21"/>
                <w:szCs w:val="21"/>
              </w:rPr>
            </w:pPr>
            <w:r>
              <w:rPr>
                <w:rFonts w:hint="eastAsia" w:ascii="Times New Roman" w:hAnsi="Times New Roman" w:eastAsia="宋体" w:cs="Times New Roman"/>
                <w:b/>
                <w:bCs/>
                <w:color w:val="000000"/>
                <w:kern w:val="2"/>
                <w:sz w:val="21"/>
                <w:szCs w:val="21"/>
              </w:rPr>
              <w:t>三、化学性能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可迁移元素的最大限量要求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可触及塑化材料中增塑剂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22048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甲醛</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2912.1—2009</w:t>
            </w:r>
          </w:p>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19941.1—2019或GB/T 19941.2—2019</w:t>
            </w:r>
          </w:p>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34448—2017</w:t>
            </w:r>
          </w:p>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46510—2025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有害芳香胺</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17592—2024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多环芳烃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29614—2021方法B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可迁移N-亚硝胺及N-亚硝胺前体物</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41413—2022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甲酰胺</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34436—2023</w:t>
            </w:r>
          </w:p>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43276—2023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短链氯化石蜡</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41524—2022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甲醛、苯、甲苯、二甲苯和TVOC的释放量</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46509—2025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致敏性芳香剂</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38424—2019</w:t>
            </w:r>
          </w:p>
        </w:tc>
      </w:tr>
    </w:tbl>
    <w:p>
      <w:pPr>
        <w:spacing w:before="156" w:beforeLines="50" w:line="560" w:lineRule="exact"/>
        <w:jc w:val="center"/>
        <w:rPr>
          <w:rFonts w:ascii="仿宋_GB2312" w:cs="仿宋_GB2312"/>
          <w:b w:val="0"/>
          <w:bCs/>
          <w:sz w:val="24"/>
          <w:szCs w:val="24"/>
        </w:rPr>
      </w:pPr>
      <w:r>
        <w:rPr>
          <w:rFonts w:hint="eastAsia" w:ascii="仿宋_GB2312" w:cs="仿宋_GB2312"/>
          <w:b/>
          <w:sz w:val="28"/>
          <w:szCs w:val="28"/>
        </w:rPr>
        <w:t>表3玩具滑板车</w:t>
      </w:r>
      <w:r>
        <w:rPr>
          <w:rFonts w:hint="eastAsia" w:ascii="仿宋_GB2312" w:cs="仿宋_GB2312"/>
          <w:b w:val="0"/>
          <w:bCs/>
          <w:sz w:val="24"/>
          <w:szCs w:val="24"/>
        </w:rPr>
        <w:t>（</w:t>
      </w:r>
      <w:r>
        <w:rPr>
          <w:rFonts w:hint="eastAsia" w:ascii="仿宋_GB2312" w:cs="仿宋_GB2312"/>
          <w:b w:val="0"/>
          <w:bCs/>
          <w:sz w:val="24"/>
          <w:szCs w:val="24"/>
        </w:rPr>
        <w:t>GB 6675.12—2014）</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4296"/>
        <w:gridCol w:w="3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序号</w:t>
            </w:r>
          </w:p>
        </w:tc>
        <w:tc>
          <w:tcPr>
            <w:tcW w:w="4296" w:type="dxa"/>
            <w:tcBorders>
              <w:top w:val="single" w:color="auto" w:sz="4" w:space="0"/>
              <w:left w:val="nil"/>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检验项目</w:t>
            </w:r>
          </w:p>
        </w:tc>
        <w:tc>
          <w:tcPr>
            <w:tcW w:w="3715" w:type="dxa"/>
            <w:tcBorders>
              <w:top w:val="single" w:color="auto" w:sz="4" w:space="0"/>
              <w:left w:val="nil"/>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突出部件</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静态强度和动态强度</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把立管强度</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三轮滑板车的稳定性</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可调节、可折叠的把立管和把横管</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6675.12—2014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2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刹车</w:t>
            </w:r>
          </w:p>
        </w:tc>
        <w:tc>
          <w:tcPr>
            <w:tcW w:w="371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6675.12—2014</w:t>
            </w:r>
          </w:p>
        </w:tc>
      </w:tr>
    </w:tbl>
    <w:p>
      <w:pPr>
        <w:spacing w:before="156" w:beforeLines="50" w:line="560" w:lineRule="exact"/>
        <w:jc w:val="center"/>
        <w:rPr>
          <w:rFonts w:ascii="仿宋_GB2312" w:cs="仿宋_GB2312"/>
          <w:b/>
          <w:sz w:val="28"/>
          <w:szCs w:val="28"/>
        </w:rPr>
      </w:pPr>
      <w:r>
        <w:rPr>
          <w:rFonts w:hint="eastAsia" w:ascii="仿宋_GB2312" w:cs="仿宋_GB2312"/>
          <w:b/>
          <w:sz w:val="28"/>
          <w:szCs w:val="28"/>
        </w:rPr>
        <w:t>表4玩具电性能</w:t>
      </w:r>
      <w:r>
        <w:rPr>
          <w:rFonts w:hint="eastAsia" w:ascii="仿宋_GB2312" w:cs="仿宋_GB2312"/>
          <w:b w:val="0"/>
          <w:bCs/>
          <w:sz w:val="24"/>
          <w:szCs w:val="24"/>
        </w:rPr>
        <w:t>（GB 19865—2005）</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4474"/>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cs="仿宋_GB2312"/>
                <w:b/>
                <w:bCs/>
                <w:sz w:val="21"/>
                <w:szCs w:val="21"/>
              </w:rPr>
            </w:pPr>
            <w:r>
              <w:rPr>
                <w:rFonts w:hint="eastAsia" w:cs="仿宋_GB2312"/>
                <w:b/>
                <w:bCs/>
                <w:sz w:val="21"/>
                <w:szCs w:val="21"/>
              </w:rPr>
              <w:t>序号</w:t>
            </w:r>
          </w:p>
        </w:tc>
        <w:tc>
          <w:tcPr>
            <w:tcW w:w="4474" w:type="dxa"/>
            <w:tcBorders>
              <w:top w:val="single" w:color="auto" w:sz="4" w:space="0"/>
              <w:left w:val="nil"/>
              <w:bottom w:val="single" w:color="auto" w:sz="4" w:space="0"/>
              <w:right w:val="single" w:color="auto" w:sz="4" w:space="0"/>
            </w:tcBorders>
            <w:vAlign w:val="center"/>
          </w:tcPr>
          <w:p>
            <w:pPr>
              <w:spacing w:line="480" w:lineRule="exact"/>
              <w:jc w:val="center"/>
              <w:rPr>
                <w:rFonts w:cs="仿宋_GB2312"/>
                <w:b/>
                <w:bCs/>
                <w:sz w:val="21"/>
                <w:szCs w:val="21"/>
              </w:rPr>
            </w:pPr>
            <w:r>
              <w:rPr>
                <w:rFonts w:hint="eastAsia" w:cs="仿宋_GB2312"/>
                <w:b/>
                <w:bCs/>
                <w:sz w:val="21"/>
                <w:szCs w:val="21"/>
              </w:rPr>
              <w:t>检验项目</w:t>
            </w:r>
          </w:p>
        </w:tc>
        <w:tc>
          <w:tcPr>
            <w:tcW w:w="3537" w:type="dxa"/>
            <w:tcBorders>
              <w:top w:val="single" w:color="auto" w:sz="4" w:space="0"/>
              <w:left w:val="nil"/>
              <w:bottom w:val="single" w:color="auto" w:sz="4" w:space="0"/>
              <w:right w:val="single" w:color="auto" w:sz="4" w:space="0"/>
            </w:tcBorders>
            <w:vAlign w:val="center"/>
          </w:tcPr>
          <w:p>
            <w:pPr>
              <w:spacing w:line="480" w:lineRule="exact"/>
              <w:jc w:val="center"/>
              <w:rPr>
                <w:rFonts w:cs="仿宋_GB2312"/>
                <w:b/>
                <w:bCs/>
                <w:sz w:val="21"/>
                <w:szCs w:val="21"/>
              </w:rPr>
            </w:pPr>
            <w:r>
              <w:rPr>
                <w:rFonts w:hint="eastAsia" w:cs="仿宋_GB2312"/>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标识和说明</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输入功率</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发热和非正常工作</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工作温度下的电气强度</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耐潮湿</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室温下的电气强度</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机械强度</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结构</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软线和电线的保护</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10</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螺钉和连接</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11</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电气间隙和爬电距离</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12</w:t>
            </w:r>
          </w:p>
        </w:tc>
        <w:tc>
          <w:tcPr>
            <w:tcW w:w="44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耐热和耐燃</w:t>
            </w:r>
          </w:p>
        </w:tc>
        <w:tc>
          <w:tcPr>
            <w:tcW w:w="353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 19865—2005</w:t>
            </w:r>
          </w:p>
        </w:tc>
      </w:tr>
    </w:tbl>
    <w:p>
      <w:pPr>
        <w:spacing w:before="156" w:beforeLines="50" w:line="560" w:lineRule="exact"/>
        <w:jc w:val="center"/>
        <w:rPr>
          <w:rFonts w:ascii="仿宋_GB2312" w:cs="仿宋_GB2312"/>
          <w:b/>
          <w:szCs w:val="40"/>
        </w:rPr>
      </w:pPr>
      <w:r>
        <w:rPr>
          <w:rFonts w:hint="eastAsia" w:ascii="仿宋_GB2312" w:cs="仿宋_GB2312"/>
          <w:b/>
          <w:sz w:val="28"/>
          <w:szCs w:val="28"/>
        </w:rPr>
        <w:t>表5玩具电</w:t>
      </w:r>
      <w:r>
        <w:rPr>
          <w:rFonts w:ascii="仿宋_GB2312" w:cs="仿宋_GB2312"/>
          <w:b/>
          <w:sz w:val="28"/>
          <w:szCs w:val="28"/>
        </w:rPr>
        <w:t>性能</w:t>
      </w:r>
      <w:r>
        <w:rPr>
          <w:rFonts w:hint="eastAsia" w:ascii="仿宋_GB2312" w:cs="仿宋_GB2312"/>
          <w:b w:val="0"/>
          <w:bCs/>
          <w:sz w:val="24"/>
          <w:szCs w:val="24"/>
        </w:rPr>
        <w:t>（GB/T 19865—2024）</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4247"/>
        <w:gridCol w:w="3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163"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序号</w:t>
            </w:r>
          </w:p>
        </w:tc>
        <w:tc>
          <w:tcPr>
            <w:tcW w:w="4247" w:type="dxa"/>
            <w:tcBorders>
              <w:top w:val="single" w:color="auto" w:sz="4" w:space="0"/>
              <w:left w:val="nil"/>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检验项目</w:t>
            </w:r>
          </w:p>
        </w:tc>
        <w:tc>
          <w:tcPr>
            <w:tcW w:w="3764" w:type="dxa"/>
            <w:tcBorders>
              <w:top w:val="single" w:color="auto" w:sz="4" w:space="0"/>
              <w:left w:val="nil"/>
              <w:bottom w:val="single" w:color="auto" w:sz="4" w:space="0"/>
              <w:right w:val="single" w:color="auto" w:sz="4" w:space="0"/>
            </w:tcBorders>
            <w:vAlign w:val="center"/>
          </w:tcPr>
          <w:p>
            <w:pPr>
              <w:spacing w:line="480" w:lineRule="exact"/>
              <w:jc w:val="center"/>
              <w:rPr>
                <w:rFonts w:ascii="仿宋_GB2312" w:cs="仿宋_GB2312"/>
                <w:b/>
                <w:bCs/>
                <w:sz w:val="21"/>
                <w:szCs w:val="21"/>
              </w:rPr>
            </w:pPr>
            <w:r>
              <w:rPr>
                <w:rFonts w:hint="eastAsia" w:ascii="仿宋_GB2312" w:cs="仿宋_GB2312"/>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标识和说明</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2</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输入功率</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3</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发热和非正常工作</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4</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电气强度</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5</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在水中使用的电玩具、使用液体的电玩具和用液体清洁的电玩具</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6</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机械强度</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7</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结构</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8</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软线和电线的保护</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9</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螺钉和连接</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10</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电气间隙和爬电距离</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11</w:t>
            </w:r>
          </w:p>
        </w:tc>
        <w:tc>
          <w:tcPr>
            <w:tcW w:w="424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耐热和耐燃</w:t>
            </w:r>
          </w:p>
        </w:tc>
        <w:tc>
          <w:tcPr>
            <w:tcW w:w="376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utoSpaceDE w:val="0"/>
              <w:autoSpaceDN/>
              <w:snapToGrid w:val="0"/>
              <w:spacing w:before="0" w:beforeAutospacing="0" w:after="0" w:afterAutospacing="0" w:line="340" w:lineRule="exact"/>
              <w:ind w:left="0" w:right="0"/>
              <w:jc w:val="center"/>
              <w:rPr>
                <w:rFonts w:hint="eastAsia" w:ascii="Times New Roman" w:hAnsi="Times New Roman" w:eastAsia="宋体" w:cs="Times New Roman"/>
                <w:color w:val="000000"/>
                <w:kern w:val="2"/>
                <w:sz w:val="21"/>
                <w:szCs w:val="21"/>
              </w:rPr>
            </w:pPr>
            <w:r>
              <w:rPr>
                <w:rFonts w:hint="eastAsia" w:ascii="Times New Roman" w:hAnsi="Times New Roman" w:eastAsia="宋体" w:cs="Times New Roman"/>
                <w:color w:val="000000"/>
                <w:kern w:val="2"/>
                <w:sz w:val="21"/>
                <w:szCs w:val="21"/>
              </w:rPr>
              <w:t>GB/T 19865—2024</w:t>
            </w:r>
          </w:p>
        </w:tc>
      </w:tr>
    </w:tbl>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备注：</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1、若被检产品未标注执行标准的年代号，根据产品标注的生产日期确定执行标准。生产日期在当前有效的标准实施之后，按当前有效的标准执行，反之，按前一版本标准执行。若被检产品未标注生产日期，按当前有效的标准执行。当前有效的标准指已发布并实施的最新标准。</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2、进行GB 19865—2005和GB/T 19865—2024测试前应按标准第5章进行预处理。</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3、儿童泳圈按《广东省儿童水上器材产品质量监督抽查实施细则》进行检测。</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4、若产品存在多功能模式时，应符合相应模式的细则要求（如玩具产品同时有助步车模式和儿童三轮车模式，应分别符合玩具细则和童车细则）。</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5、本细则所指的玩具为塑胶玩具、弹射玩具、毛绒布制玩具、电玩具、儿童地垫、泡泡水、玩具滑板车、儿童乘骑车辆玩具（包括电动童车）、充气水上玩具（除儿童泳圈）、磁性玩具、儿童爬行地垫、金属玩具、木制玩具、泥类玩具、娃娃玩具、造型粘土、纸质玩具等。</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6、执行企业标准、团体标准、地方标准的产品，检验项目参照上述内容执行。</w:t>
      </w:r>
    </w:p>
    <w:p>
      <w:pPr>
        <w:keepNext w:val="0"/>
        <w:keepLines w:val="0"/>
        <w:widowControl w:val="0"/>
        <w:suppressLineNumbers w:val="0"/>
        <w:autoSpaceDE w:val="0"/>
        <w:autoSpaceDN/>
        <w:adjustRightInd w:val="0"/>
        <w:snapToGrid w:val="0"/>
        <w:spacing w:before="0" w:beforeAutospacing="0" w:after="0" w:afterAutospacing="0" w:line="520" w:lineRule="exact"/>
        <w:ind w:left="0" w:right="0" w:firstLine="420" w:firstLineChars="200"/>
        <w:jc w:val="both"/>
        <w:rPr>
          <w:rFonts w:hint="eastAsia"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000000"/>
          <w:kern w:val="2"/>
          <w:sz w:val="21"/>
          <w:szCs w:val="21"/>
          <w:lang w:val="en-US" w:eastAsia="zh-CN" w:bidi="ar"/>
        </w:rPr>
        <w:t>7、凡是注日期的文件，其随后所有的修改单（不包括勘误的内容）或修订版不适用于本细则。凡是不注日期的文件，其最新版本适用于本细则。</w:t>
      </w:r>
    </w:p>
    <w:p>
      <w:pPr>
        <w:autoSpaceDE w:val="0"/>
        <w:spacing w:line="560" w:lineRule="exact"/>
        <w:ind w:firstLine="640" w:firstLineChars="200"/>
        <w:rPr>
          <w:szCs w:val="32"/>
        </w:rPr>
      </w:pPr>
      <w:r>
        <w:rPr>
          <w:rFonts w:hint="eastAsia" w:eastAsia="黑体"/>
          <w:szCs w:val="32"/>
          <w:lang w:eastAsia="zh-CN"/>
        </w:rPr>
        <w:t>三、</w:t>
      </w:r>
      <w:r>
        <w:rPr>
          <w:rFonts w:hint="eastAsia" w:eastAsia="黑体" w:cs="黑体"/>
          <w:szCs w:val="32"/>
        </w:rPr>
        <w:t>判定规则</w:t>
      </w:r>
    </w:p>
    <w:p>
      <w:pPr>
        <w:spacing w:line="560" w:lineRule="exact"/>
        <w:ind w:firstLine="640" w:firstLineChars="200"/>
        <w:rPr>
          <w:rFonts w:eastAsia="楷体_GB2312" w:cs="楷体_GB2312"/>
          <w:szCs w:val="40"/>
        </w:rPr>
      </w:pPr>
      <w:r>
        <w:rPr>
          <w:rFonts w:hint="eastAsia" w:ascii="Times New Roman" w:hAnsi="Times New Roman" w:eastAsia="楷体_GB2312" w:cs="Times New Roman"/>
          <w:color w:val="auto"/>
          <w:sz w:val="32"/>
          <w:szCs w:val="32"/>
          <w:lang w:val="en-US" w:eastAsia="zh-CN"/>
        </w:rPr>
        <w:t>（一）依据标准</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6675.1—2014《玩具安全第1部分：基本规范》</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 6675.1</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2025</w:t>
      </w:r>
      <w:r>
        <w:rPr>
          <w:rFonts w:hint="eastAsia" w:ascii="Times New Roman" w:hAnsi="Times New Roman" w:eastAsia="仿宋_GB2312" w:cs="Times New Roman"/>
          <w:kern w:val="2"/>
          <w:sz w:val="32"/>
          <w:szCs w:val="32"/>
          <w:lang w:val="en-US" w:eastAsia="zh-CN" w:bidi="ar"/>
        </w:rPr>
        <w:t>《玩具安全第</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Times New Roman"/>
          <w:kern w:val="2"/>
          <w:sz w:val="32"/>
          <w:szCs w:val="32"/>
          <w:lang w:val="en-US" w:eastAsia="zh-CN" w:bidi="ar"/>
        </w:rPr>
        <w:t>部分：基本规范》</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6675.2—2014《玩具安全第2部分：机械与物理性能（含第1号修改单）</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6675.2—20</w:t>
      </w:r>
      <w:r>
        <w:rPr>
          <w:rFonts w:hint="default" w:ascii="Times New Roman" w:hAnsi="Times New Roman" w:eastAsia="仿宋_GB2312" w:cs="Times New Roman"/>
          <w:kern w:val="2"/>
          <w:sz w:val="32"/>
          <w:szCs w:val="32"/>
          <w:lang w:val="en-US" w:eastAsia="zh-CN" w:bidi="ar"/>
        </w:rPr>
        <w:t>25</w:t>
      </w:r>
      <w:r>
        <w:rPr>
          <w:rFonts w:hint="eastAsia" w:ascii="Times New Roman" w:hAnsi="Times New Roman" w:eastAsia="仿宋_GB2312" w:cs="Times New Roman"/>
          <w:kern w:val="2"/>
          <w:sz w:val="32"/>
          <w:szCs w:val="32"/>
          <w:lang w:val="en-US" w:eastAsia="zh-CN" w:bidi="ar"/>
        </w:rPr>
        <w:t>《玩具安全第2部分：机械与物理性能</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6675.3—2014《玩具安全第3部分：易燃性能》</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6675.3—20</w:t>
      </w:r>
      <w:r>
        <w:rPr>
          <w:rFonts w:hint="default" w:ascii="Times New Roman" w:hAnsi="Times New Roman" w:eastAsia="仿宋_GB2312" w:cs="Times New Roman"/>
          <w:kern w:val="2"/>
          <w:sz w:val="32"/>
          <w:szCs w:val="32"/>
          <w:lang w:val="en-US" w:eastAsia="zh-CN" w:bidi="ar"/>
        </w:rPr>
        <w:t>25</w:t>
      </w:r>
      <w:r>
        <w:rPr>
          <w:rFonts w:hint="eastAsia" w:ascii="Times New Roman" w:hAnsi="Times New Roman" w:eastAsia="仿宋_GB2312" w:cs="Times New Roman"/>
          <w:kern w:val="2"/>
          <w:sz w:val="32"/>
          <w:szCs w:val="32"/>
          <w:lang w:val="en-US" w:eastAsia="zh-CN" w:bidi="ar"/>
        </w:rPr>
        <w:t>《玩具安全第3部分：易燃性能》</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 6675.4</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2014</w:t>
      </w:r>
      <w:r>
        <w:rPr>
          <w:rFonts w:hint="eastAsia" w:ascii="Times New Roman" w:hAnsi="Times New Roman" w:eastAsia="仿宋_GB2312" w:cs="Times New Roman"/>
          <w:kern w:val="2"/>
          <w:sz w:val="32"/>
          <w:szCs w:val="32"/>
          <w:lang w:val="en-US" w:eastAsia="zh-CN" w:bidi="ar"/>
        </w:rPr>
        <w:t>《玩具安全第</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Times New Roman"/>
          <w:kern w:val="2"/>
          <w:sz w:val="32"/>
          <w:szCs w:val="32"/>
          <w:lang w:val="en-US" w:eastAsia="zh-CN" w:bidi="ar"/>
        </w:rPr>
        <w:t>部分：特定元素的迁移》</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 6675.4</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2025</w:t>
      </w:r>
      <w:r>
        <w:rPr>
          <w:rFonts w:hint="eastAsia" w:ascii="Times New Roman" w:hAnsi="Times New Roman" w:eastAsia="仿宋_GB2312" w:cs="Times New Roman"/>
          <w:kern w:val="2"/>
          <w:sz w:val="32"/>
          <w:szCs w:val="32"/>
          <w:lang w:val="en-US" w:eastAsia="zh-CN" w:bidi="ar"/>
        </w:rPr>
        <w:t>《玩具安全第</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Times New Roman"/>
          <w:kern w:val="2"/>
          <w:sz w:val="32"/>
          <w:szCs w:val="32"/>
          <w:lang w:val="en-US" w:eastAsia="zh-CN" w:bidi="ar"/>
        </w:rPr>
        <w:t>部分：特定元素的迁移》</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6675.</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Times New Roman"/>
          <w:kern w:val="2"/>
          <w:sz w:val="32"/>
          <w:szCs w:val="32"/>
          <w:lang w:val="en-US" w:eastAsia="zh-CN" w:bidi="ar"/>
        </w:rPr>
        <w:t>2—2014《玩具安全第12部分：玩具滑板车》</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19865—2005《电玩具的安全》（含第1号修改单）</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w:t>
      </w:r>
      <w:r>
        <w:rPr>
          <w:rFonts w:hint="default" w:ascii="Times New Roman" w:hAnsi="Times New Roman" w:eastAsia="仿宋_GB2312" w:cs="Times New Roman"/>
          <w:kern w:val="2"/>
          <w:sz w:val="32"/>
          <w:szCs w:val="32"/>
          <w:lang w:val="en-US" w:eastAsia="zh-CN" w:bidi="ar"/>
        </w:rPr>
        <w:t>/T</w:t>
      </w:r>
      <w:r>
        <w:rPr>
          <w:rFonts w:hint="eastAsia" w:ascii="Times New Roman" w:hAnsi="Times New Roman" w:eastAsia="仿宋_GB2312" w:cs="Times New Roman"/>
          <w:kern w:val="2"/>
          <w:sz w:val="32"/>
          <w:szCs w:val="32"/>
          <w:lang w:val="en-US" w:eastAsia="zh-CN" w:bidi="ar"/>
        </w:rPr>
        <w:t xml:space="preserve"> 19865—20</w:t>
      </w:r>
      <w:r>
        <w:rPr>
          <w:rFonts w:hint="default" w:ascii="Times New Roman" w:hAnsi="Times New Roman" w:eastAsia="仿宋_GB2312" w:cs="Times New Roman"/>
          <w:kern w:val="2"/>
          <w:sz w:val="32"/>
          <w:szCs w:val="32"/>
          <w:lang w:val="en-US" w:eastAsia="zh-CN" w:bidi="ar"/>
        </w:rPr>
        <w:t>24</w:t>
      </w:r>
      <w:r>
        <w:rPr>
          <w:rFonts w:hint="eastAsia" w:ascii="Times New Roman" w:hAnsi="Times New Roman" w:eastAsia="仿宋_GB2312" w:cs="Times New Roman"/>
          <w:kern w:val="2"/>
          <w:sz w:val="32"/>
          <w:szCs w:val="32"/>
          <w:lang w:val="en-US" w:eastAsia="zh-CN" w:bidi="ar"/>
        </w:rPr>
        <w:t>《电玩具的安全》</w:t>
      </w:r>
    </w:p>
    <w:p>
      <w:pPr>
        <w:keepNext w:val="0"/>
        <w:keepLines w:val="0"/>
        <w:widowControl w:val="0"/>
        <w:suppressLineNumbers w:val="0"/>
        <w:spacing w:before="0" w:beforeAutospacing="0" w:after="0" w:afterAutospacing="0" w:line="560" w:lineRule="exact"/>
        <w:ind w:left="0" w:right="0" w:firstLine="64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现行有效的企业标准、团体标准、地方标准及产品明示质量要求。</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（二）判定原则</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经检验，检验项目全部合格，判定为被抽查产品所检项目未发现不合格；检验项目中任一项或一项以上不合格，判定为被抽查产品不合格。</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w:t>
      </w:r>
      <w:bookmarkStart w:id="0" w:name="_GoBack"/>
      <w:r>
        <w:rPr>
          <w:rFonts w:hint="eastAsia" w:ascii="Times New Roman" w:hAnsi="Times New Roman" w:eastAsia="仿宋_GB2312" w:cs="Times New Roman"/>
          <w:kern w:val="2"/>
          <w:sz w:val="32"/>
          <w:szCs w:val="32"/>
          <w:lang w:val="en-US" w:eastAsia="zh-CN" w:bidi="ar"/>
        </w:rPr>
        <w:t>要求高于本</w:t>
      </w:r>
      <w:bookmarkEnd w:id="0"/>
      <w:r>
        <w:rPr>
          <w:rFonts w:hint="eastAsia" w:ascii="Times New Roman" w:hAnsi="Times New Roman" w:eastAsia="仿宋_GB2312" w:cs="Times New Roman"/>
          <w:kern w:val="2"/>
          <w:sz w:val="32"/>
          <w:szCs w:val="32"/>
          <w:lang w:val="en-US" w:eastAsia="zh-CN" w:bidi="ar"/>
        </w:rPr>
        <w:t>细则中检验项目依据的标准要求时，应按被检产品明示的质量要求判定。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若被检产品明示的质量要求低于本细则中检验项目依据的强制性标准要求时，应按照强制性标准要求判定。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若被检产品明示的质量要求低于或包含本细则中检验项目依据的推荐性标准要求时，应以被检产品明示的质量要求判定。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若被检产品明示的质量要求缺少本细则中检验项目依据的强制性标准要求时，应按照强制性标准要求判定。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若被检产品明示的质量要求缺少本细则中检验项目依据的推荐性标准要求时，该项目不参与判定。</w:t>
      </w:r>
    </w:p>
    <w:sectPr>
      <w:pgSz w:w="11906" w:h="16838"/>
      <w:pgMar w:top="2098" w:right="1474" w:bottom="1701"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7A11453"/>
    <w:rsid w:val="00003C9D"/>
    <w:rsid w:val="000124FB"/>
    <w:rsid w:val="00013B1C"/>
    <w:rsid w:val="00016BB9"/>
    <w:rsid w:val="00034EFC"/>
    <w:rsid w:val="000776A3"/>
    <w:rsid w:val="00110F22"/>
    <w:rsid w:val="00126B83"/>
    <w:rsid w:val="00135D5B"/>
    <w:rsid w:val="0014512C"/>
    <w:rsid w:val="001F7967"/>
    <w:rsid w:val="00207670"/>
    <w:rsid w:val="002115A2"/>
    <w:rsid w:val="00247069"/>
    <w:rsid w:val="00257139"/>
    <w:rsid w:val="002764E2"/>
    <w:rsid w:val="002A2922"/>
    <w:rsid w:val="002D2875"/>
    <w:rsid w:val="002E732B"/>
    <w:rsid w:val="002F2663"/>
    <w:rsid w:val="00364EE3"/>
    <w:rsid w:val="0042165B"/>
    <w:rsid w:val="004D7B36"/>
    <w:rsid w:val="004E2022"/>
    <w:rsid w:val="00550D68"/>
    <w:rsid w:val="005732AA"/>
    <w:rsid w:val="00583CDF"/>
    <w:rsid w:val="005A19B2"/>
    <w:rsid w:val="005F2FF0"/>
    <w:rsid w:val="0068252F"/>
    <w:rsid w:val="00754204"/>
    <w:rsid w:val="007A01CA"/>
    <w:rsid w:val="008B313B"/>
    <w:rsid w:val="008C2922"/>
    <w:rsid w:val="00920EC6"/>
    <w:rsid w:val="0092228F"/>
    <w:rsid w:val="00A31C67"/>
    <w:rsid w:val="00AB114C"/>
    <w:rsid w:val="00AC409B"/>
    <w:rsid w:val="00B72050"/>
    <w:rsid w:val="00B90E36"/>
    <w:rsid w:val="00B9780A"/>
    <w:rsid w:val="00BD17D5"/>
    <w:rsid w:val="00C056D1"/>
    <w:rsid w:val="00C079ED"/>
    <w:rsid w:val="00C6242F"/>
    <w:rsid w:val="00CC58C1"/>
    <w:rsid w:val="00CE3F02"/>
    <w:rsid w:val="00CE64E9"/>
    <w:rsid w:val="00CF067C"/>
    <w:rsid w:val="00D4045A"/>
    <w:rsid w:val="00D525EB"/>
    <w:rsid w:val="00E07E7D"/>
    <w:rsid w:val="00E466C9"/>
    <w:rsid w:val="00E700C5"/>
    <w:rsid w:val="00E84C0C"/>
    <w:rsid w:val="00EA0AE8"/>
    <w:rsid w:val="00EA4313"/>
    <w:rsid w:val="00EE757C"/>
    <w:rsid w:val="00F250E1"/>
    <w:rsid w:val="00F74505"/>
    <w:rsid w:val="00FF74EC"/>
    <w:rsid w:val="06D636A0"/>
    <w:rsid w:val="135F71B6"/>
    <w:rsid w:val="2B6C5943"/>
    <w:rsid w:val="2EF96D52"/>
    <w:rsid w:val="39513FFD"/>
    <w:rsid w:val="3ACE4BC8"/>
    <w:rsid w:val="4C860A4E"/>
    <w:rsid w:val="552F257D"/>
    <w:rsid w:val="5C35146F"/>
    <w:rsid w:val="63CA08E6"/>
    <w:rsid w:val="6BF23C6F"/>
    <w:rsid w:val="6BF52485"/>
    <w:rsid w:val="6F303077"/>
    <w:rsid w:val="6F792FD6"/>
    <w:rsid w:val="77A114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qFormat/>
    <w:uiPriority w:val="0"/>
    <w:pPr>
      <w:widowControl w:val="0"/>
      <w:spacing w:line="360" w:lineRule="auto"/>
      <w:ind w:firstLine="480" w:firstLineChars="200"/>
      <w:jc w:val="both"/>
    </w:pPr>
    <w:rPr>
      <w:rFonts w:ascii="宋体" w:hAnsi="宋体" w:eastAsia="宋体" w:cs="Times New Roman"/>
      <w:kern w:val="2"/>
      <w:sz w:val="24"/>
      <w:lang w:val="en-US" w:eastAsia="zh-CN" w:bidi="ar-SA"/>
    </w:rPr>
  </w:style>
  <w:style w:type="paragraph" w:styleId="3">
    <w:name w:val="Plain Text"/>
    <w:qFormat/>
    <w:uiPriority w:val="99"/>
    <w:pPr>
      <w:widowControl w:val="0"/>
      <w:jc w:val="both"/>
    </w:pPr>
    <w:rPr>
      <w:rFonts w:ascii="宋体" w:hAnsi="Courier New" w:eastAsia="宋体" w:cs="Times New Roman"/>
      <w:kern w:val="2"/>
      <w:sz w:val="32"/>
      <w:szCs w:val="21"/>
      <w:lang w:val="en-US" w:eastAsia="zh-CN" w:bidi="ar-SA"/>
    </w:rPr>
  </w:style>
  <w:style w:type="paragraph" w:styleId="4">
    <w:name w:val="Balloon Text"/>
    <w:basedOn w:val="1"/>
    <w:link w:val="1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Table Grid_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1">
    <w:name w:val="批注框文本 字符"/>
    <w:basedOn w:val="9"/>
    <w:link w:val="4"/>
    <w:qFormat/>
    <w:uiPriority w:val="0"/>
    <w:rPr>
      <w:rFonts w:ascii="Times New Roman" w:hAnsi="Times New Roman" w:eastAsia="仿宋_GB2312" w:cs="Times New Roman"/>
      <w:kern w:val="2"/>
      <w:sz w:val="18"/>
      <w:szCs w:val="18"/>
    </w:rPr>
  </w:style>
  <w:style w:type="character" w:customStyle="1" w:styleId="12">
    <w:name w:val="页眉 字符"/>
    <w:basedOn w:val="9"/>
    <w:link w:val="6"/>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E5B72-EEC3-4319-BC91-7FE366C36C0F}">
  <ds:schemaRefs/>
</ds:datastoreItem>
</file>

<file path=docProps/app.xml><?xml version="1.0" encoding="utf-8"?>
<Properties xmlns="http://schemas.openxmlformats.org/officeDocument/2006/extended-properties" xmlns:vt="http://schemas.openxmlformats.org/officeDocument/2006/docPropsVTypes">
  <Template>Normal</Template>
  <Company>省市场监督管理局</Company>
  <Pages>11</Pages>
  <Words>1944</Words>
  <Characters>2824</Characters>
  <Lines>59</Lines>
  <Paragraphs>16</Paragraphs>
  <TotalTime>82</TotalTime>
  <ScaleCrop>false</ScaleCrop>
  <LinksUpToDate>false</LinksUpToDate>
  <CharactersWithSpaces>2918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2025-06-05T03:17:00Z</dcterms:created>
  <dc:creator>胡翌婧</dc:creator>
  <cp:lastModifiedBy>Administrator</cp:lastModifiedBy>
  <dcterms:modified xsi:type="dcterms:W3CDTF">2026-03-11T01:41:03Z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AC892EFAF26E4C0D8B0DDE74F4EA2174_13</vt:lpwstr>
  </property>
  <property fmtid="{D5CDD505-2E9C-101B-9397-08002B2CF9AE}" pid="3" name="KSOProductBuildVer">
    <vt:lpwstr>2052-11.8.2.10229</vt:lpwstr>
  </property>
  <property fmtid="{D5CDD505-2E9C-101B-9397-08002B2CF9AE}" pid="4" name="KSOTemplateDocerSaveRecord">
    <vt:lpwstr>eyJoZGlkIjoiZWU0YjVjOWFiNDgxZGFlYjZjZWJjYzUwNjcwMWZjNmIifQ==</vt:lpwstr>
  </property>
</Properties>
</file>