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9DFED">
      <w:pPr>
        <w:widowControl/>
        <w:spacing w:line="600" w:lineRule="exact"/>
        <w:jc w:val="center"/>
        <w:rPr>
          <w:rFonts w:hint="default" w:ascii="Times New Roman" w:hAnsi="Times New Roman" w:eastAsia="方正小标宋简体" w:cs="Times New Roman"/>
          <w:color w:val="auto"/>
          <w:sz w:val="44"/>
          <w:szCs w:val="44"/>
          <w:lang w:val="en-US" w:eastAsia="zh-CN"/>
        </w:rPr>
      </w:pPr>
      <w:r>
        <w:rPr>
          <w:rFonts w:hint="eastAsia" w:ascii="Times New Roman" w:hAnsi="Times New Roman" w:eastAsia="方正小标宋简体" w:cs="Times New Roman"/>
          <w:color w:val="auto"/>
          <w:sz w:val="44"/>
          <w:szCs w:val="44"/>
          <w:lang w:val="en-US" w:eastAsia="zh-CN"/>
        </w:rPr>
        <w:t>揭阳市电源适配器产品质量监督抽查实施细则</w:t>
      </w:r>
    </w:p>
    <w:p w14:paraId="3ADDFEE3">
      <w:pPr>
        <w:widowControl/>
        <w:spacing w:line="600" w:lineRule="exact"/>
        <w:jc w:val="center"/>
        <w:rPr>
          <w:rFonts w:hint="default" w:ascii="Times New Roman" w:hAnsi="Times New Roman" w:eastAsia="方正小标宋简体" w:cs="Times New Roman"/>
          <w:color w:val="auto"/>
          <w:sz w:val="44"/>
          <w:szCs w:val="44"/>
          <w:lang w:val="en-US" w:eastAsia="zh-CN"/>
        </w:rPr>
      </w:pPr>
      <w:r>
        <w:rPr>
          <w:rFonts w:hint="default" w:ascii="Times New Roman" w:hAnsi="Times New Roman" w:eastAsia="方正小标宋简体" w:cs="Times New Roman"/>
          <w:color w:val="auto"/>
          <w:sz w:val="44"/>
          <w:szCs w:val="44"/>
          <w:lang w:val="en-US" w:eastAsia="zh-CN"/>
        </w:rPr>
        <w:t>（2026年版）</w:t>
      </w:r>
    </w:p>
    <w:p w14:paraId="70C78A55">
      <w:pPr>
        <w:autoSpaceDE w:val="0"/>
        <w:spacing w:line="560" w:lineRule="exact"/>
        <w:jc w:val="center"/>
        <w:rPr>
          <w:rFonts w:eastAsia="仿宋_GB2312"/>
          <w:sz w:val="32"/>
          <w:szCs w:val="32"/>
        </w:rPr>
      </w:pPr>
      <w:r>
        <w:rPr>
          <w:rFonts w:eastAsia="仿宋_GB2312"/>
          <w:sz w:val="32"/>
          <w:szCs w:val="32"/>
          <w:lang w:bidi="ar"/>
        </w:rPr>
        <w:t xml:space="preserve"> </w:t>
      </w:r>
    </w:p>
    <w:p w14:paraId="724C73E4">
      <w:pPr>
        <w:spacing w:line="560" w:lineRule="exact"/>
        <w:ind w:firstLine="640" w:firstLineChars="200"/>
        <w:rPr>
          <w:rFonts w:eastAsia="仿宋_GB2312"/>
          <w:sz w:val="32"/>
          <w:szCs w:val="32"/>
        </w:rPr>
      </w:pPr>
      <w:r>
        <w:rPr>
          <w:rFonts w:hint="eastAsia" w:eastAsia="黑体" w:cs="黑体"/>
          <w:sz w:val="32"/>
          <w:szCs w:val="40"/>
          <w:lang w:eastAsia="zh-CN"/>
        </w:rPr>
        <w:t>一、</w:t>
      </w:r>
      <w:r>
        <w:rPr>
          <w:rFonts w:hint="eastAsia" w:eastAsia="黑体" w:cs="黑体"/>
          <w:sz w:val="32"/>
          <w:szCs w:val="40"/>
        </w:rPr>
        <w:t>抽样方法</w:t>
      </w:r>
    </w:p>
    <w:p w14:paraId="5E6FB5DC">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以随机抽样的方式在被抽样生产者、销售者的待销产品中抽取。</w:t>
      </w:r>
    </w:p>
    <w:p w14:paraId="11994435">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随机数一般可使用随机数表等方法产生。</w:t>
      </w:r>
    </w:p>
    <w:p w14:paraId="5AE87AEC">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每批次产品抽取样品</w:t>
      </w:r>
      <w:r>
        <w:rPr>
          <w:rFonts w:hint="default" w:ascii="Times New Roman" w:hAnsi="Times New Roman" w:eastAsia="仿宋_GB2312" w:cs="Times New Roman"/>
          <w:kern w:val="2"/>
          <w:sz w:val="32"/>
          <w:szCs w:val="32"/>
          <w:lang w:val="en-US" w:eastAsia="zh-CN" w:bidi="ar"/>
        </w:rPr>
        <w:t>6</w:t>
      </w:r>
      <w:r>
        <w:rPr>
          <w:rFonts w:hint="eastAsia" w:ascii="Times New Roman" w:hAnsi="Times New Roman" w:eastAsia="仿宋_GB2312" w:cs="Times New Roman"/>
          <w:kern w:val="2"/>
          <w:sz w:val="32"/>
          <w:szCs w:val="32"/>
          <w:lang w:val="en-US" w:eastAsia="zh-CN" w:bidi="ar"/>
        </w:rPr>
        <w:t>台，其中</w:t>
      </w:r>
      <w:r>
        <w:rPr>
          <w:rFonts w:hint="default" w:ascii="Times New Roman" w:hAnsi="Times New Roman" w:eastAsia="仿宋_GB2312" w:cs="Times New Roman"/>
          <w:kern w:val="2"/>
          <w:sz w:val="32"/>
          <w:szCs w:val="32"/>
          <w:lang w:val="en-US" w:eastAsia="zh-CN" w:bidi="ar"/>
        </w:rPr>
        <w:t>3</w:t>
      </w:r>
      <w:r>
        <w:rPr>
          <w:rFonts w:hint="eastAsia" w:ascii="Times New Roman" w:hAnsi="Times New Roman" w:eastAsia="仿宋_GB2312" w:cs="Times New Roman"/>
          <w:kern w:val="2"/>
          <w:sz w:val="32"/>
          <w:szCs w:val="32"/>
          <w:lang w:val="en-US" w:eastAsia="zh-CN" w:bidi="ar"/>
        </w:rPr>
        <w:t>台作为检验样品，</w:t>
      </w:r>
      <w:r>
        <w:rPr>
          <w:rFonts w:hint="default" w:ascii="Times New Roman" w:hAnsi="Times New Roman" w:eastAsia="仿宋_GB2312" w:cs="Times New Roman"/>
          <w:kern w:val="2"/>
          <w:sz w:val="32"/>
          <w:szCs w:val="32"/>
          <w:lang w:val="en-US" w:eastAsia="zh-CN" w:bidi="ar"/>
        </w:rPr>
        <w:t>3</w:t>
      </w:r>
      <w:r>
        <w:rPr>
          <w:rFonts w:hint="eastAsia" w:ascii="Times New Roman" w:hAnsi="Times New Roman" w:eastAsia="仿宋_GB2312" w:cs="Times New Roman"/>
          <w:kern w:val="2"/>
          <w:sz w:val="32"/>
          <w:szCs w:val="32"/>
          <w:lang w:val="en-US" w:eastAsia="zh-CN" w:bidi="ar"/>
        </w:rPr>
        <w:t>台作为备用样品。</w:t>
      </w:r>
    </w:p>
    <w:p w14:paraId="322E9856">
      <w:pPr>
        <w:spacing w:line="560" w:lineRule="exact"/>
        <w:ind w:firstLine="640" w:firstLineChars="200"/>
        <w:rPr>
          <w:rFonts w:eastAsia="黑体" w:cs="黑体"/>
          <w:sz w:val="32"/>
          <w:szCs w:val="40"/>
        </w:rPr>
      </w:pPr>
      <w:r>
        <w:rPr>
          <w:rFonts w:hint="eastAsia" w:eastAsia="黑体" w:cs="黑体"/>
          <w:sz w:val="32"/>
          <w:szCs w:val="40"/>
          <w:lang w:eastAsia="zh-CN"/>
        </w:rPr>
        <w:t>二、</w:t>
      </w:r>
      <w:r>
        <w:rPr>
          <w:rFonts w:hint="eastAsia" w:eastAsia="黑体" w:cs="黑体"/>
          <w:sz w:val="32"/>
          <w:szCs w:val="40"/>
        </w:rPr>
        <w:t>检验依据</w:t>
      </w:r>
    </w:p>
    <w:tbl>
      <w:tblPr>
        <w:tblStyle w:val="2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0"/>
        <w:gridCol w:w="4012"/>
        <w:gridCol w:w="3679"/>
      </w:tblGrid>
      <w:tr w14:paraId="72D861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366DE">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b/>
                <w:bCs/>
                <w:color w:val="000000"/>
                <w:kern w:val="2"/>
                <w:sz w:val="21"/>
                <w:szCs w:val="21"/>
                <w:lang w:val="en-US" w:eastAsia="zh-CN" w:bidi="ar"/>
              </w:rPr>
            </w:pPr>
            <w:r>
              <w:rPr>
                <w:rFonts w:hint="eastAsia" w:ascii="Times New Roman" w:hAnsi="Times New Roman" w:eastAsia="宋体" w:cs="Times New Roman"/>
                <w:b/>
                <w:bCs/>
                <w:color w:val="000000"/>
                <w:kern w:val="2"/>
                <w:sz w:val="21"/>
                <w:szCs w:val="21"/>
                <w:lang w:val="en-US" w:eastAsia="zh-CN" w:bidi="ar"/>
              </w:rPr>
              <w:t>序号</w:t>
            </w:r>
          </w:p>
        </w:tc>
        <w:tc>
          <w:tcPr>
            <w:tcW w:w="4012" w:type="dxa"/>
            <w:tcBorders>
              <w:top w:val="single" w:color="000000" w:sz="4" w:space="0"/>
              <w:left w:val="nil"/>
              <w:bottom w:val="single" w:color="000000" w:sz="4" w:space="0"/>
              <w:right w:val="single" w:color="000000" w:sz="4" w:space="0"/>
            </w:tcBorders>
            <w:shd w:val="clear" w:color="auto" w:fill="auto"/>
            <w:vAlign w:val="center"/>
          </w:tcPr>
          <w:p w14:paraId="47866CBD">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b/>
                <w:bCs/>
                <w:color w:val="000000"/>
                <w:kern w:val="2"/>
                <w:sz w:val="21"/>
                <w:szCs w:val="21"/>
                <w:lang w:val="en-US" w:eastAsia="zh-CN" w:bidi="ar"/>
              </w:rPr>
            </w:pPr>
            <w:r>
              <w:rPr>
                <w:rFonts w:hint="eastAsia" w:ascii="Times New Roman" w:hAnsi="Times New Roman" w:eastAsia="宋体" w:cs="Times New Roman"/>
                <w:b/>
                <w:bCs/>
                <w:color w:val="000000"/>
                <w:kern w:val="2"/>
                <w:sz w:val="21"/>
                <w:szCs w:val="21"/>
                <w:lang w:val="en-US" w:eastAsia="zh-CN" w:bidi="ar"/>
              </w:rPr>
              <w:t>检验项目</w:t>
            </w:r>
          </w:p>
        </w:tc>
        <w:tc>
          <w:tcPr>
            <w:tcW w:w="3679" w:type="dxa"/>
            <w:tcBorders>
              <w:top w:val="single" w:color="000000" w:sz="4" w:space="0"/>
              <w:left w:val="nil"/>
              <w:bottom w:val="single" w:color="000000" w:sz="4" w:space="0"/>
              <w:right w:val="single" w:color="000000" w:sz="4" w:space="0"/>
            </w:tcBorders>
            <w:shd w:val="clear" w:color="auto" w:fill="auto"/>
            <w:vAlign w:val="center"/>
          </w:tcPr>
          <w:p w14:paraId="3A481495">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b/>
                <w:bCs/>
                <w:color w:val="000000"/>
                <w:kern w:val="2"/>
                <w:sz w:val="21"/>
                <w:szCs w:val="21"/>
                <w:lang w:val="en-US" w:eastAsia="zh-CN" w:bidi="ar"/>
              </w:rPr>
            </w:pPr>
            <w:r>
              <w:rPr>
                <w:rFonts w:hint="eastAsia" w:ascii="Times New Roman" w:hAnsi="Times New Roman" w:eastAsia="宋体" w:cs="Times New Roman"/>
                <w:b/>
                <w:bCs/>
                <w:color w:val="000000"/>
                <w:kern w:val="2"/>
                <w:sz w:val="21"/>
                <w:szCs w:val="21"/>
                <w:lang w:val="en-US" w:eastAsia="zh-CN" w:bidi="ar"/>
              </w:rPr>
              <w:t>检验方法</w:t>
            </w:r>
          </w:p>
        </w:tc>
      </w:tr>
      <w:tr w14:paraId="307074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C983F">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1</w:t>
            </w:r>
          </w:p>
        </w:tc>
        <w:tc>
          <w:tcPr>
            <w:tcW w:w="4012" w:type="dxa"/>
            <w:tcBorders>
              <w:top w:val="single" w:color="000000" w:sz="4" w:space="0"/>
              <w:left w:val="nil"/>
              <w:bottom w:val="single" w:color="000000" w:sz="4" w:space="0"/>
              <w:right w:val="single" w:color="000000" w:sz="4" w:space="0"/>
            </w:tcBorders>
            <w:shd w:val="clear" w:color="auto" w:fill="auto"/>
            <w:vAlign w:val="center"/>
          </w:tcPr>
          <w:p w14:paraId="293BE786">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安全防护的强度</w:t>
            </w:r>
          </w:p>
        </w:tc>
        <w:tc>
          <w:tcPr>
            <w:tcW w:w="3679" w:type="dxa"/>
            <w:tcBorders>
              <w:top w:val="single" w:color="000000" w:sz="4" w:space="0"/>
              <w:left w:val="nil"/>
              <w:bottom w:val="single" w:color="000000" w:sz="4" w:space="0"/>
              <w:right w:val="single" w:color="000000" w:sz="4" w:space="0"/>
            </w:tcBorders>
            <w:shd w:val="clear" w:color="auto" w:fill="auto"/>
            <w:vAlign w:val="center"/>
          </w:tcPr>
          <w:p w14:paraId="598C5AB8">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GB 4943.1-2022</w:t>
            </w:r>
          </w:p>
        </w:tc>
      </w:tr>
      <w:tr w14:paraId="6EA9AC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9374A">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2</w:t>
            </w:r>
          </w:p>
        </w:tc>
        <w:tc>
          <w:tcPr>
            <w:tcW w:w="4012" w:type="dxa"/>
            <w:tcBorders>
              <w:top w:val="single" w:color="000000" w:sz="4" w:space="0"/>
              <w:left w:val="nil"/>
              <w:bottom w:val="single" w:color="000000" w:sz="4" w:space="0"/>
              <w:right w:val="single" w:color="000000" w:sz="4" w:space="0"/>
            </w:tcBorders>
            <w:shd w:val="clear" w:color="auto" w:fill="auto"/>
            <w:vAlign w:val="center"/>
          </w:tcPr>
          <w:p w14:paraId="02EC9C86">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导体的固定</w:t>
            </w:r>
          </w:p>
        </w:tc>
        <w:tc>
          <w:tcPr>
            <w:tcW w:w="3679" w:type="dxa"/>
            <w:tcBorders>
              <w:top w:val="single" w:color="000000" w:sz="4" w:space="0"/>
              <w:left w:val="nil"/>
              <w:bottom w:val="single" w:color="000000" w:sz="4" w:space="0"/>
              <w:right w:val="single" w:color="000000" w:sz="4" w:space="0"/>
            </w:tcBorders>
            <w:shd w:val="clear" w:color="auto" w:fill="auto"/>
            <w:vAlign w:val="center"/>
          </w:tcPr>
          <w:p w14:paraId="5849FA5C">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GB 4943.1-2022</w:t>
            </w:r>
          </w:p>
        </w:tc>
      </w:tr>
      <w:tr w14:paraId="56F144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45211">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3</w:t>
            </w:r>
          </w:p>
        </w:tc>
        <w:tc>
          <w:tcPr>
            <w:tcW w:w="4012" w:type="dxa"/>
            <w:tcBorders>
              <w:top w:val="single" w:color="000000" w:sz="4" w:space="0"/>
              <w:left w:val="nil"/>
              <w:bottom w:val="single" w:color="000000" w:sz="4" w:space="0"/>
              <w:right w:val="single" w:color="000000" w:sz="4" w:space="0"/>
            </w:tcBorders>
            <w:shd w:val="clear" w:color="auto" w:fill="auto"/>
            <w:vAlign w:val="center"/>
          </w:tcPr>
          <w:p w14:paraId="52B50605">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直接插入电网电源输出插座的设备</w:t>
            </w:r>
          </w:p>
        </w:tc>
        <w:tc>
          <w:tcPr>
            <w:tcW w:w="3679" w:type="dxa"/>
            <w:tcBorders>
              <w:top w:val="single" w:color="000000" w:sz="4" w:space="0"/>
              <w:left w:val="nil"/>
              <w:bottom w:val="single" w:color="000000" w:sz="4" w:space="0"/>
              <w:right w:val="single" w:color="000000" w:sz="4" w:space="0"/>
            </w:tcBorders>
            <w:shd w:val="clear" w:color="auto" w:fill="auto"/>
            <w:vAlign w:val="center"/>
          </w:tcPr>
          <w:p w14:paraId="1E5E0563">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GB 4943.1-2022</w:t>
            </w:r>
          </w:p>
        </w:tc>
      </w:tr>
      <w:tr w14:paraId="0D91F8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A4562">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4</w:t>
            </w:r>
          </w:p>
        </w:tc>
        <w:tc>
          <w:tcPr>
            <w:tcW w:w="4012" w:type="dxa"/>
            <w:tcBorders>
              <w:top w:val="single" w:color="000000" w:sz="4" w:space="0"/>
              <w:left w:val="nil"/>
              <w:bottom w:val="single" w:color="000000" w:sz="4" w:space="0"/>
              <w:right w:val="single" w:color="000000" w:sz="4" w:space="0"/>
            </w:tcBorders>
            <w:shd w:val="clear" w:color="auto" w:fill="auto"/>
            <w:vAlign w:val="center"/>
          </w:tcPr>
          <w:p w14:paraId="4278DC87">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电能量源的防护</w:t>
            </w:r>
          </w:p>
        </w:tc>
        <w:tc>
          <w:tcPr>
            <w:tcW w:w="3679" w:type="dxa"/>
            <w:tcBorders>
              <w:top w:val="single" w:color="000000" w:sz="4" w:space="0"/>
              <w:left w:val="nil"/>
              <w:bottom w:val="single" w:color="000000" w:sz="4" w:space="0"/>
              <w:right w:val="single" w:color="000000" w:sz="4" w:space="0"/>
            </w:tcBorders>
            <w:shd w:val="clear" w:color="auto" w:fill="auto"/>
            <w:vAlign w:val="center"/>
          </w:tcPr>
          <w:p w14:paraId="37086080">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GB 4943.1-2022</w:t>
            </w:r>
          </w:p>
        </w:tc>
      </w:tr>
      <w:tr w14:paraId="18458C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D6D52">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5</w:t>
            </w:r>
          </w:p>
        </w:tc>
        <w:tc>
          <w:tcPr>
            <w:tcW w:w="4012" w:type="dxa"/>
            <w:tcBorders>
              <w:top w:val="single" w:color="000000" w:sz="4" w:space="0"/>
              <w:left w:val="nil"/>
              <w:bottom w:val="single" w:color="000000" w:sz="4" w:space="0"/>
              <w:right w:val="single" w:color="000000" w:sz="4" w:space="0"/>
            </w:tcBorders>
            <w:shd w:val="clear" w:color="auto" w:fill="auto"/>
            <w:vAlign w:val="center"/>
          </w:tcPr>
          <w:p w14:paraId="0B1946AE">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直接安装导电金属零部件的热塑性零部件</w:t>
            </w:r>
          </w:p>
        </w:tc>
        <w:tc>
          <w:tcPr>
            <w:tcW w:w="3679" w:type="dxa"/>
            <w:tcBorders>
              <w:top w:val="single" w:color="000000" w:sz="4" w:space="0"/>
              <w:left w:val="nil"/>
              <w:bottom w:val="single" w:color="000000" w:sz="4" w:space="0"/>
              <w:right w:val="single" w:color="000000" w:sz="4" w:space="0"/>
            </w:tcBorders>
            <w:shd w:val="clear" w:color="auto" w:fill="auto"/>
            <w:vAlign w:val="center"/>
          </w:tcPr>
          <w:p w14:paraId="0663016D">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GB 4943.1-2022</w:t>
            </w:r>
          </w:p>
        </w:tc>
      </w:tr>
      <w:tr w14:paraId="00B092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96DDA">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6</w:t>
            </w:r>
          </w:p>
        </w:tc>
        <w:tc>
          <w:tcPr>
            <w:tcW w:w="4012" w:type="dxa"/>
            <w:tcBorders>
              <w:top w:val="single" w:color="000000" w:sz="4" w:space="0"/>
              <w:left w:val="nil"/>
              <w:bottom w:val="single" w:color="000000" w:sz="4" w:space="0"/>
              <w:right w:val="single" w:color="000000" w:sz="4" w:space="0"/>
            </w:tcBorders>
            <w:shd w:val="clear" w:color="auto" w:fill="auto"/>
            <w:vAlign w:val="center"/>
          </w:tcPr>
          <w:p w14:paraId="7EEC1ADF">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电气间隙</w:t>
            </w:r>
          </w:p>
        </w:tc>
        <w:tc>
          <w:tcPr>
            <w:tcW w:w="3679" w:type="dxa"/>
            <w:tcBorders>
              <w:top w:val="single" w:color="000000" w:sz="4" w:space="0"/>
              <w:left w:val="nil"/>
              <w:bottom w:val="single" w:color="000000" w:sz="4" w:space="0"/>
              <w:right w:val="single" w:color="000000" w:sz="4" w:space="0"/>
            </w:tcBorders>
            <w:shd w:val="clear" w:color="auto" w:fill="auto"/>
            <w:vAlign w:val="center"/>
          </w:tcPr>
          <w:p w14:paraId="32E6E029">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GB 4943.1-2022</w:t>
            </w:r>
          </w:p>
        </w:tc>
      </w:tr>
      <w:tr w14:paraId="1966E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2E43D">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7</w:t>
            </w:r>
          </w:p>
        </w:tc>
        <w:tc>
          <w:tcPr>
            <w:tcW w:w="4012" w:type="dxa"/>
            <w:tcBorders>
              <w:top w:val="single" w:color="000000" w:sz="4" w:space="0"/>
              <w:left w:val="nil"/>
              <w:bottom w:val="single" w:color="000000" w:sz="4" w:space="0"/>
              <w:right w:val="single" w:color="000000" w:sz="4" w:space="0"/>
            </w:tcBorders>
            <w:shd w:val="clear" w:color="auto" w:fill="auto"/>
            <w:vAlign w:val="center"/>
          </w:tcPr>
          <w:p w14:paraId="3481F0CC">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爬电距离</w:t>
            </w:r>
          </w:p>
        </w:tc>
        <w:tc>
          <w:tcPr>
            <w:tcW w:w="3679" w:type="dxa"/>
            <w:tcBorders>
              <w:top w:val="single" w:color="000000" w:sz="4" w:space="0"/>
              <w:left w:val="nil"/>
              <w:bottom w:val="single" w:color="000000" w:sz="4" w:space="0"/>
              <w:right w:val="single" w:color="000000" w:sz="4" w:space="0"/>
            </w:tcBorders>
            <w:shd w:val="clear" w:color="auto" w:fill="auto"/>
            <w:vAlign w:val="center"/>
          </w:tcPr>
          <w:p w14:paraId="70B6C516">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GB 4943.1-2022</w:t>
            </w:r>
          </w:p>
        </w:tc>
      </w:tr>
      <w:tr w14:paraId="358C7B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D8DC5">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8</w:t>
            </w:r>
          </w:p>
        </w:tc>
        <w:tc>
          <w:tcPr>
            <w:tcW w:w="4012" w:type="dxa"/>
            <w:tcBorders>
              <w:top w:val="single" w:color="000000" w:sz="4" w:space="0"/>
              <w:left w:val="nil"/>
              <w:bottom w:val="single" w:color="000000" w:sz="4" w:space="0"/>
              <w:right w:val="single" w:color="000000" w:sz="4" w:space="0"/>
            </w:tcBorders>
            <w:shd w:val="clear" w:color="auto" w:fill="auto"/>
            <w:vAlign w:val="center"/>
          </w:tcPr>
          <w:p w14:paraId="7AC523C1">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抗电强度试验</w:t>
            </w:r>
          </w:p>
        </w:tc>
        <w:tc>
          <w:tcPr>
            <w:tcW w:w="3679" w:type="dxa"/>
            <w:tcBorders>
              <w:top w:val="single" w:color="000000" w:sz="4" w:space="0"/>
              <w:left w:val="nil"/>
              <w:bottom w:val="single" w:color="000000" w:sz="4" w:space="0"/>
              <w:right w:val="single" w:color="000000" w:sz="4" w:space="0"/>
            </w:tcBorders>
            <w:shd w:val="clear" w:color="auto" w:fill="auto"/>
            <w:vAlign w:val="center"/>
          </w:tcPr>
          <w:p w14:paraId="3EF89F4B">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GB 4943.1-2022</w:t>
            </w:r>
          </w:p>
        </w:tc>
      </w:tr>
      <w:tr w14:paraId="76184B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69B60">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9</w:t>
            </w:r>
          </w:p>
        </w:tc>
        <w:tc>
          <w:tcPr>
            <w:tcW w:w="4012" w:type="dxa"/>
            <w:tcBorders>
              <w:top w:val="single" w:color="000000" w:sz="4" w:space="0"/>
              <w:left w:val="nil"/>
              <w:bottom w:val="single" w:color="000000" w:sz="4" w:space="0"/>
              <w:right w:val="single" w:color="000000" w:sz="4" w:space="0"/>
            </w:tcBorders>
            <w:shd w:val="clear" w:color="auto" w:fill="auto"/>
            <w:vAlign w:val="center"/>
          </w:tcPr>
          <w:p w14:paraId="03A699F4">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断开连接器后电容器的放电</w:t>
            </w:r>
          </w:p>
        </w:tc>
        <w:tc>
          <w:tcPr>
            <w:tcW w:w="3679" w:type="dxa"/>
            <w:tcBorders>
              <w:top w:val="single" w:color="000000" w:sz="4" w:space="0"/>
              <w:left w:val="nil"/>
              <w:bottom w:val="single" w:color="000000" w:sz="4" w:space="0"/>
              <w:right w:val="single" w:color="000000" w:sz="4" w:space="0"/>
            </w:tcBorders>
            <w:shd w:val="clear" w:color="auto" w:fill="auto"/>
            <w:vAlign w:val="center"/>
          </w:tcPr>
          <w:p w14:paraId="0D684080">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GB 4943.1-2022</w:t>
            </w:r>
          </w:p>
        </w:tc>
      </w:tr>
      <w:tr w14:paraId="33F74E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43A8C">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10</w:t>
            </w:r>
          </w:p>
        </w:tc>
        <w:tc>
          <w:tcPr>
            <w:tcW w:w="4012" w:type="dxa"/>
            <w:tcBorders>
              <w:top w:val="single" w:color="000000" w:sz="4" w:space="0"/>
              <w:left w:val="nil"/>
              <w:bottom w:val="single" w:color="000000" w:sz="4" w:space="0"/>
              <w:right w:val="single" w:color="000000" w:sz="4" w:space="0"/>
            </w:tcBorders>
            <w:shd w:val="clear" w:color="auto" w:fill="auto"/>
            <w:vAlign w:val="center"/>
          </w:tcPr>
          <w:p w14:paraId="47637DB7">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保护导体</w:t>
            </w:r>
          </w:p>
        </w:tc>
        <w:tc>
          <w:tcPr>
            <w:tcW w:w="3679" w:type="dxa"/>
            <w:tcBorders>
              <w:top w:val="single" w:color="000000" w:sz="4" w:space="0"/>
              <w:left w:val="nil"/>
              <w:bottom w:val="single" w:color="000000" w:sz="4" w:space="0"/>
              <w:right w:val="single" w:color="000000" w:sz="4" w:space="0"/>
            </w:tcBorders>
            <w:shd w:val="clear" w:color="auto" w:fill="auto"/>
            <w:vAlign w:val="center"/>
          </w:tcPr>
          <w:p w14:paraId="7EB82894">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GB 4943.1-2022</w:t>
            </w:r>
          </w:p>
        </w:tc>
      </w:tr>
      <w:tr w14:paraId="3EC81D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140D4">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11</w:t>
            </w:r>
          </w:p>
        </w:tc>
        <w:tc>
          <w:tcPr>
            <w:tcW w:w="4012" w:type="dxa"/>
            <w:tcBorders>
              <w:top w:val="single" w:color="000000" w:sz="4" w:space="0"/>
              <w:left w:val="nil"/>
              <w:bottom w:val="single" w:color="000000" w:sz="4" w:space="0"/>
              <w:right w:val="single" w:color="000000" w:sz="4" w:space="0"/>
            </w:tcBorders>
            <w:shd w:val="clear" w:color="auto" w:fill="auto"/>
            <w:vAlign w:val="center"/>
          </w:tcPr>
          <w:p w14:paraId="01C18E28">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预期的接触电压、接触电流和保护导体电流</w:t>
            </w:r>
          </w:p>
        </w:tc>
        <w:tc>
          <w:tcPr>
            <w:tcW w:w="3679" w:type="dxa"/>
            <w:tcBorders>
              <w:top w:val="single" w:color="000000" w:sz="4" w:space="0"/>
              <w:left w:val="nil"/>
              <w:bottom w:val="single" w:color="000000" w:sz="4" w:space="0"/>
              <w:right w:val="single" w:color="000000" w:sz="4" w:space="0"/>
            </w:tcBorders>
            <w:shd w:val="clear" w:color="auto" w:fill="auto"/>
            <w:vAlign w:val="center"/>
          </w:tcPr>
          <w:p w14:paraId="3DED9428">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GB 4943.1-2022</w:t>
            </w:r>
          </w:p>
        </w:tc>
      </w:tr>
      <w:tr w14:paraId="063287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8E8D0">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12</w:t>
            </w:r>
          </w:p>
        </w:tc>
        <w:tc>
          <w:tcPr>
            <w:tcW w:w="4012" w:type="dxa"/>
            <w:tcBorders>
              <w:top w:val="single" w:color="000000" w:sz="4" w:space="0"/>
              <w:left w:val="nil"/>
              <w:bottom w:val="single" w:color="000000" w:sz="4" w:space="0"/>
              <w:right w:val="single" w:color="000000" w:sz="4" w:space="0"/>
            </w:tcBorders>
            <w:shd w:val="clear" w:color="auto" w:fill="auto"/>
            <w:vAlign w:val="center"/>
          </w:tcPr>
          <w:p w14:paraId="62CD32A0">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热灼伤</w:t>
            </w:r>
            <w:r>
              <w:rPr>
                <w:rFonts w:hint="default" w:ascii="Times New Roman" w:hAnsi="Times New Roman" w:eastAsia="宋体" w:cs="Times New Roman"/>
                <w:color w:val="000000"/>
                <w:kern w:val="2"/>
                <w:sz w:val="21"/>
                <w:szCs w:val="21"/>
                <w:lang w:val="en-US" w:eastAsia="zh-CN" w:bidi="ar"/>
              </w:rPr>
              <w:t>(</w:t>
            </w:r>
            <w:r>
              <w:rPr>
                <w:rFonts w:hint="eastAsia" w:ascii="Times New Roman" w:hAnsi="Times New Roman" w:eastAsia="宋体" w:cs="Times New Roman"/>
                <w:color w:val="000000"/>
                <w:kern w:val="2"/>
                <w:sz w:val="21"/>
                <w:szCs w:val="21"/>
                <w:lang w:val="en-US" w:eastAsia="zh-CN" w:bidi="ar"/>
              </w:rPr>
              <w:t>接触温度限值</w:t>
            </w:r>
            <w:r>
              <w:rPr>
                <w:rFonts w:hint="default" w:ascii="Times New Roman" w:hAnsi="Times New Roman" w:eastAsia="宋体" w:cs="Times New Roman"/>
                <w:color w:val="000000"/>
                <w:kern w:val="2"/>
                <w:sz w:val="21"/>
                <w:szCs w:val="21"/>
                <w:lang w:val="en-US" w:eastAsia="zh-CN" w:bidi="ar"/>
              </w:rPr>
              <w:t>)</w:t>
            </w:r>
          </w:p>
        </w:tc>
        <w:tc>
          <w:tcPr>
            <w:tcW w:w="3679" w:type="dxa"/>
            <w:tcBorders>
              <w:top w:val="single" w:color="000000" w:sz="4" w:space="0"/>
              <w:left w:val="nil"/>
              <w:bottom w:val="single" w:color="000000" w:sz="4" w:space="0"/>
              <w:right w:val="single" w:color="000000" w:sz="4" w:space="0"/>
            </w:tcBorders>
            <w:shd w:val="clear" w:color="auto" w:fill="auto"/>
            <w:vAlign w:val="center"/>
          </w:tcPr>
          <w:p w14:paraId="6FCAC97D">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GB 4943.1-2022</w:t>
            </w:r>
          </w:p>
        </w:tc>
      </w:tr>
      <w:tr w14:paraId="2A860A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276D6">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13</w:t>
            </w:r>
          </w:p>
        </w:tc>
        <w:tc>
          <w:tcPr>
            <w:tcW w:w="4012" w:type="dxa"/>
            <w:tcBorders>
              <w:top w:val="single" w:color="000000" w:sz="4" w:space="0"/>
              <w:left w:val="nil"/>
              <w:bottom w:val="single" w:color="000000" w:sz="4" w:space="0"/>
              <w:right w:val="single" w:color="000000" w:sz="4" w:space="0"/>
            </w:tcBorders>
            <w:shd w:val="clear" w:color="auto" w:fill="auto"/>
            <w:vAlign w:val="center"/>
          </w:tcPr>
          <w:p w14:paraId="2C6403F1">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输入试验</w:t>
            </w:r>
          </w:p>
        </w:tc>
        <w:tc>
          <w:tcPr>
            <w:tcW w:w="3679" w:type="dxa"/>
            <w:tcBorders>
              <w:top w:val="single" w:color="000000" w:sz="4" w:space="0"/>
              <w:left w:val="nil"/>
              <w:bottom w:val="single" w:color="000000" w:sz="4" w:space="0"/>
              <w:right w:val="single" w:color="000000" w:sz="4" w:space="0"/>
            </w:tcBorders>
            <w:shd w:val="clear" w:color="auto" w:fill="auto"/>
            <w:vAlign w:val="center"/>
          </w:tcPr>
          <w:p w14:paraId="162AB123">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GB 4943.1-2022</w:t>
            </w:r>
          </w:p>
        </w:tc>
      </w:tr>
      <w:tr w14:paraId="2FCB53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88AB6">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14</w:t>
            </w:r>
          </w:p>
        </w:tc>
        <w:tc>
          <w:tcPr>
            <w:tcW w:w="4012" w:type="dxa"/>
            <w:tcBorders>
              <w:top w:val="single" w:color="000000" w:sz="4" w:space="0"/>
              <w:left w:val="nil"/>
              <w:bottom w:val="single" w:color="000000" w:sz="4" w:space="0"/>
              <w:right w:val="single" w:color="000000" w:sz="4" w:space="0"/>
            </w:tcBorders>
            <w:shd w:val="clear" w:color="auto" w:fill="auto"/>
            <w:vAlign w:val="center"/>
          </w:tcPr>
          <w:p w14:paraId="1EB31405">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模拟的异常工作条件</w:t>
            </w:r>
          </w:p>
        </w:tc>
        <w:tc>
          <w:tcPr>
            <w:tcW w:w="3679" w:type="dxa"/>
            <w:tcBorders>
              <w:top w:val="single" w:color="000000" w:sz="4" w:space="0"/>
              <w:left w:val="nil"/>
              <w:bottom w:val="single" w:color="000000" w:sz="4" w:space="0"/>
              <w:right w:val="single" w:color="000000" w:sz="4" w:space="0"/>
            </w:tcBorders>
            <w:shd w:val="clear" w:color="auto" w:fill="auto"/>
            <w:vAlign w:val="center"/>
          </w:tcPr>
          <w:p w14:paraId="5BB7281F">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GB 4943.1-2022</w:t>
            </w:r>
          </w:p>
        </w:tc>
      </w:tr>
      <w:tr w14:paraId="54860F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C1B20">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15</w:t>
            </w:r>
          </w:p>
        </w:tc>
        <w:tc>
          <w:tcPr>
            <w:tcW w:w="4012" w:type="dxa"/>
            <w:tcBorders>
              <w:top w:val="single" w:color="000000" w:sz="4" w:space="0"/>
              <w:left w:val="nil"/>
              <w:bottom w:val="single" w:color="000000" w:sz="4" w:space="0"/>
              <w:right w:val="single" w:color="000000" w:sz="4" w:space="0"/>
            </w:tcBorders>
            <w:shd w:val="clear" w:color="auto" w:fill="auto"/>
            <w:vAlign w:val="center"/>
          </w:tcPr>
          <w:p w14:paraId="2B6ADD1A">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模拟的单一故障条件</w:t>
            </w:r>
          </w:p>
        </w:tc>
        <w:tc>
          <w:tcPr>
            <w:tcW w:w="3679" w:type="dxa"/>
            <w:tcBorders>
              <w:top w:val="single" w:color="000000" w:sz="4" w:space="0"/>
              <w:left w:val="nil"/>
              <w:bottom w:val="single" w:color="000000" w:sz="4" w:space="0"/>
              <w:right w:val="single" w:color="000000" w:sz="4" w:space="0"/>
            </w:tcBorders>
            <w:shd w:val="clear" w:color="auto" w:fill="auto"/>
            <w:vAlign w:val="center"/>
          </w:tcPr>
          <w:p w14:paraId="727773AA">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GB 4943.1-2022</w:t>
            </w:r>
          </w:p>
        </w:tc>
      </w:tr>
      <w:tr w14:paraId="77B34B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8DC3C">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16</w:t>
            </w:r>
          </w:p>
        </w:tc>
        <w:tc>
          <w:tcPr>
            <w:tcW w:w="4012" w:type="dxa"/>
            <w:tcBorders>
              <w:top w:val="single" w:color="000000" w:sz="4" w:space="0"/>
              <w:left w:val="nil"/>
              <w:bottom w:val="single" w:color="000000" w:sz="4" w:space="0"/>
              <w:right w:val="single" w:color="000000" w:sz="4" w:space="0"/>
            </w:tcBorders>
            <w:shd w:val="clear" w:color="auto" w:fill="auto"/>
            <w:vAlign w:val="center"/>
          </w:tcPr>
          <w:p w14:paraId="6FC6C7E1">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交流电源端口的传导发射</w:t>
            </w:r>
          </w:p>
        </w:tc>
        <w:tc>
          <w:tcPr>
            <w:tcW w:w="3679" w:type="dxa"/>
            <w:tcBorders>
              <w:top w:val="single" w:color="000000" w:sz="4" w:space="0"/>
              <w:left w:val="nil"/>
              <w:bottom w:val="single" w:color="000000" w:sz="4" w:space="0"/>
              <w:right w:val="single" w:color="000000" w:sz="4" w:space="0"/>
            </w:tcBorders>
            <w:shd w:val="clear" w:color="auto" w:fill="auto"/>
            <w:vAlign w:val="center"/>
          </w:tcPr>
          <w:p w14:paraId="515CCBD5">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GB/T 9254.1-2021</w:t>
            </w:r>
          </w:p>
        </w:tc>
      </w:tr>
      <w:tr w14:paraId="468DD1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A0B0D">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17</w:t>
            </w:r>
          </w:p>
        </w:tc>
        <w:tc>
          <w:tcPr>
            <w:tcW w:w="4012" w:type="dxa"/>
            <w:tcBorders>
              <w:top w:val="single" w:color="000000" w:sz="4" w:space="0"/>
              <w:left w:val="nil"/>
              <w:bottom w:val="single" w:color="000000" w:sz="4" w:space="0"/>
              <w:right w:val="single" w:color="000000" w:sz="4" w:space="0"/>
            </w:tcBorders>
            <w:shd w:val="clear" w:color="auto" w:fill="auto"/>
            <w:vAlign w:val="center"/>
          </w:tcPr>
          <w:p w14:paraId="58FA0328">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1GHz</w:t>
            </w:r>
            <w:r>
              <w:rPr>
                <w:rFonts w:hint="eastAsia" w:ascii="Times New Roman" w:hAnsi="Times New Roman" w:eastAsia="宋体" w:cs="Times New Roman"/>
                <w:color w:val="000000"/>
                <w:kern w:val="2"/>
                <w:sz w:val="21"/>
                <w:szCs w:val="21"/>
                <w:lang w:val="en-US" w:eastAsia="zh-CN" w:bidi="ar"/>
              </w:rPr>
              <w:t>以下辐射发射</w:t>
            </w:r>
          </w:p>
        </w:tc>
        <w:tc>
          <w:tcPr>
            <w:tcW w:w="3679" w:type="dxa"/>
            <w:tcBorders>
              <w:top w:val="single" w:color="000000" w:sz="4" w:space="0"/>
              <w:left w:val="nil"/>
              <w:bottom w:val="single" w:color="000000" w:sz="4" w:space="0"/>
              <w:right w:val="single" w:color="000000" w:sz="4" w:space="0"/>
            </w:tcBorders>
            <w:shd w:val="clear" w:color="auto" w:fill="auto"/>
            <w:vAlign w:val="center"/>
          </w:tcPr>
          <w:p w14:paraId="499202ED">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GB/T 9254.1-2021</w:t>
            </w:r>
          </w:p>
        </w:tc>
      </w:tr>
      <w:tr w14:paraId="1507E7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232C3">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18</w:t>
            </w:r>
          </w:p>
        </w:tc>
        <w:tc>
          <w:tcPr>
            <w:tcW w:w="4012" w:type="dxa"/>
            <w:tcBorders>
              <w:top w:val="single" w:color="000000" w:sz="4" w:space="0"/>
              <w:left w:val="nil"/>
              <w:bottom w:val="single" w:color="000000" w:sz="4" w:space="0"/>
              <w:right w:val="single" w:color="000000" w:sz="4" w:space="0"/>
            </w:tcBorders>
            <w:shd w:val="clear" w:color="auto" w:fill="auto"/>
            <w:vAlign w:val="center"/>
          </w:tcPr>
          <w:p w14:paraId="116AFD4F">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平均效率能效限定值</w:t>
            </w:r>
          </w:p>
        </w:tc>
        <w:tc>
          <w:tcPr>
            <w:tcW w:w="3679" w:type="dxa"/>
            <w:tcBorders>
              <w:top w:val="single" w:color="000000" w:sz="4" w:space="0"/>
              <w:left w:val="nil"/>
              <w:bottom w:val="single" w:color="000000" w:sz="4" w:space="0"/>
              <w:right w:val="single" w:color="000000" w:sz="4" w:space="0"/>
            </w:tcBorders>
            <w:shd w:val="clear" w:color="auto" w:fill="auto"/>
            <w:vAlign w:val="center"/>
          </w:tcPr>
          <w:p w14:paraId="5E8842CA">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GB 20943—2013</w:t>
            </w:r>
          </w:p>
        </w:tc>
      </w:tr>
      <w:tr w14:paraId="2B27A2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4628F">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19</w:t>
            </w:r>
          </w:p>
        </w:tc>
        <w:tc>
          <w:tcPr>
            <w:tcW w:w="4012" w:type="dxa"/>
            <w:tcBorders>
              <w:top w:val="single" w:color="000000" w:sz="4" w:space="0"/>
              <w:left w:val="nil"/>
              <w:bottom w:val="single" w:color="000000" w:sz="4" w:space="0"/>
              <w:right w:val="single" w:color="000000" w:sz="4" w:space="0"/>
            </w:tcBorders>
            <w:shd w:val="clear" w:color="auto" w:fill="auto"/>
            <w:vAlign w:val="center"/>
          </w:tcPr>
          <w:p w14:paraId="5719843C">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空载状态能效限定值</w:t>
            </w:r>
          </w:p>
        </w:tc>
        <w:tc>
          <w:tcPr>
            <w:tcW w:w="3679" w:type="dxa"/>
            <w:tcBorders>
              <w:top w:val="single" w:color="000000" w:sz="4" w:space="0"/>
              <w:left w:val="nil"/>
              <w:bottom w:val="single" w:color="000000" w:sz="4" w:space="0"/>
              <w:right w:val="single" w:color="000000" w:sz="4" w:space="0"/>
            </w:tcBorders>
            <w:shd w:val="clear" w:color="auto" w:fill="auto"/>
            <w:vAlign w:val="center"/>
          </w:tcPr>
          <w:p w14:paraId="2765F837">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GB 20943—2013</w:t>
            </w:r>
          </w:p>
        </w:tc>
      </w:tr>
    </w:tbl>
    <w:p w14:paraId="3184D9EE">
      <w:pPr>
        <w:keepNext w:val="0"/>
        <w:keepLines w:val="0"/>
        <w:widowControl w:val="0"/>
        <w:suppressLineNumbers w:val="0"/>
        <w:autoSpaceDE w:val="0"/>
        <w:autoSpaceDN/>
        <w:adjustRightInd w:val="0"/>
        <w:snapToGrid w:val="0"/>
        <w:spacing w:before="0" w:beforeAutospacing="0" w:after="0" w:afterAutospacing="0" w:line="520" w:lineRule="exact"/>
        <w:ind w:right="0" w:firstLine="840" w:firstLineChars="400"/>
        <w:jc w:val="both"/>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执行企业标准、团体标准、地方标准的产品，检验项目参照上述内容执行。</w:t>
      </w:r>
    </w:p>
    <w:p w14:paraId="51AA37B4">
      <w:pPr>
        <w:spacing w:line="560" w:lineRule="exact"/>
        <w:ind w:firstLine="640" w:firstLineChars="200"/>
        <w:rPr>
          <w:rFonts w:eastAsia="黑体" w:cs="黑体"/>
          <w:sz w:val="32"/>
          <w:szCs w:val="40"/>
        </w:rPr>
      </w:pPr>
      <w:r>
        <w:rPr>
          <w:rFonts w:hint="eastAsia" w:eastAsia="黑体" w:cs="黑体"/>
          <w:sz w:val="32"/>
          <w:szCs w:val="40"/>
          <w:lang w:eastAsia="zh-CN"/>
        </w:rPr>
        <w:t>三、</w:t>
      </w:r>
      <w:r>
        <w:rPr>
          <w:rFonts w:hint="eastAsia" w:eastAsia="黑体" w:cs="黑体"/>
          <w:sz w:val="32"/>
          <w:szCs w:val="40"/>
        </w:rPr>
        <w:t>判定规则</w:t>
      </w:r>
    </w:p>
    <w:p w14:paraId="37DCE4D0">
      <w:pPr>
        <w:keepNext w:val="0"/>
        <w:keepLines w:val="0"/>
        <w:pageBreakBefore w:val="0"/>
        <w:widowControl w:val="0"/>
        <w:kinsoku/>
        <w:wordWrap/>
        <w:overflowPunct/>
        <w:topLinePunct w:val="0"/>
        <w:bidi w:val="0"/>
        <w:spacing w:line="600" w:lineRule="exact"/>
        <w:ind w:firstLine="640" w:firstLineChars="200"/>
        <w:textAlignment w:val="auto"/>
        <w:rPr>
          <w:rFonts w:hint="default" w:ascii="Times New Roman" w:hAnsi="Times New Roman" w:eastAsia="楷体_GB2312" w:cs="Times New Roman"/>
          <w:color w:val="auto"/>
          <w:sz w:val="32"/>
          <w:szCs w:val="32"/>
          <w:lang w:eastAsia="zh-CN"/>
        </w:rPr>
      </w:pPr>
      <w:r>
        <w:rPr>
          <w:rFonts w:hint="eastAsia" w:ascii="Times New Roman" w:hAnsi="Times New Roman" w:eastAsia="楷体_GB2312" w:cs="Times New Roman"/>
          <w:color w:val="auto"/>
          <w:sz w:val="32"/>
          <w:szCs w:val="32"/>
          <w:lang w:eastAsia="zh-CN"/>
        </w:rPr>
        <w:t>（一）依据标准</w:t>
      </w:r>
    </w:p>
    <w:p w14:paraId="64F00EA6">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GB 4943.1-2022</w:t>
      </w:r>
      <w:r>
        <w:rPr>
          <w:rFonts w:hint="eastAsia" w:ascii="Times New Roman" w:hAnsi="Times New Roman" w:eastAsia="仿宋_GB2312" w:cs="Times New Roman"/>
          <w:kern w:val="2"/>
          <w:sz w:val="32"/>
          <w:szCs w:val="32"/>
          <w:lang w:val="en-US" w:eastAsia="zh-CN" w:bidi="ar"/>
        </w:rPr>
        <w:t xml:space="preserve"> 音视频、信息技术和通信技术设备  第</w:t>
      </w:r>
      <w:r>
        <w:rPr>
          <w:rFonts w:hint="default" w:ascii="Times New Roman" w:hAnsi="Times New Roman" w:eastAsia="仿宋_GB2312" w:cs="Times New Roman"/>
          <w:kern w:val="2"/>
          <w:sz w:val="32"/>
          <w:szCs w:val="32"/>
          <w:lang w:val="en-US" w:eastAsia="zh-CN" w:bidi="ar"/>
        </w:rPr>
        <w:t>1</w:t>
      </w:r>
      <w:r>
        <w:rPr>
          <w:rFonts w:hint="eastAsia" w:ascii="Times New Roman" w:hAnsi="Times New Roman" w:eastAsia="仿宋_GB2312" w:cs="Times New Roman"/>
          <w:kern w:val="2"/>
          <w:sz w:val="32"/>
          <w:szCs w:val="32"/>
          <w:lang w:val="en-US" w:eastAsia="zh-CN" w:bidi="ar"/>
        </w:rPr>
        <w:t>部分</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 xml:space="preserve">安全要求 </w:t>
      </w:r>
    </w:p>
    <w:p w14:paraId="5B966661">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GB/T 9254.1-2021</w:t>
      </w:r>
      <w:r>
        <w:rPr>
          <w:rFonts w:hint="eastAsia" w:ascii="Times New Roman" w:hAnsi="Times New Roman" w:eastAsia="仿宋_GB2312" w:cs="Times New Roman"/>
          <w:kern w:val="2"/>
          <w:sz w:val="32"/>
          <w:szCs w:val="32"/>
          <w:lang w:val="en-US" w:eastAsia="zh-CN" w:bidi="ar"/>
        </w:rPr>
        <w:t xml:space="preserve"> 信息技术设备、多媒体设备和接收机电磁兼容  第</w:t>
      </w:r>
      <w:r>
        <w:rPr>
          <w:rFonts w:hint="default" w:ascii="Times New Roman" w:hAnsi="Times New Roman" w:eastAsia="仿宋_GB2312" w:cs="Times New Roman"/>
          <w:kern w:val="2"/>
          <w:sz w:val="32"/>
          <w:szCs w:val="32"/>
          <w:lang w:val="en-US" w:eastAsia="zh-CN" w:bidi="ar"/>
        </w:rPr>
        <w:t>1</w:t>
      </w:r>
      <w:r>
        <w:rPr>
          <w:rFonts w:hint="eastAsia" w:ascii="Times New Roman" w:hAnsi="Times New Roman" w:eastAsia="仿宋_GB2312" w:cs="Times New Roman"/>
          <w:kern w:val="2"/>
          <w:sz w:val="32"/>
          <w:szCs w:val="32"/>
          <w:lang w:val="en-US" w:eastAsia="zh-CN" w:bidi="ar"/>
        </w:rPr>
        <w:t xml:space="preserve">部分：发射要求 </w:t>
      </w:r>
    </w:p>
    <w:p w14:paraId="2AE1CA82">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 xml:space="preserve">GB 20943-2013 </w:t>
      </w:r>
      <w:r>
        <w:rPr>
          <w:rFonts w:hint="eastAsia" w:ascii="Times New Roman" w:hAnsi="Times New Roman" w:eastAsia="仿宋_GB2312" w:cs="Times New Roman"/>
          <w:kern w:val="2"/>
          <w:sz w:val="32"/>
          <w:szCs w:val="32"/>
          <w:lang w:val="en-US" w:eastAsia="zh-CN" w:bidi="ar"/>
        </w:rPr>
        <w:t xml:space="preserve"> 单路输出式交流－直流和交流－交流外部电源能效限定值及节能评价值 </w:t>
      </w:r>
    </w:p>
    <w:p w14:paraId="3BCEEF96">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现行有效的企业标准、团体标准、地方标准及产品明示质量要求。</w:t>
      </w:r>
    </w:p>
    <w:p w14:paraId="25956A52">
      <w:pPr>
        <w:keepNext w:val="0"/>
        <w:keepLines w:val="0"/>
        <w:pageBreakBefore w:val="0"/>
        <w:widowControl w:val="0"/>
        <w:kinsoku/>
        <w:wordWrap/>
        <w:overflowPunct/>
        <w:topLinePunct w:val="0"/>
        <w:bidi w:val="0"/>
        <w:spacing w:line="600" w:lineRule="exact"/>
        <w:ind w:firstLine="640" w:firstLineChars="200"/>
        <w:textAlignment w:val="auto"/>
        <w:rPr>
          <w:rFonts w:hint="default" w:ascii="Times New Roman" w:hAnsi="Times New Roman" w:eastAsia="楷体_GB2312" w:cs="Times New Roman"/>
          <w:color w:val="auto"/>
          <w:sz w:val="32"/>
          <w:szCs w:val="32"/>
          <w:lang w:eastAsia="zh-CN"/>
        </w:rPr>
      </w:pPr>
      <w:bookmarkStart w:id="0" w:name="_GoBack"/>
      <w:r>
        <w:rPr>
          <w:rFonts w:hint="eastAsia" w:ascii="Times New Roman" w:hAnsi="Times New Roman" w:eastAsia="楷体_GB2312" w:cs="Times New Roman"/>
          <w:color w:val="auto"/>
          <w:sz w:val="32"/>
          <w:szCs w:val="32"/>
          <w:lang w:eastAsia="zh-CN"/>
        </w:rPr>
        <w:t>（二）判定原则</w:t>
      </w:r>
    </w:p>
    <w:bookmarkEnd w:id="0"/>
    <w:p w14:paraId="089FDC51">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经检验，检验项目全部合格，判定为被抽查产品所检项目未发现不合格；检验项目中任一项或一项以上不合格，判定为被抽查产品不合格。</w:t>
      </w:r>
    </w:p>
    <w:p w14:paraId="505B6C04">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若被检产品明示的质量要求高于本细则中检验项目依据的标准要求时，应按被检产品明示的质量要求判定。</w:t>
      </w:r>
    </w:p>
    <w:p w14:paraId="1637D3FE">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若被检产品明示的质量要求低于本细则中检验项目依据的强制性标准要求时，应按照强制性标准要求判定。</w:t>
      </w:r>
    </w:p>
    <w:p w14:paraId="3060FE14">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若被检产品明示的质量要求低于或包含本细则中检验项目依据的推荐性标准要求时，应以被检产品明示的质量要求判定。</w:t>
      </w:r>
    </w:p>
    <w:p w14:paraId="6562FD1B">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若被检产品明示的质量要求缺少本细则中检验项目依据的强制性标准要求时，应按照强制性标准要求判定。</w:t>
      </w:r>
    </w:p>
    <w:p w14:paraId="1D891F2C">
      <w:pPr>
        <w:keepNext w:val="0"/>
        <w:keepLines w:val="0"/>
        <w:widowControl w:val="0"/>
        <w:suppressLineNumbers w:val="0"/>
        <w:spacing w:before="0" w:beforeAutospacing="0" w:after="0" w:afterAutospacing="0" w:line="560" w:lineRule="exact"/>
        <w:ind w:left="0" w:right="0" w:firstLine="640" w:firstLineChars="200"/>
        <w:jc w:val="both"/>
        <w:rPr>
          <w:rFonts w:eastAsia="仿宋_GB2312" w:cs="仿宋_GB2312"/>
          <w:sz w:val="32"/>
          <w:szCs w:val="40"/>
        </w:rPr>
      </w:pPr>
      <w:r>
        <w:rPr>
          <w:rFonts w:hint="eastAsia" w:ascii="Times New Roman" w:hAnsi="Times New Roman" w:eastAsia="仿宋_GB2312" w:cs="Times New Roman"/>
          <w:kern w:val="2"/>
          <w:sz w:val="32"/>
          <w:szCs w:val="32"/>
          <w:lang w:val="en-US" w:eastAsia="zh-CN" w:bidi="ar"/>
        </w:rPr>
        <w:t>若被检产品明示的质量要求缺少本细则中检验项目依据的推荐性标准要求时，该项目不参与判定。</w:t>
      </w:r>
    </w:p>
    <w:p w14:paraId="61D3C080">
      <w:pPr>
        <w:spacing w:line="560" w:lineRule="exact"/>
        <w:rPr>
          <w:rFonts w:eastAsia="仿宋_GB2312" w:cs="仿宋_GB2312"/>
          <w:sz w:val="32"/>
          <w:szCs w:val="32"/>
        </w:rPr>
      </w:pPr>
    </w:p>
    <w:p w14:paraId="7276A06C">
      <w:pPr>
        <w:spacing w:line="560" w:lineRule="exact"/>
        <w:rPr>
          <w:rFonts w:eastAsia="黑体" w:cs="黑体"/>
          <w:bCs/>
          <w:spacing w:val="-6"/>
          <w:sz w:val="32"/>
          <w:szCs w:val="32"/>
        </w:rPr>
      </w:pPr>
    </w:p>
    <w:sectPr>
      <w:pgSz w:w="11906" w:h="16838"/>
      <w:pgMar w:top="2098" w:right="1474" w:bottom="1701"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966564B"/>
    <w:rsid w:val="000A2F43"/>
    <w:rsid w:val="00184D2D"/>
    <w:rsid w:val="002A197B"/>
    <w:rsid w:val="0075000C"/>
    <w:rsid w:val="0077764F"/>
    <w:rsid w:val="00892709"/>
    <w:rsid w:val="00A27888"/>
    <w:rsid w:val="00A42697"/>
    <w:rsid w:val="00BA2086"/>
    <w:rsid w:val="00BE3053"/>
    <w:rsid w:val="00C11DA4"/>
    <w:rsid w:val="00C434AC"/>
    <w:rsid w:val="00DF3F66"/>
    <w:rsid w:val="00F87DC1"/>
    <w:rsid w:val="010001DB"/>
    <w:rsid w:val="01317B85"/>
    <w:rsid w:val="013D404E"/>
    <w:rsid w:val="02090B42"/>
    <w:rsid w:val="02510197"/>
    <w:rsid w:val="02941DE2"/>
    <w:rsid w:val="02C24E61"/>
    <w:rsid w:val="02C60B85"/>
    <w:rsid w:val="02DA63DE"/>
    <w:rsid w:val="031511C4"/>
    <w:rsid w:val="04022482"/>
    <w:rsid w:val="041A11DA"/>
    <w:rsid w:val="04727BC0"/>
    <w:rsid w:val="05850883"/>
    <w:rsid w:val="06730629"/>
    <w:rsid w:val="074A6C5C"/>
    <w:rsid w:val="07D57174"/>
    <w:rsid w:val="084560A8"/>
    <w:rsid w:val="08C6368D"/>
    <w:rsid w:val="0A682522"/>
    <w:rsid w:val="0A7809B7"/>
    <w:rsid w:val="0ACB31DC"/>
    <w:rsid w:val="0B81389B"/>
    <w:rsid w:val="0BDC4DC3"/>
    <w:rsid w:val="0CC765A2"/>
    <w:rsid w:val="0CE34036"/>
    <w:rsid w:val="0CF813CA"/>
    <w:rsid w:val="0F0A004B"/>
    <w:rsid w:val="0F781459"/>
    <w:rsid w:val="0F7E08B8"/>
    <w:rsid w:val="0FBC7598"/>
    <w:rsid w:val="10C1473A"/>
    <w:rsid w:val="11020FDA"/>
    <w:rsid w:val="117F262B"/>
    <w:rsid w:val="11DA3D05"/>
    <w:rsid w:val="124134CA"/>
    <w:rsid w:val="12744159"/>
    <w:rsid w:val="128123D2"/>
    <w:rsid w:val="12C329EB"/>
    <w:rsid w:val="12CC5D44"/>
    <w:rsid w:val="12E12FB6"/>
    <w:rsid w:val="13111E52"/>
    <w:rsid w:val="13E93B05"/>
    <w:rsid w:val="144933C4"/>
    <w:rsid w:val="14761E85"/>
    <w:rsid w:val="158C17BA"/>
    <w:rsid w:val="16D231FD"/>
    <w:rsid w:val="177C0BBA"/>
    <w:rsid w:val="181F59C9"/>
    <w:rsid w:val="182818DB"/>
    <w:rsid w:val="182A0E16"/>
    <w:rsid w:val="18891FE1"/>
    <w:rsid w:val="18FF22A3"/>
    <w:rsid w:val="192B4BB1"/>
    <w:rsid w:val="197131A1"/>
    <w:rsid w:val="19AD7F51"/>
    <w:rsid w:val="1B3426D8"/>
    <w:rsid w:val="1BF84D18"/>
    <w:rsid w:val="1D1125A5"/>
    <w:rsid w:val="1D2F75FB"/>
    <w:rsid w:val="1DD7559C"/>
    <w:rsid w:val="1DEC729A"/>
    <w:rsid w:val="1E827C5E"/>
    <w:rsid w:val="1F806D3C"/>
    <w:rsid w:val="1F924F72"/>
    <w:rsid w:val="20517C22"/>
    <w:rsid w:val="241B18A1"/>
    <w:rsid w:val="24213A15"/>
    <w:rsid w:val="24521E21"/>
    <w:rsid w:val="246C2EE2"/>
    <w:rsid w:val="246D4BCF"/>
    <w:rsid w:val="24A0493A"/>
    <w:rsid w:val="24E567F1"/>
    <w:rsid w:val="25272AE8"/>
    <w:rsid w:val="258C51AF"/>
    <w:rsid w:val="26551754"/>
    <w:rsid w:val="26C012C4"/>
    <w:rsid w:val="26C14A0E"/>
    <w:rsid w:val="26DE174A"/>
    <w:rsid w:val="277420AE"/>
    <w:rsid w:val="27DD2096"/>
    <w:rsid w:val="27F8683B"/>
    <w:rsid w:val="2815563F"/>
    <w:rsid w:val="285C501C"/>
    <w:rsid w:val="28CD1A76"/>
    <w:rsid w:val="29E67293"/>
    <w:rsid w:val="2A3302A0"/>
    <w:rsid w:val="2B3B45F3"/>
    <w:rsid w:val="2B513376"/>
    <w:rsid w:val="2B6366C1"/>
    <w:rsid w:val="2B6A5CA2"/>
    <w:rsid w:val="2C7843EE"/>
    <w:rsid w:val="2C8C39F6"/>
    <w:rsid w:val="2CB872F2"/>
    <w:rsid w:val="2D1C7470"/>
    <w:rsid w:val="2E1F25AD"/>
    <w:rsid w:val="2E41718E"/>
    <w:rsid w:val="2E4226C5"/>
    <w:rsid w:val="2EC67693"/>
    <w:rsid w:val="2EFA10EB"/>
    <w:rsid w:val="2F662C24"/>
    <w:rsid w:val="2F762642"/>
    <w:rsid w:val="2F7C41F6"/>
    <w:rsid w:val="2FA0647C"/>
    <w:rsid w:val="2FF6531D"/>
    <w:rsid w:val="3236068C"/>
    <w:rsid w:val="32504C0A"/>
    <w:rsid w:val="3262155A"/>
    <w:rsid w:val="329B7857"/>
    <w:rsid w:val="32A83BE9"/>
    <w:rsid w:val="331D0D9F"/>
    <w:rsid w:val="33813B89"/>
    <w:rsid w:val="33AB50A9"/>
    <w:rsid w:val="34180991"/>
    <w:rsid w:val="34945B3E"/>
    <w:rsid w:val="35DE3514"/>
    <w:rsid w:val="363A163C"/>
    <w:rsid w:val="365E4655"/>
    <w:rsid w:val="373B090F"/>
    <w:rsid w:val="37A367C3"/>
    <w:rsid w:val="37A91F2C"/>
    <w:rsid w:val="380102BC"/>
    <w:rsid w:val="39D124C7"/>
    <w:rsid w:val="39DE7D3D"/>
    <w:rsid w:val="3AF0345C"/>
    <w:rsid w:val="3B1479D8"/>
    <w:rsid w:val="3C3519B4"/>
    <w:rsid w:val="3C3C71E7"/>
    <w:rsid w:val="3C442342"/>
    <w:rsid w:val="3DB07174"/>
    <w:rsid w:val="3E2D328B"/>
    <w:rsid w:val="3F6103DE"/>
    <w:rsid w:val="3FE47979"/>
    <w:rsid w:val="3FE94F8F"/>
    <w:rsid w:val="404C44D5"/>
    <w:rsid w:val="40566C25"/>
    <w:rsid w:val="40572841"/>
    <w:rsid w:val="40754A75"/>
    <w:rsid w:val="40A11D0E"/>
    <w:rsid w:val="40C61775"/>
    <w:rsid w:val="43127048"/>
    <w:rsid w:val="431E7646"/>
    <w:rsid w:val="443F72D5"/>
    <w:rsid w:val="44F87A23"/>
    <w:rsid w:val="4504286C"/>
    <w:rsid w:val="475F2CC9"/>
    <w:rsid w:val="47807C2C"/>
    <w:rsid w:val="4792415F"/>
    <w:rsid w:val="47F81D88"/>
    <w:rsid w:val="4808540A"/>
    <w:rsid w:val="482A083B"/>
    <w:rsid w:val="486755EB"/>
    <w:rsid w:val="489857A5"/>
    <w:rsid w:val="48C17682"/>
    <w:rsid w:val="495913D8"/>
    <w:rsid w:val="4A5C37BC"/>
    <w:rsid w:val="4B101F6A"/>
    <w:rsid w:val="4C065EF4"/>
    <w:rsid w:val="4C324F11"/>
    <w:rsid w:val="4C547C35"/>
    <w:rsid w:val="4CA24098"/>
    <w:rsid w:val="4CA54934"/>
    <w:rsid w:val="4CB44B77"/>
    <w:rsid w:val="4CD86AB8"/>
    <w:rsid w:val="4D61085B"/>
    <w:rsid w:val="4F844CD5"/>
    <w:rsid w:val="4F9A62A6"/>
    <w:rsid w:val="5080549C"/>
    <w:rsid w:val="50834F8C"/>
    <w:rsid w:val="510824BD"/>
    <w:rsid w:val="51BE431A"/>
    <w:rsid w:val="533D4580"/>
    <w:rsid w:val="5385101B"/>
    <w:rsid w:val="53C37C2A"/>
    <w:rsid w:val="54500E82"/>
    <w:rsid w:val="54BC0A6D"/>
    <w:rsid w:val="54CF07A0"/>
    <w:rsid w:val="54D73AF9"/>
    <w:rsid w:val="55524F2D"/>
    <w:rsid w:val="5559450E"/>
    <w:rsid w:val="55F34962"/>
    <w:rsid w:val="56D77DE0"/>
    <w:rsid w:val="57A165BB"/>
    <w:rsid w:val="57C02622"/>
    <w:rsid w:val="58041C55"/>
    <w:rsid w:val="5A6D5BE1"/>
    <w:rsid w:val="5A7A2F5C"/>
    <w:rsid w:val="5B555777"/>
    <w:rsid w:val="5D2E0D3F"/>
    <w:rsid w:val="5D3E69E1"/>
    <w:rsid w:val="5D7211C5"/>
    <w:rsid w:val="5D9500AD"/>
    <w:rsid w:val="5D9E2CDC"/>
    <w:rsid w:val="5E993BCD"/>
    <w:rsid w:val="5E9B5B97"/>
    <w:rsid w:val="5EBA601D"/>
    <w:rsid w:val="5F1F40D2"/>
    <w:rsid w:val="6013744B"/>
    <w:rsid w:val="6065307F"/>
    <w:rsid w:val="607D5554"/>
    <w:rsid w:val="609E54CA"/>
    <w:rsid w:val="60CE372B"/>
    <w:rsid w:val="60E03FBD"/>
    <w:rsid w:val="63021D41"/>
    <w:rsid w:val="63CA09B1"/>
    <w:rsid w:val="64931B46"/>
    <w:rsid w:val="64FE22BB"/>
    <w:rsid w:val="656F1FC4"/>
    <w:rsid w:val="66CF63DE"/>
    <w:rsid w:val="6784541A"/>
    <w:rsid w:val="678F3DBF"/>
    <w:rsid w:val="67DA7D95"/>
    <w:rsid w:val="681A7B2C"/>
    <w:rsid w:val="68A613C0"/>
    <w:rsid w:val="68DB75CA"/>
    <w:rsid w:val="68F123F5"/>
    <w:rsid w:val="68F270EB"/>
    <w:rsid w:val="6A811E52"/>
    <w:rsid w:val="6AB51D8E"/>
    <w:rsid w:val="6B560E7C"/>
    <w:rsid w:val="6BB441C8"/>
    <w:rsid w:val="6C606ADC"/>
    <w:rsid w:val="6CB70040"/>
    <w:rsid w:val="6CE82CFC"/>
    <w:rsid w:val="6E0818DD"/>
    <w:rsid w:val="6F6A7287"/>
    <w:rsid w:val="6F8F0E00"/>
    <w:rsid w:val="6FDF25CC"/>
    <w:rsid w:val="6FF4420E"/>
    <w:rsid w:val="70CF652C"/>
    <w:rsid w:val="71D46F9E"/>
    <w:rsid w:val="72A76461"/>
    <w:rsid w:val="72C40DC1"/>
    <w:rsid w:val="73066F18"/>
    <w:rsid w:val="73102258"/>
    <w:rsid w:val="732605E1"/>
    <w:rsid w:val="73561F7D"/>
    <w:rsid w:val="737412C0"/>
    <w:rsid w:val="737E5413"/>
    <w:rsid w:val="75857511"/>
    <w:rsid w:val="7625601A"/>
    <w:rsid w:val="763E40F3"/>
    <w:rsid w:val="770F19AB"/>
    <w:rsid w:val="789456D9"/>
    <w:rsid w:val="7966564B"/>
    <w:rsid w:val="79EC439C"/>
    <w:rsid w:val="79F226B7"/>
    <w:rsid w:val="7A003514"/>
    <w:rsid w:val="7A462A03"/>
    <w:rsid w:val="7AA97E33"/>
    <w:rsid w:val="7B007056"/>
    <w:rsid w:val="7BC65BA9"/>
    <w:rsid w:val="7D87580C"/>
    <w:rsid w:val="7E484F9C"/>
    <w:rsid w:val="7E9F2F97"/>
    <w:rsid w:val="7EE05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9"/>
    <w:pPr>
      <w:keepNext/>
      <w:keepLines/>
      <w:widowControl w:val="0"/>
      <w:spacing w:before="340" w:after="330" w:line="578" w:lineRule="auto"/>
      <w:jc w:val="both"/>
      <w:outlineLvl w:val="0"/>
    </w:pPr>
    <w:rPr>
      <w:rFonts w:ascii="Times New Roman" w:hAnsi="Times New Roman" w:eastAsia="仿宋_GB2312" w:cs="Times New Roman"/>
      <w:b/>
      <w:bCs/>
      <w:kern w:val="44"/>
      <w:sz w:val="44"/>
      <w:szCs w:val="44"/>
      <w:lang w:val="en-US" w:eastAsia="zh-CN" w:bidi="ar-SA"/>
    </w:rPr>
  </w:style>
  <w:style w:type="paragraph" w:styleId="3">
    <w:name w:val="heading 3"/>
    <w:next w:val="1"/>
    <w:qFormat/>
    <w:uiPriority w:val="0"/>
    <w:pPr>
      <w:keepNext/>
      <w:keepLines/>
      <w:widowControl w:val="0"/>
      <w:spacing w:line="600" w:lineRule="exact"/>
      <w:jc w:val="both"/>
      <w:outlineLvl w:val="2"/>
    </w:pPr>
    <w:rPr>
      <w:rFonts w:ascii="Times New Roman" w:hAnsi="Times New Roman" w:eastAsia="楷体_GB2312" w:cs="Times New Roman"/>
      <w:b/>
      <w:kern w:val="2"/>
      <w:sz w:val="30"/>
      <w:szCs w:val="24"/>
      <w:lang w:val="en-US" w:eastAsia="zh-CN" w:bidi="ar-SA"/>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Salutation"/>
    <w:next w:val="1"/>
    <w:qFormat/>
    <w:uiPriority w:val="99"/>
    <w:pPr>
      <w:widowControl w:val="0"/>
      <w:jc w:val="both"/>
    </w:pPr>
    <w:rPr>
      <w:rFonts w:ascii="Times New Roman" w:hAnsi="Times New Roman" w:eastAsia="仿宋_GB2312" w:cs="Times New Roman"/>
      <w:kern w:val="2"/>
      <w:sz w:val="32"/>
      <w:szCs w:val="24"/>
      <w:lang w:val="en-US" w:eastAsia="zh-CN" w:bidi="ar-SA"/>
    </w:rPr>
  </w:style>
  <w:style w:type="paragraph" w:styleId="6">
    <w:name w:val="Plain Text"/>
    <w:basedOn w:val="1"/>
    <w:unhideWhenUsed/>
    <w:qFormat/>
    <w:uiPriority w:val="99"/>
    <w:rPr>
      <w:rFonts w:ascii="宋体" w:hAnsi="Courier New"/>
      <w:sz w:val="32"/>
      <w:szCs w:val="21"/>
    </w:rPr>
  </w:style>
  <w:style w:type="paragraph" w:styleId="7">
    <w:name w:val="footer"/>
    <w:unhideWhenUsed/>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8">
    <w:name w:val="header"/>
    <w:unhideWhenUsed/>
    <w:qFormat/>
    <w:uiPriority w:val="99"/>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paragraph" w:styleId="9">
    <w:name w:val="toc 2"/>
    <w:basedOn w:val="1"/>
    <w:next w:val="1"/>
    <w:qFormat/>
    <w:uiPriority w:val="0"/>
    <w:pPr>
      <w:ind w:left="420" w:leftChars="200"/>
    </w:pPr>
  </w:style>
  <w:style w:type="paragraph" w:styleId="10">
    <w:name w:val="Body Text 2"/>
    <w:qFormat/>
    <w:uiPriority w:val="0"/>
    <w:pPr>
      <w:spacing w:after="120" w:line="480" w:lineRule="auto"/>
    </w:pPr>
    <w:rPr>
      <w:rFonts w:ascii="Times New Roman" w:hAnsi="Times New Roman" w:eastAsia="宋体" w:cs="Times New Roman"/>
      <w:sz w:val="21"/>
      <w:szCs w:val="21"/>
      <w:lang w:val="en-US" w:eastAsia="zh-CN" w:bidi="ar-SA"/>
    </w:rPr>
  </w:style>
  <w:style w:type="paragraph" w:styleId="11">
    <w:name w:val="Normal (Web)"/>
    <w:qFormat/>
    <w:uiPriority w:val="0"/>
    <w:pPr>
      <w:spacing w:before="100" w:beforeAutospacing="1" w:after="100" w:afterAutospacing="1"/>
    </w:pPr>
    <w:rPr>
      <w:rFonts w:hint="eastAsia" w:ascii="宋体" w:hAnsi="宋体" w:eastAsia="宋体" w:cs="Times New Roman"/>
      <w:sz w:val="24"/>
      <w:szCs w:val="24"/>
      <w:lang w:val="en-US" w:eastAsia="zh-CN" w:bidi="ar-SA"/>
    </w:rPr>
  </w:style>
  <w:style w:type="table" w:styleId="13">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tcPr>
      <w:tcBorders>
        <w:top w:val="single" w:color="auto" w:sz="4" w:space="0"/>
        <w:left w:val="single" w:color="auto" w:sz="4" w:space="0"/>
        <w:bottom w:val="single" w:color="auto" w:sz="4" w:space="0"/>
        <w:right w:val="single" w:color="auto" w:sz="4" w:space="0"/>
      </w:tcBorders>
    </w:tcPr>
  </w:style>
  <w:style w:type="character" w:styleId="15">
    <w:name w:val="page number"/>
    <w:qFormat/>
    <w:uiPriority w:val="0"/>
  </w:style>
  <w:style w:type="paragraph" w:customStyle="1" w:styleId="16">
    <w:name w:val="目次、标准名称标题"/>
    <w:next w:val="17"/>
    <w:qFormat/>
    <w:uiPriority w:val="0"/>
    <w:pPr>
      <w:keepNext/>
      <w:pageBreakBefore/>
      <w:shd w:val="clear" w:color="FFFFFF" w:fill="FFFFFF"/>
      <w:spacing w:before="640" w:after="560" w:line="460" w:lineRule="exact"/>
      <w:jc w:val="center"/>
      <w:outlineLvl w:val="0"/>
    </w:pPr>
    <w:rPr>
      <w:rFonts w:ascii="黑体" w:hAnsi="Times New Roman" w:eastAsia="黑体" w:cs="Times New Roman"/>
      <w:sz w:val="30"/>
      <w:lang w:val="en-US" w:eastAsia="zh-CN" w:bidi="ar-SA"/>
    </w:rPr>
  </w:style>
  <w:style w:type="paragraph" w:customStyle="1" w:styleId="17">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paragraph" w:customStyle="1" w:styleId="18">
    <w:name w:val="样式1 标题（方正小标宋简体）"/>
    <w:qFormat/>
    <w:uiPriority w:val="0"/>
    <w:pPr>
      <w:widowControl w:val="0"/>
      <w:spacing w:line="560" w:lineRule="exact"/>
      <w:jc w:val="center"/>
    </w:pPr>
    <w:rPr>
      <w:rFonts w:ascii="Times New Roman" w:hAnsi="Times New Roman" w:eastAsia="方正小标宋简体" w:cs="Times New Roman"/>
      <w:kern w:val="2"/>
      <w:sz w:val="44"/>
      <w:szCs w:val="44"/>
      <w:lang w:val="en-US" w:eastAsia="zh-CN" w:bidi="ar-SA"/>
    </w:rPr>
  </w:style>
  <w:style w:type="table" w:customStyle="1" w:styleId="19">
    <w:name w:val="网格型_0"/>
    <w:unhideWhenUsed/>
    <w:qFormat/>
    <w:uiPriority w:val="9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20">
    <w:name w:val="样式1 标题一级（黑体三号）"/>
    <w:qFormat/>
    <w:uiPriority w:val="0"/>
    <w:pPr>
      <w:widowControl w:val="0"/>
      <w:spacing w:line="560" w:lineRule="exact"/>
      <w:ind w:firstLine="200" w:firstLineChars="200"/>
      <w:jc w:val="both"/>
    </w:pPr>
    <w:rPr>
      <w:rFonts w:hint="eastAsia" w:ascii="黑体" w:hAnsi="黑体" w:eastAsia="黑体" w:cs="黑体"/>
      <w:kern w:val="2"/>
      <w:sz w:val="32"/>
      <w:szCs w:val="32"/>
      <w:lang w:val="en-US" w:eastAsia="zh-CN" w:bidi="ar-SA"/>
    </w:rPr>
  </w:style>
  <w:style w:type="paragraph" w:customStyle="1" w:styleId="2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2">
    <w:name w:val="样式2 标题（楷体三号）"/>
    <w:autoRedefine/>
    <w:qFormat/>
    <w:uiPriority w:val="0"/>
    <w:pPr>
      <w:widowControl w:val="0"/>
      <w:spacing w:line="560" w:lineRule="exact"/>
      <w:jc w:val="center"/>
    </w:pPr>
    <w:rPr>
      <w:rFonts w:hint="eastAsia" w:ascii="楷体_GB2312" w:hAnsi="楷体_GB2312" w:eastAsia="楷体_GB2312" w:cs="Times New Roman"/>
      <w:kern w:val="2"/>
      <w:sz w:val="32"/>
      <w:szCs w:val="32"/>
      <w:lang w:val="en-US" w:eastAsia="zh-CN" w:bidi="ar-SA"/>
    </w:rPr>
  </w:style>
  <w:style w:type="table" w:customStyle="1" w:styleId="23">
    <w:name w:val="Table Normal_0"/>
    <w:qFormat/>
    <w:uiPriority w:val="0"/>
    <w:tblPr>
      <w:tblCellMar>
        <w:top w:w="0" w:type="dxa"/>
        <w:left w:w="0" w:type="dxa"/>
        <w:bottom w:w="0" w:type="dxa"/>
        <w:right w:w="0" w:type="dxa"/>
      </w:tblCellMar>
    </w:tblPr>
  </w:style>
  <w:style w:type="paragraph" w:styleId="24">
    <w:name w:val="List Paragraph"/>
    <w:basedOn w:val="1"/>
    <w:unhideWhenUsed/>
    <w:qFormat/>
    <w:uiPriority w:val="99"/>
    <w:pPr>
      <w:ind w:firstLine="420" w:firstLineChars="200"/>
    </w:pPr>
  </w:style>
  <w:style w:type="paragraph" w:customStyle="1" w:styleId="25">
    <w:name w:val="Table Paragraph"/>
    <w:qFormat/>
    <w:uiPriority w:val="1"/>
    <w:pPr>
      <w:widowControl w:val="0"/>
      <w:autoSpaceDE w:val="0"/>
      <w:autoSpaceDN w:val="0"/>
    </w:pPr>
    <w:rPr>
      <w:rFonts w:ascii="宋体" w:hAnsi="宋体" w:eastAsia="宋体" w:cs="宋体"/>
      <w:sz w:val="22"/>
      <w:szCs w:val="22"/>
      <w:lang w:val="en-US" w:eastAsia="zh-CN" w:bidi="ar-SA"/>
    </w:rPr>
  </w:style>
  <w:style w:type="paragraph" w:customStyle="1" w:styleId="26">
    <w:name w:val="修订1"/>
    <w:hidden/>
    <w:unhideWhenUsed/>
    <w:qFormat/>
    <w:uiPriority w:val="99"/>
    <w:rPr>
      <w:rFonts w:ascii="Times New Roman" w:hAnsi="Times New Roman" w:eastAsia="宋体" w:cs="Times New Roman"/>
      <w:kern w:val="2"/>
      <w:sz w:val="21"/>
      <w:szCs w:val="24"/>
      <w:lang w:val="en-US" w:eastAsia="zh-CN" w:bidi="ar-SA"/>
    </w:rPr>
  </w:style>
  <w:style w:type="table" w:customStyle="1" w:styleId="27">
    <w:name w:val="Table Normal_0_0"/>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822</Words>
  <Characters>1083</Characters>
  <Lines>8</Lines>
  <Paragraphs>2</Paragraphs>
  <TotalTime>2</TotalTime>
  <ScaleCrop>false</ScaleCrop>
  <LinksUpToDate>false</LinksUpToDate>
  <CharactersWithSpaces>1117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2026-01-13T06:44:00Z</dcterms:created>
  <dc:creator>1+7</dc:creator>
  <cp:lastModifiedBy>许纯绚</cp:lastModifiedBy>
  <dcterms:modified xsi:type="dcterms:W3CDTF">2026-03-10T01:49:06Z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213BA6C4E8C94AE293C82B21FE1E93E7_13</vt:lpwstr>
  </property>
  <property fmtid="{D5CDD505-2E9C-101B-9397-08002B2CF9AE}" pid="3" name="KSOProductBuildVer">
    <vt:lpwstr>2052-12.1.0.25225</vt:lpwstr>
  </property>
  <property fmtid="{D5CDD505-2E9C-101B-9397-08002B2CF9AE}" pid="4" name="KSOTemplateDocerSaveRecord">
    <vt:lpwstr>eyJoZGlkIjoiZWU0YjVjOWFiNDgxZGFlYjZjZWJjYzUwNjcwMWZjNmIifQ==</vt:lpwstr>
  </property>
</Properties>
</file>