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4"/>
        <w:rPr>
          <w:rFonts w:hint="eastAsia"/>
        </w:rPr>
      </w:pPr>
      <w:bookmarkStart w:id="0" w:name="SectionMark0"/>
    </w:p>
    <w:p>
      <w:pPr>
        <w:pStyle w:val="54"/>
        <w:sectPr>
          <w:headerReference r:id="rId4" w:type="first"/>
          <w:headerReference r:id="rId3" w:type="default"/>
          <w:footerReference r:id="rId5" w:type="default"/>
          <w:footerReference r:id="rId6" w:type="even"/>
          <w:pgSz w:w="11907" w:h="16839"/>
          <w:pgMar w:top="567" w:right="851" w:bottom="1361" w:left="1418" w:header="0" w:footer="0" w:gutter="0"/>
          <w:pgNumType w:start="1"/>
          <w:cols w:space="720" w:num="1"/>
          <w:titlePg/>
          <w:docGrid w:type="lines" w:linePitch="312" w:charSpace="0"/>
        </w:sectPr>
      </w:pPr>
      <w: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8890000</wp:posOffset>
                </wp:positionV>
                <wp:extent cx="6121400" cy="0"/>
                <wp:effectExtent l="0" t="0" r="0" b="0"/>
                <wp:wrapNone/>
                <wp:docPr id="10"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700pt;height:0pt;width:482pt;z-index:251668480;mso-width-relative:page;mso-height-relative:page;" filled="f" stroked="t" coordsize="21600,21600" o:gfxdata="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xL5WNIAAAAK&#10;AQAADwAAAAAAAAABACAAAAAiAAAAZHJzL2Rvd25yZXYueG1sUEsBAhQAFAAAAAgAh07iQNpxPdrp&#10;AQAA3gMAAA4AAAAAAAAAAQAgAAAAIQEAAGRycy9lMm9Eb2MueG1sUEsFBgAAAAAGAAYAWQEAAHwF&#10;AAAAAA==&#10;">
                <v:fill on="f" focussize="0,0"/>
                <v:stroke weight="1pt" color="#800008"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2273300</wp:posOffset>
                </wp:positionV>
                <wp:extent cx="6121400" cy="0"/>
                <wp:effectExtent l="0" t="0" r="0" b="0"/>
                <wp:wrapNone/>
                <wp:docPr id="9" name="直线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179pt;height:0pt;width:482pt;z-index:251667456;mso-width-relative:page;mso-height-relative:page;" filled="f" stroked="t" coordsize="21600,21600" o:gfxdata="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PxKK+1AAA&#10;AAgBAAAPAAAAAAAAAAEAIAAAACIAAABkcnMvZG93bnJldi54bWxQSwECFAAUAAAACACHTuJAGPPg&#10;bOkBAADdAwAADgAAAAAAAAABACAAAAAjAQAAZHJzL2Uyb0RvYy54bWxQSwUGAAAAAAYABgBZAQAA&#10;fgUAAAAA&#10;">
                <v:fill on="f" focussize="0,0"/>
                <v:stroke weight="1pt" color="#800008" joinstyle="round"/>
                <v:imagedata o:title=""/>
                <o:lock v:ext="edit" aspectratio="f"/>
              </v:line>
            </w:pict>
          </mc:Fallback>
        </mc:AlternateContent>
      </w:r>
      <w:r>
        <mc:AlternateContent>
          <mc:Choice Requires="wps">
            <w:drawing>
              <wp:anchor distT="0" distB="0" distL="114300" distR="114300" simplePos="0" relativeHeight="251666432" behindDoc="0" locked="1" layoutInCell="1" allowOverlap="1">
                <wp:simplePos x="0" y="0"/>
                <wp:positionH relativeFrom="margin">
                  <wp:posOffset>0</wp:posOffset>
                </wp:positionH>
                <wp:positionV relativeFrom="margin">
                  <wp:posOffset>9108440</wp:posOffset>
                </wp:positionV>
                <wp:extent cx="6120130" cy="363220"/>
                <wp:effectExtent l="0" t="0" r="13970" b="17780"/>
                <wp:wrapNone/>
                <wp:docPr id="8" name="fmFrame7"/>
                <wp:cNvGraphicFramePr/>
                <a:graphic xmlns:a="http://schemas.openxmlformats.org/drawingml/2006/main">
                  <a:graphicData uri="http://schemas.microsoft.com/office/word/2010/wordprocessingShape">
                    <wps:wsp>
                      <wps:cNvSpPr txBox="1"/>
                      <wps:spPr>
                        <a:xfrm>
                          <a:off x="0" y="0"/>
                          <a:ext cx="6120130" cy="363220"/>
                        </a:xfrm>
                        <a:prstGeom prst="rect">
                          <a:avLst/>
                        </a:prstGeom>
                        <a:solidFill>
                          <a:srgbClr val="FFFFFF"/>
                        </a:solidFill>
                        <a:ln>
                          <a:noFill/>
                        </a:ln>
                      </wps:spPr>
                      <wps:txbx>
                        <w:txbxContent>
                          <w:p>
                            <w:pPr>
                              <w:pStyle w:val="51"/>
                            </w:pPr>
                            <w:r>
                              <w:rPr>
                                <w:rFonts w:hint="eastAsia"/>
                              </w:rPr>
                              <w:t>揭阳市市场监督管理局</w:t>
                            </w:r>
                            <w:r>
                              <w:rPr>
                                <w:rStyle w:val="43"/>
                                <w:rFonts w:hint="eastAsia"/>
                              </w:rPr>
                              <w:t xml:space="preserve"> </w:t>
                            </w:r>
                            <w:r>
                              <w:rPr>
                                <w:rStyle w:val="43"/>
                                <w:rFonts w:hint="eastAsia"/>
                                <w:sz w:val="32"/>
                                <w:szCs w:val="32"/>
                              </w:rPr>
                              <w:t>发布</w:t>
                            </w:r>
                          </w:p>
                        </w:txbxContent>
                      </wps:txbx>
                      <wps:bodyPr wrap="square" lIns="0" tIns="0" rIns="0" bIns="0" upright="1"/>
                    </wps:wsp>
                  </a:graphicData>
                </a:graphic>
              </wp:anchor>
            </w:drawing>
          </mc:Choice>
          <mc:Fallback>
            <w:pict>
              <v:shape id="fmFrame7" o:spid="_x0000_s1026" o:spt="202" type="#_x0000_t202" style="position:absolute;left:0pt;margin-left:0pt;margin-top:717.2pt;height:28.6pt;width:481.9pt;mso-position-horizontal-relative:margin;mso-position-vertical-relative:margin;z-index:251666432;mso-width-relative:page;mso-height-relative:page;" fillcolor="#FFFFFF" filled="t" stroked="f" coordsize="21600,21600" o:gfxdata="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JVgbr2AAAAAoBAAAPAAAAAAAAAAEAIAAAACIAAABkcnMvZG93&#10;bnJldi54bWxQSwECFAAUAAAACACHTuJAje39HMcBAACmAwAADgAAAAAAAAABACAAAAAnAQAAZHJz&#10;L2Uyb0RvYy54bWxQSwUGAAAAAAYABgBZAQAAYAUAAAAA&#10;">
                <v:fill on="t" focussize="0,0"/>
                <v:stroke on="f"/>
                <v:imagedata o:title=""/>
                <o:lock v:ext="edit" aspectratio="f"/>
                <v:textbox inset="0mm,0mm,0mm,0mm">
                  <w:txbxContent>
                    <w:p>
                      <w:pPr>
                        <w:pStyle w:val="51"/>
                      </w:pPr>
                      <w:r>
                        <w:rPr>
                          <w:rFonts w:hint="eastAsia"/>
                        </w:rPr>
                        <w:t>揭阳市市场监督管理局</w:t>
                      </w:r>
                      <w:r>
                        <w:rPr>
                          <w:rStyle w:val="43"/>
                          <w:rFonts w:hint="eastAsia"/>
                        </w:rPr>
                        <w:t xml:space="preserve"> </w:t>
                      </w:r>
                      <w:r>
                        <w:rPr>
                          <w:rStyle w:val="43"/>
                          <w:rFonts w:hint="eastAsia"/>
                          <w:sz w:val="32"/>
                          <w:szCs w:val="32"/>
                        </w:rPr>
                        <w:t>发布</w:t>
                      </w:r>
                    </w:p>
                  </w:txbxContent>
                </v:textbox>
                <w10:anchorlock/>
              </v:shape>
            </w:pict>
          </mc:Fallback>
        </mc:AlternateContent>
      </w:r>
      <w:r>
        <mc:AlternateContent>
          <mc:Choice Requires="wps">
            <w:drawing>
              <wp:anchor distT="0" distB="0" distL="114300" distR="114300" simplePos="0" relativeHeight="251665408" behindDoc="0" locked="1" layoutInCell="1" allowOverlap="1">
                <wp:simplePos x="0" y="0"/>
                <wp:positionH relativeFrom="margin">
                  <wp:posOffset>4100830</wp:posOffset>
                </wp:positionH>
                <wp:positionV relativeFrom="margin">
                  <wp:posOffset>8563610</wp:posOffset>
                </wp:positionV>
                <wp:extent cx="2019300" cy="312420"/>
                <wp:effectExtent l="0" t="0" r="0" b="11430"/>
                <wp:wrapNone/>
                <wp:docPr id="7"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pPr>
                              <w:pStyle w:val="76"/>
                            </w:pPr>
                            <w:r>
                              <w:rPr>
                                <w:rFonts w:hint="eastAsia"/>
                                <w:lang w:val="en-US" w:eastAsia="zh-CN"/>
                              </w:rPr>
                              <w:t xml:space="preserve"> 2024-xx-xx</w:t>
                            </w:r>
                            <w:r>
                              <w:rPr>
                                <w:rFonts w:hint="eastAsia"/>
                              </w:rPr>
                              <w:t>实施</w:t>
                            </w:r>
                          </w:p>
                        </w:txbxContent>
                      </wps:txbx>
                      <wps:bodyPr wrap="square" lIns="0" tIns="0" rIns="0" bIns="0" upright="1"/>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5408;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v2q19oAAAANAQAADwAAAAAAAAABACAAAAAiAAAAZHJz&#10;L2Rvd25yZXYueG1sUEsBAhQAFAAAAAgAh07iQGw+FhLJAQAApgMAAA4AAAAAAAAAAQAgAAAAKQEA&#10;AGRycy9lMm9Eb2MueG1sUEsFBgAAAAAGAAYAWQEAAGQFAAAAAA==&#10;">
                <v:fill on="t" focussize="0,0"/>
                <v:stroke on="f"/>
                <v:imagedata o:title=""/>
                <o:lock v:ext="edit" aspectratio="f"/>
                <v:textbox inset="0mm,0mm,0mm,0mm">
                  <w:txbxContent>
                    <w:p>
                      <w:pPr>
                        <w:pStyle w:val="76"/>
                      </w:pPr>
                      <w:r>
                        <w:rPr>
                          <w:rFonts w:hint="eastAsia"/>
                          <w:lang w:val="en-US" w:eastAsia="zh-CN"/>
                        </w:rPr>
                        <w:t xml:space="preserve"> 2024-xx-xx</w:t>
                      </w:r>
                      <w:r>
                        <w:rPr>
                          <w:rFonts w:hint="eastAsia"/>
                        </w:rPr>
                        <w:t>实施</w:t>
                      </w:r>
                    </w:p>
                  </w:txbxContent>
                </v:textbox>
                <w10:anchorlock/>
              </v:shape>
            </w:pict>
          </mc:Fallback>
        </mc:AlternateContent>
      </w:r>
      <w:r>
        <mc:AlternateContent>
          <mc:Choice Requires="wps">
            <w:drawing>
              <wp:anchor distT="0" distB="0" distL="114300" distR="114300" simplePos="0" relativeHeight="251664384" behindDoc="0" locked="1" layoutInCell="1" allowOverlap="1">
                <wp:simplePos x="0" y="0"/>
                <wp:positionH relativeFrom="margin">
                  <wp:posOffset>0</wp:posOffset>
                </wp:positionH>
                <wp:positionV relativeFrom="margin">
                  <wp:posOffset>8563610</wp:posOffset>
                </wp:positionV>
                <wp:extent cx="2019300" cy="312420"/>
                <wp:effectExtent l="0" t="0" r="0" b="11430"/>
                <wp:wrapNone/>
                <wp:docPr id="6"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pPr>
                              <w:pStyle w:val="77"/>
                            </w:pPr>
                            <w:r>
                              <w:rPr>
                                <w:rFonts w:hint="eastAsia"/>
                                <w:lang w:val="en-US" w:eastAsia="zh-CN"/>
                              </w:rPr>
                              <w:t>2024-xx-xx</w:t>
                            </w:r>
                            <w:r>
                              <w:rPr>
                                <w:rFonts w:hint="eastAsia"/>
                              </w:rPr>
                              <w:t>发布</w:t>
                            </w:r>
                          </w:p>
                        </w:txbxContent>
                      </wps:txbx>
                      <wps:bodyPr wrap="square" lIns="0" tIns="0" rIns="0" bIns="0" upright="1"/>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4384;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82yojYAAAACgEAAA8AAAAAAAAAAQAgAAAAIgAAAGRycy9k&#10;b3ducmV2LnhtbFBLAQIUABQAAAAIAIdO4kDhYe2YyQEAAKYDAAAOAAAAAAAAAAEAIAAAACcBAABk&#10;cnMvZTJvRG9jLnhtbFBLBQYAAAAABgAGAFkBAABiBQAAAAA=&#10;">
                <v:fill on="t" focussize="0,0"/>
                <v:stroke on="f"/>
                <v:imagedata o:title=""/>
                <o:lock v:ext="edit" aspectratio="f"/>
                <v:textbox inset="0mm,0mm,0mm,0mm">
                  <w:txbxContent>
                    <w:p>
                      <w:pPr>
                        <w:pStyle w:val="77"/>
                      </w:pPr>
                      <w:r>
                        <w:rPr>
                          <w:rFonts w:hint="eastAsia"/>
                          <w:lang w:val="en-US" w:eastAsia="zh-CN"/>
                        </w:rPr>
                        <w:t>2024-xx-xx</w:t>
                      </w:r>
                      <w:r>
                        <w:rPr>
                          <w:rFonts w:hint="eastAsia"/>
                        </w:rPr>
                        <w:t>发布</w:t>
                      </w:r>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margin">
                  <wp:posOffset>0</wp:posOffset>
                </wp:positionH>
                <wp:positionV relativeFrom="margin">
                  <wp:posOffset>3635375</wp:posOffset>
                </wp:positionV>
                <wp:extent cx="5969000" cy="4681220"/>
                <wp:effectExtent l="0" t="0" r="12700" b="5080"/>
                <wp:wrapNone/>
                <wp:docPr id="5"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pPr>
                              <w:widowControl w:val="0"/>
                              <w:spacing w:line="680" w:lineRule="exact"/>
                              <w:jc w:val="center"/>
                              <w:textAlignment w:val="center"/>
                              <w:rPr>
                                <w:rFonts w:hint="eastAsia" w:ascii="黑体" w:hAnsi="Times New Roman" w:eastAsia="黑体" w:cs="Times New Roman"/>
                                <w:sz w:val="52"/>
                                <w:lang w:val="en-US" w:eastAsia="zh-CN" w:bidi="ar-SA"/>
                              </w:rPr>
                            </w:pPr>
                            <w:r>
                              <w:rPr>
                                <w:rFonts w:hint="eastAsia" w:ascii="黑体" w:hAnsi="黑体" w:eastAsia="黑体" w:cs="黑体"/>
                                <w:color w:val="434343"/>
                                <w:kern w:val="0"/>
                                <w:sz w:val="52"/>
                                <w:szCs w:val="52"/>
                              </w:rPr>
                              <w:t>“普薯32号”甘薯脱毒种苗繁育技术规范</w:t>
                            </w:r>
                          </w:p>
                          <w:p>
                            <w:pPr>
                              <w:widowControl w:val="0"/>
                              <w:spacing w:line="240" w:lineRule="auto"/>
                              <w:jc w:val="center"/>
                              <w:textAlignment w:val="center"/>
                              <w:rPr>
                                <w:rFonts w:hint="eastAsia" w:ascii="黑体" w:hAnsi="Times New Roman" w:eastAsia="黑体" w:cs="Times New Roman"/>
                                <w:sz w:val="10"/>
                                <w:szCs w:val="10"/>
                                <w:lang w:val="en-US" w:eastAsia="zh-CN" w:bidi="ar-SA"/>
                              </w:rPr>
                            </w:pPr>
                          </w:p>
                          <w:p>
                            <w:pPr>
                              <w:pStyle w:val="74"/>
                              <w:rPr>
                                <w:rFonts w:hint="default" w:ascii="Times New Roman" w:hAnsi="Times New Roman" w:eastAsia="宋体" w:cs="Times New Roman"/>
                                <w:color w:val="000000"/>
                                <w:szCs w:val="28"/>
                                <w:lang w:val="en-US" w:eastAsia="zh-CN"/>
                              </w:rPr>
                            </w:pPr>
                            <w:r>
                              <w:rPr>
                                <w:rFonts w:ascii="Times New Roman" w:hAnsi="Times New Roman" w:eastAsia="宋体" w:cs="Times New Roman"/>
                                <w:color w:val="000000"/>
                                <w:szCs w:val="28"/>
                              </w:rPr>
                              <w:t xml:space="preserve">Technical </w:t>
                            </w:r>
                            <w:r>
                              <w:rPr>
                                <w:rFonts w:hint="eastAsia" w:cs="Times New Roman"/>
                                <w:color w:val="000000"/>
                                <w:szCs w:val="28"/>
                                <w:lang w:val="en-US" w:eastAsia="zh-CN"/>
                              </w:rPr>
                              <w:t xml:space="preserve">code of practice </w:t>
                            </w:r>
                            <w:r>
                              <w:rPr>
                                <w:rFonts w:ascii="Times New Roman" w:hAnsi="Times New Roman" w:eastAsia="宋体" w:cs="Times New Roman"/>
                                <w:color w:val="000000"/>
                                <w:szCs w:val="28"/>
                              </w:rPr>
                              <w:t xml:space="preserve">for </w:t>
                            </w:r>
                            <w:r>
                              <w:rPr>
                                <w:rFonts w:hint="eastAsia" w:cs="Times New Roman"/>
                                <w:color w:val="000000"/>
                                <w:szCs w:val="28"/>
                                <w:lang w:val="en-US" w:eastAsia="zh-CN"/>
                              </w:rPr>
                              <w:t>virus-free</w:t>
                            </w:r>
                            <w:r>
                              <w:rPr>
                                <w:rFonts w:ascii="Times New Roman" w:hAnsi="Times New Roman" w:eastAsia="宋体" w:cs="Times New Roman"/>
                                <w:color w:val="000000"/>
                                <w:szCs w:val="28"/>
                              </w:rPr>
                              <w:t xml:space="preserve"> sweetpotato </w:t>
                            </w:r>
                            <w:r>
                              <w:rPr>
                                <w:rFonts w:hint="eastAsia" w:cs="Times New Roman"/>
                                <w:color w:val="000000"/>
                                <w:szCs w:val="28"/>
                                <w:lang w:val="en-US" w:eastAsia="zh-CN"/>
                              </w:rPr>
                              <w:t xml:space="preserve"> </w:t>
                            </w:r>
                            <w:r>
                              <w:rPr>
                                <w:rFonts w:ascii="Times New Roman" w:hAnsi="Times New Roman" w:eastAsia="宋体" w:cs="Times New Roman"/>
                                <w:color w:val="000000"/>
                                <w:szCs w:val="28"/>
                              </w:rPr>
                              <w:t>"Pushu No.32"</w:t>
                            </w:r>
                            <w:r>
                              <w:rPr>
                                <w:rFonts w:hint="eastAsia" w:cs="Times New Roman"/>
                                <w:color w:val="000000"/>
                                <w:szCs w:val="28"/>
                                <w:lang w:val="en-US" w:eastAsia="zh-CN"/>
                              </w:rPr>
                              <w:t xml:space="preserve"> seed roots or plant</w:t>
                            </w:r>
                          </w:p>
                          <w:p>
                            <w:pPr>
                              <w:pStyle w:val="95"/>
                            </w:pPr>
                          </w:p>
                          <w:p>
                            <w:pPr>
                              <w:pStyle w:val="85"/>
                              <w:rPr>
                                <w:rFonts w:hint="eastAsia"/>
                              </w:rPr>
                            </w:pPr>
                          </w:p>
                          <w:p>
                            <w:pPr>
                              <w:pStyle w:val="26"/>
                              <w:keepNext w:val="0"/>
                              <w:keepLines w:val="0"/>
                              <w:widowControl w:val="0"/>
                              <w:suppressLineNumbers w:val="0"/>
                              <w:spacing w:before="370" w:beforeAutospacing="0" w:after="0" w:afterAutospacing="0" w:line="400" w:lineRule="exact"/>
                              <w:ind w:left="0" w:right="0"/>
                              <w:jc w:val="center"/>
                              <w:rPr>
                                <w:sz w:val="32"/>
                                <w:szCs w:val="32"/>
                              </w:rPr>
                            </w:pPr>
                            <w:r>
                              <w:rPr>
                                <w:rFonts w:hint="eastAsia" w:ascii="Times New Roman" w:hAnsi="Times New Roman" w:eastAsia="宋体" w:cs="宋体"/>
                                <w:kern w:val="0"/>
                                <w:sz w:val="32"/>
                                <w:szCs w:val="32"/>
                                <w:lang w:val="en-US" w:eastAsia="zh-CN" w:bidi="ar"/>
                              </w:rPr>
                              <w:t>（</w:t>
                            </w:r>
                            <w:r>
                              <w:rPr>
                                <w:rFonts w:hint="eastAsia" w:cs="宋体"/>
                                <w:kern w:val="0"/>
                                <w:sz w:val="32"/>
                                <w:szCs w:val="32"/>
                                <w:lang w:val="en-US" w:eastAsia="zh-CN" w:bidi="ar"/>
                              </w:rPr>
                              <w:t>征求意见稿</w:t>
                            </w:r>
                            <w:r>
                              <w:rPr>
                                <w:rFonts w:hint="eastAsia" w:ascii="Times New Roman" w:hAnsi="Times New Roman" w:eastAsia="宋体" w:cs="宋体"/>
                                <w:kern w:val="0"/>
                                <w:sz w:val="32"/>
                                <w:szCs w:val="32"/>
                                <w:lang w:val="en-US" w:eastAsia="zh-CN" w:bidi="ar"/>
                              </w:rPr>
                              <w:t>）</w:t>
                            </w:r>
                          </w:p>
                          <w:p>
                            <w:pPr>
                              <w:pStyle w:val="97"/>
                              <w:rPr>
                                <w:rFonts w:hint="eastAsia"/>
                              </w:rPr>
                            </w:pPr>
                          </w:p>
                        </w:txbxContent>
                      </wps:txbx>
                      <wps:bodyPr wrap="square" lIns="0" tIns="0" rIns="0" bIns="0" upright="1"/>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3360;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UV59x2AAAAAkBAAAPAAAAAAAAAAEAIAAAACIAAABkcnMv&#10;ZG93bnJldi54bWxQSwECFAAUAAAACACHTuJA1kxAoMoBAACnAwAADgAAAAAAAAABACAAAAAnAQAA&#10;ZHJzL2Uyb0RvYy54bWxQSwUGAAAAAAYABgBZAQAAYwUAAAAA&#10;">
                <v:fill on="t" focussize="0,0"/>
                <v:stroke on="f"/>
                <v:imagedata o:title=""/>
                <o:lock v:ext="edit" aspectratio="f"/>
                <v:textbox inset="0mm,0mm,0mm,0mm">
                  <w:txbxContent>
                    <w:p>
                      <w:pPr>
                        <w:widowControl w:val="0"/>
                        <w:spacing w:line="680" w:lineRule="exact"/>
                        <w:jc w:val="center"/>
                        <w:textAlignment w:val="center"/>
                        <w:rPr>
                          <w:rFonts w:hint="eastAsia" w:ascii="黑体" w:hAnsi="Times New Roman" w:eastAsia="黑体" w:cs="Times New Roman"/>
                          <w:sz w:val="52"/>
                          <w:lang w:val="en-US" w:eastAsia="zh-CN" w:bidi="ar-SA"/>
                        </w:rPr>
                      </w:pPr>
                      <w:r>
                        <w:rPr>
                          <w:rFonts w:hint="eastAsia" w:ascii="黑体" w:hAnsi="黑体" w:eastAsia="黑体" w:cs="黑体"/>
                          <w:color w:val="434343"/>
                          <w:kern w:val="0"/>
                          <w:sz w:val="52"/>
                          <w:szCs w:val="52"/>
                        </w:rPr>
                        <w:t>“普薯32号”甘薯脱毒种苗繁育技术规范</w:t>
                      </w:r>
                    </w:p>
                    <w:p>
                      <w:pPr>
                        <w:widowControl w:val="0"/>
                        <w:spacing w:line="240" w:lineRule="auto"/>
                        <w:jc w:val="center"/>
                        <w:textAlignment w:val="center"/>
                        <w:rPr>
                          <w:rFonts w:hint="eastAsia" w:ascii="黑体" w:hAnsi="Times New Roman" w:eastAsia="黑体" w:cs="Times New Roman"/>
                          <w:sz w:val="10"/>
                          <w:szCs w:val="10"/>
                          <w:lang w:val="en-US" w:eastAsia="zh-CN" w:bidi="ar-SA"/>
                        </w:rPr>
                      </w:pPr>
                    </w:p>
                    <w:p>
                      <w:pPr>
                        <w:pStyle w:val="74"/>
                        <w:rPr>
                          <w:rFonts w:hint="default" w:ascii="Times New Roman" w:hAnsi="Times New Roman" w:eastAsia="宋体" w:cs="Times New Roman"/>
                          <w:color w:val="000000"/>
                          <w:szCs w:val="28"/>
                          <w:lang w:val="en-US" w:eastAsia="zh-CN"/>
                        </w:rPr>
                      </w:pPr>
                      <w:r>
                        <w:rPr>
                          <w:rFonts w:ascii="Times New Roman" w:hAnsi="Times New Roman" w:eastAsia="宋体" w:cs="Times New Roman"/>
                          <w:color w:val="000000"/>
                          <w:szCs w:val="28"/>
                        </w:rPr>
                        <w:t xml:space="preserve">Technical </w:t>
                      </w:r>
                      <w:r>
                        <w:rPr>
                          <w:rFonts w:hint="eastAsia" w:cs="Times New Roman"/>
                          <w:color w:val="000000"/>
                          <w:szCs w:val="28"/>
                          <w:lang w:val="en-US" w:eastAsia="zh-CN"/>
                        </w:rPr>
                        <w:t xml:space="preserve">code of practice </w:t>
                      </w:r>
                      <w:r>
                        <w:rPr>
                          <w:rFonts w:ascii="Times New Roman" w:hAnsi="Times New Roman" w:eastAsia="宋体" w:cs="Times New Roman"/>
                          <w:color w:val="000000"/>
                          <w:szCs w:val="28"/>
                        </w:rPr>
                        <w:t xml:space="preserve">for </w:t>
                      </w:r>
                      <w:r>
                        <w:rPr>
                          <w:rFonts w:hint="eastAsia" w:cs="Times New Roman"/>
                          <w:color w:val="000000"/>
                          <w:szCs w:val="28"/>
                          <w:lang w:val="en-US" w:eastAsia="zh-CN"/>
                        </w:rPr>
                        <w:t>virus-free</w:t>
                      </w:r>
                      <w:r>
                        <w:rPr>
                          <w:rFonts w:ascii="Times New Roman" w:hAnsi="Times New Roman" w:eastAsia="宋体" w:cs="Times New Roman"/>
                          <w:color w:val="000000"/>
                          <w:szCs w:val="28"/>
                        </w:rPr>
                        <w:t xml:space="preserve"> sweetpotato </w:t>
                      </w:r>
                      <w:r>
                        <w:rPr>
                          <w:rFonts w:hint="eastAsia" w:cs="Times New Roman"/>
                          <w:color w:val="000000"/>
                          <w:szCs w:val="28"/>
                          <w:lang w:val="en-US" w:eastAsia="zh-CN"/>
                        </w:rPr>
                        <w:t xml:space="preserve"> </w:t>
                      </w:r>
                      <w:r>
                        <w:rPr>
                          <w:rFonts w:ascii="Times New Roman" w:hAnsi="Times New Roman" w:eastAsia="宋体" w:cs="Times New Roman"/>
                          <w:color w:val="000000"/>
                          <w:szCs w:val="28"/>
                        </w:rPr>
                        <w:t>"Pushu No.32"</w:t>
                      </w:r>
                      <w:r>
                        <w:rPr>
                          <w:rFonts w:hint="eastAsia" w:cs="Times New Roman"/>
                          <w:color w:val="000000"/>
                          <w:szCs w:val="28"/>
                          <w:lang w:val="en-US" w:eastAsia="zh-CN"/>
                        </w:rPr>
                        <w:t xml:space="preserve"> seed roots or plant</w:t>
                      </w:r>
                    </w:p>
                    <w:p>
                      <w:pPr>
                        <w:pStyle w:val="95"/>
                      </w:pPr>
                    </w:p>
                    <w:p>
                      <w:pPr>
                        <w:pStyle w:val="85"/>
                        <w:rPr>
                          <w:rFonts w:hint="eastAsia"/>
                        </w:rPr>
                      </w:pPr>
                    </w:p>
                    <w:p>
                      <w:pPr>
                        <w:pStyle w:val="26"/>
                        <w:keepNext w:val="0"/>
                        <w:keepLines w:val="0"/>
                        <w:widowControl w:val="0"/>
                        <w:suppressLineNumbers w:val="0"/>
                        <w:spacing w:before="370" w:beforeAutospacing="0" w:after="0" w:afterAutospacing="0" w:line="400" w:lineRule="exact"/>
                        <w:ind w:left="0" w:right="0"/>
                        <w:jc w:val="center"/>
                        <w:rPr>
                          <w:sz w:val="32"/>
                          <w:szCs w:val="32"/>
                        </w:rPr>
                      </w:pPr>
                      <w:r>
                        <w:rPr>
                          <w:rFonts w:hint="eastAsia" w:ascii="Times New Roman" w:hAnsi="Times New Roman" w:eastAsia="宋体" w:cs="宋体"/>
                          <w:kern w:val="0"/>
                          <w:sz w:val="32"/>
                          <w:szCs w:val="32"/>
                          <w:lang w:val="en-US" w:eastAsia="zh-CN" w:bidi="ar"/>
                        </w:rPr>
                        <w:t>（</w:t>
                      </w:r>
                      <w:r>
                        <w:rPr>
                          <w:rFonts w:hint="eastAsia" w:cs="宋体"/>
                          <w:kern w:val="0"/>
                          <w:sz w:val="32"/>
                          <w:szCs w:val="32"/>
                          <w:lang w:val="en-US" w:eastAsia="zh-CN" w:bidi="ar"/>
                        </w:rPr>
                        <w:t>征求意见稿</w:t>
                      </w:r>
                      <w:r>
                        <w:rPr>
                          <w:rFonts w:hint="eastAsia" w:ascii="Times New Roman" w:hAnsi="Times New Roman" w:eastAsia="宋体" w:cs="宋体"/>
                          <w:kern w:val="0"/>
                          <w:sz w:val="32"/>
                          <w:szCs w:val="32"/>
                          <w:lang w:val="en-US" w:eastAsia="zh-CN" w:bidi="ar"/>
                        </w:rPr>
                        <w:t>）</w:t>
                      </w:r>
                    </w:p>
                    <w:p>
                      <w:pPr>
                        <w:pStyle w:val="97"/>
                        <w:rPr>
                          <w:rFonts w:hint="eastAsia"/>
                        </w:rPr>
                      </w:pP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1401445</wp:posOffset>
                </wp:positionV>
                <wp:extent cx="5802630" cy="860425"/>
                <wp:effectExtent l="0" t="0" r="7620" b="15875"/>
                <wp:wrapNone/>
                <wp:docPr id="4" name="fmFrame3"/>
                <wp:cNvGraphicFramePr/>
                <a:graphic xmlns:a="http://schemas.openxmlformats.org/drawingml/2006/main">
                  <a:graphicData uri="http://schemas.microsoft.com/office/word/2010/wordprocessingShape">
                    <wps:wsp>
                      <wps:cNvSpPr txBox="1"/>
                      <wps:spPr>
                        <a:xfrm>
                          <a:off x="0" y="0"/>
                          <a:ext cx="5802630" cy="860425"/>
                        </a:xfrm>
                        <a:prstGeom prst="rect">
                          <a:avLst/>
                        </a:prstGeom>
                        <a:solidFill>
                          <a:srgbClr val="FFFFFF"/>
                        </a:solidFill>
                        <a:ln>
                          <a:noFill/>
                        </a:ln>
                      </wps:spPr>
                      <wps:txbx>
                        <w:txbxContent>
                          <w:p>
                            <w:pPr>
                              <w:pStyle w:val="55"/>
                              <w:wordWrap w:val="0"/>
                              <w:rPr>
                                <w:rFonts w:hint="eastAsia" w:eastAsia="宋体"/>
                                <w:lang w:eastAsia="zh-CN"/>
                              </w:rPr>
                            </w:pPr>
                            <w:r>
                              <w:t>DB</w:t>
                            </w:r>
                            <w:r>
                              <w:rPr>
                                <w:rFonts w:hint="eastAsia"/>
                              </w:rPr>
                              <w:t>4452</w:t>
                            </w:r>
                            <w:r>
                              <w:t>/T</w:t>
                            </w:r>
                            <w:r>
                              <w:rPr>
                                <w:rFonts w:hint="eastAsia"/>
                                <w:lang w:val="en-US" w:eastAsia="zh-CN"/>
                              </w:rPr>
                              <w:t xml:space="preserve"> xx-2024</w:t>
                            </w:r>
                            <w:r>
                              <w:t xml:space="preserve"> </w:t>
                            </w:r>
                            <w:r>
                              <w:rPr>
                                <w:rFonts w:hint="eastAsia"/>
                                <w:lang w:val="en-US" w:eastAsia="zh-CN"/>
                              </w:rPr>
                              <w:t xml:space="preserve"> </w:t>
                            </w:r>
                          </w:p>
                        </w:txbxContent>
                      </wps:txbx>
                      <wps:bodyPr wrap="square" lIns="0" tIns="0" rIns="0" bIns="0" upright="1"/>
                    </wps:wsp>
                  </a:graphicData>
                </a:graphic>
              </wp:anchor>
            </w:drawing>
          </mc:Choice>
          <mc:Fallback>
            <w:pict>
              <v:shape id="fmFrame3" o:spid="_x0000_s1026" o:spt="202" type="#_x0000_t202" style="position:absolute;left:0pt;margin-left:0pt;margin-top:110.35pt;height:67.75pt;width:456.9pt;mso-position-horizontal-relative:margin;mso-position-vertical-relative:margin;z-index:251662336;mso-width-relative:page;mso-height-relative:page;" fillcolor="#FFFFFF" filled="t" stroked="f" coordsize="21600,21600" o:gfxdata="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FAaT72AAAAAgBAAAPAAAAAAAAAAEAIAAAACIAAABkcnMvZG93&#10;bnJldi54bWxQSwECFAAUAAAACACHTuJAasu8CscBAACmAwAADgAAAAAAAAABACAAAAAnAQAAZHJz&#10;L2Uyb0RvYy54bWxQSwUGAAAAAAYABgBZAQAAYAUAAAAA&#10;">
                <v:fill on="t" focussize="0,0"/>
                <v:stroke on="f"/>
                <v:imagedata o:title=""/>
                <o:lock v:ext="edit" aspectratio="f"/>
                <v:textbox inset="0mm,0mm,0mm,0mm">
                  <w:txbxContent>
                    <w:p>
                      <w:pPr>
                        <w:pStyle w:val="55"/>
                        <w:wordWrap w:val="0"/>
                        <w:rPr>
                          <w:rFonts w:hint="eastAsia" w:eastAsia="宋体"/>
                          <w:lang w:eastAsia="zh-CN"/>
                        </w:rPr>
                      </w:pPr>
                      <w:r>
                        <w:t>DB</w:t>
                      </w:r>
                      <w:r>
                        <w:rPr>
                          <w:rFonts w:hint="eastAsia"/>
                        </w:rPr>
                        <w:t>4452</w:t>
                      </w:r>
                      <w:r>
                        <w:t>/T</w:t>
                      </w:r>
                      <w:r>
                        <w:rPr>
                          <w:rFonts w:hint="eastAsia"/>
                          <w:lang w:val="en-US" w:eastAsia="zh-CN"/>
                        </w:rPr>
                        <w:t xml:space="preserve"> xx-2024</w:t>
                      </w:r>
                      <w:r>
                        <w:t xml:space="preserve"> </w:t>
                      </w:r>
                      <w:r>
                        <w:rPr>
                          <w:rFonts w:hint="eastAsia"/>
                          <w:lang w:val="en-US" w:eastAsia="zh-CN"/>
                        </w:rPr>
                        <w:t xml:space="preserve"> </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2549525</wp:posOffset>
                </wp:positionH>
                <wp:positionV relativeFrom="margin">
                  <wp:posOffset>107315</wp:posOffset>
                </wp:positionV>
                <wp:extent cx="3175000" cy="720090"/>
                <wp:effectExtent l="0" t="0" r="6350" b="3810"/>
                <wp:wrapNone/>
                <wp:docPr id="3" name="fmFrame8"/>
                <wp:cNvGraphicFramePr/>
                <a:graphic xmlns:a="http://schemas.openxmlformats.org/drawingml/2006/main">
                  <a:graphicData uri="http://schemas.microsoft.com/office/word/2010/wordprocessingShape">
                    <wps:wsp>
                      <wps:cNvSpPr txBox="1"/>
                      <wps:spPr>
                        <a:xfrm>
                          <a:off x="0" y="0"/>
                          <a:ext cx="3175000" cy="720090"/>
                        </a:xfrm>
                        <a:prstGeom prst="rect">
                          <a:avLst/>
                        </a:prstGeom>
                        <a:solidFill>
                          <a:srgbClr val="FFFFFF"/>
                        </a:solidFill>
                        <a:ln>
                          <a:noFill/>
                        </a:ln>
                      </wps:spPr>
                      <wps:txbx>
                        <w:txbxContent>
                          <w:p>
                            <w:pPr>
                              <w:pStyle w:val="49"/>
                              <w:rPr>
                                <w:rFonts w:hint="eastAsia"/>
                              </w:rPr>
                            </w:pPr>
                            <w:r>
                              <w:t>DB</w:t>
                            </w:r>
                            <w:r>
                              <w:rPr>
                                <w:rFonts w:hint="eastAsia"/>
                              </w:rPr>
                              <w:t>/4452</w:t>
                            </w:r>
                          </w:p>
                        </w:txbxContent>
                      </wps:txbx>
                      <wps:bodyPr wrap="square" lIns="0" tIns="0" rIns="0" bIns="0" upright="1"/>
                    </wps:wsp>
                  </a:graphicData>
                </a:graphic>
              </wp:anchor>
            </w:drawing>
          </mc:Choice>
          <mc:Fallback>
            <w:pict>
              <v:shape id="fmFrame8" o:spid="_x0000_s1026" o:spt="202" type="#_x0000_t202" style="position:absolute;left:0pt;margin-left:200.75pt;margin-top:8.45pt;height:56.7pt;width:250pt;mso-position-horizontal-relative:margin;mso-position-vertical-relative:margin;z-index:251661312;mso-width-relative:page;mso-height-relative:page;" fillcolor="#FFFFFF" filled="t" stroked="f" coordsize="21600,21600" o:gfxdata="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lZOzzYAAAACgEAAA8AAAAAAAAAAQAgAAAAIgAAAGRycy9k&#10;b3ducmV2LnhtbFBLAQIUABQAAAAIAIdO4kDVCOgLyQEAAKYDAAAOAAAAAAAAAAEAIAAAACcBAABk&#10;cnMvZTJvRG9jLnhtbFBLBQYAAAAABgAGAFkBAABiBQAAAAA=&#10;">
                <v:fill on="t" focussize="0,0"/>
                <v:stroke on="f"/>
                <v:imagedata o:title=""/>
                <o:lock v:ext="edit" aspectratio="f"/>
                <v:textbox inset="0mm,0mm,0mm,0mm">
                  <w:txbxContent>
                    <w:p>
                      <w:pPr>
                        <w:pStyle w:val="49"/>
                        <w:rPr>
                          <w:rFonts w:hint="eastAsia"/>
                        </w:rPr>
                      </w:pPr>
                      <w:r>
                        <w:t>DB</w:t>
                      </w:r>
                      <w:r>
                        <w:rPr>
                          <w:rFonts w:hint="eastAsia"/>
                        </w:rPr>
                        <w:t>/4452</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1010920</wp:posOffset>
                </wp:positionV>
                <wp:extent cx="6120130" cy="391160"/>
                <wp:effectExtent l="0" t="0" r="13970" b="8890"/>
                <wp:wrapNone/>
                <wp:docPr id="2"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pPr>
                              <w:pStyle w:val="57"/>
                            </w:pPr>
                            <w:r>
                              <w:rPr>
                                <w:rFonts w:hint="eastAsia"/>
                              </w:rPr>
                              <w:t>揭阳市地方标准</w:t>
                            </w:r>
                          </w:p>
                        </w:txbxContent>
                      </wps:txbx>
                      <wps:bodyPr wrap="square" lIns="0" tIns="0" rIns="0" bIns="0" upright="1"/>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0288;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GDkcF1wAAAAgBAAAPAAAAAAAAAAEAIAAAACIAAABkcnMvZG93&#10;bnJldi54bWxQSwECFAAUAAAACACHTuJA7DsoP8gBAACmAwAADgAAAAAAAAABACAAAAAmAQAAZHJz&#10;L2Uyb0RvYy54bWxQSwUGAAAAAAYABgBZAQAAYAUAAAAA&#10;">
                <v:fill on="t" focussize="0,0"/>
                <v:stroke on="f"/>
                <v:imagedata o:title=""/>
                <o:lock v:ext="edit" aspectratio="f"/>
                <v:textbox inset="0mm,0mm,0mm,0mm">
                  <w:txbxContent>
                    <w:p>
                      <w:pPr>
                        <w:pStyle w:val="57"/>
                      </w:pPr>
                      <w:r>
                        <w:rPr>
                          <w:rFonts w:hint="eastAsia"/>
                        </w:rPr>
                        <w:t>揭阳市地方标准</w:t>
                      </w:r>
                    </w:p>
                  </w:txbxContent>
                </v:textbox>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0</wp:posOffset>
                </wp:positionV>
                <wp:extent cx="1800225" cy="657860"/>
                <wp:effectExtent l="0" t="0" r="9525" b="8890"/>
                <wp:wrapNone/>
                <wp:docPr id="1" name="fmFrame1"/>
                <wp:cNvGraphicFramePr/>
                <a:graphic xmlns:a="http://schemas.openxmlformats.org/drawingml/2006/main">
                  <a:graphicData uri="http://schemas.microsoft.com/office/word/2010/wordprocessingShape">
                    <wps:wsp>
                      <wps:cNvSpPr txBox="1"/>
                      <wps:spPr>
                        <a:xfrm>
                          <a:off x="0" y="0"/>
                          <a:ext cx="1800225" cy="657860"/>
                        </a:xfrm>
                        <a:prstGeom prst="rect">
                          <a:avLst/>
                        </a:prstGeom>
                        <a:solidFill>
                          <a:srgbClr val="FFFFFF"/>
                        </a:solidFill>
                        <a:ln>
                          <a:noFill/>
                        </a:ln>
                      </wps:spPr>
                      <wps:txbx>
                        <w:txbxContent>
                          <w:p>
                            <w:pPr>
                              <w:pStyle w:val="82"/>
                              <w:rPr>
                                <w:rFonts w:hint="eastAsia"/>
                                <w:sz w:val="21"/>
                                <w:szCs w:val="21"/>
                                <w:lang w:val="en-US" w:eastAsia="zh-CN"/>
                              </w:rPr>
                            </w:pPr>
                            <w:r>
                              <w:rPr>
                                <w:rFonts w:hint="eastAsia"/>
                                <w:sz w:val="21"/>
                                <w:szCs w:val="21"/>
                                <w:lang w:val="en-US" w:eastAsia="zh-CN"/>
                              </w:rPr>
                              <w:t>ICS 65.020.20</w:t>
                            </w:r>
                          </w:p>
                          <w:p>
                            <w:pPr>
                              <w:pStyle w:val="82"/>
                              <w:rPr>
                                <w:rFonts w:hint="default"/>
                                <w:sz w:val="21"/>
                                <w:szCs w:val="21"/>
                                <w:lang w:val="en-US" w:eastAsia="zh-CN"/>
                              </w:rPr>
                            </w:pPr>
                            <w:r>
                              <w:rPr>
                                <w:rFonts w:hint="eastAsia"/>
                                <w:sz w:val="21"/>
                                <w:szCs w:val="21"/>
                                <w:lang w:val="en-US" w:eastAsia="zh-CN"/>
                              </w:rPr>
                              <w:t>CCS B05</w:t>
                            </w:r>
                          </w:p>
                        </w:txbxContent>
                      </wps:txbx>
                      <wps:bodyPr wrap="square" lIns="0" tIns="0" rIns="0" bIns="0" upright="1"/>
                    </wps:wsp>
                  </a:graphicData>
                </a:graphic>
              </wp:anchor>
            </w:drawing>
          </mc:Choice>
          <mc:Fallback>
            <w:pict>
              <v:shape id="fmFrame1" o:spid="_x0000_s1026" o:spt="202" type="#_x0000_t202" style="position:absolute;left:0pt;margin-left:0pt;margin-top:0pt;height:51.8pt;width:141.75pt;mso-position-horizontal-relative:margin;mso-position-vertical-relative:margin;z-index:251659264;mso-width-relative:page;mso-height-relative:page;" fillcolor="#FFFFFF" filled="t" stroked="f" coordsize="21600,21600" o:gfxdata="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n4odc1QAAAAUBAAAPAAAAAAAAAAEAIAAAACIAAABkcnMvZG93bnJl&#10;di54bWxQSwECFAAUAAAACACHTuJAu4dkP8cBAACmAwAADgAAAAAAAAABACAAAAAkAQAAZHJzL2Uy&#10;b0RvYy54bWxQSwUGAAAAAAYABgBZAQAAXQUAAAAA&#10;">
                <v:fill on="t" focussize="0,0"/>
                <v:stroke on="f"/>
                <v:imagedata o:title=""/>
                <o:lock v:ext="edit" aspectratio="f"/>
                <v:textbox inset="0mm,0mm,0mm,0mm">
                  <w:txbxContent>
                    <w:p>
                      <w:pPr>
                        <w:pStyle w:val="82"/>
                        <w:rPr>
                          <w:rFonts w:hint="eastAsia"/>
                          <w:sz w:val="21"/>
                          <w:szCs w:val="21"/>
                          <w:lang w:val="en-US" w:eastAsia="zh-CN"/>
                        </w:rPr>
                      </w:pPr>
                      <w:r>
                        <w:rPr>
                          <w:rFonts w:hint="eastAsia"/>
                          <w:sz w:val="21"/>
                          <w:szCs w:val="21"/>
                          <w:lang w:val="en-US" w:eastAsia="zh-CN"/>
                        </w:rPr>
                        <w:t>ICS 65.020.20</w:t>
                      </w:r>
                    </w:p>
                    <w:p>
                      <w:pPr>
                        <w:pStyle w:val="82"/>
                        <w:rPr>
                          <w:rFonts w:hint="default"/>
                          <w:sz w:val="21"/>
                          <w:szCs w:val="21"/>
                          <w:lang w:val="en-US" w:eastAsia="zh-CN"/>
                        </w:rPr>
                      </w:pPr>
                      <w:r>
                        <w:rPr>
                          <w:rFonts w:hint="eastAsia"/>
                          <w:sz w:val="21"/>
                          <w:szCs w:val="21"/>
                          <w:lang w:val="en-US" w:eastAsia="zh-CN"/>
                        </w:rPr>
                        <w:t>CCS B05</w:t>
                      </w:r>
                    </w:p>
                  </w:txbxContent>
                </v:textbox>
                <w10:anchorlock/>
              </v:shape>
            </w:pict>
          </mc:Fallback>
        </mc:AlternateContent>
      </w:r>
    </w:p>
    <w:bookmarkEnd w:id="0"/>
    <w:p>
      <w:pPr>
        <w:pStyle w:val="71"/>
        <w:shd w:val="clear" w:color="FFFFFF" w:fill="FFFFFF"/>
        <w:ind w:left="0" w:firstLine="0"/>
        <w:rPr>
          <w:rFonts w:hint="eastAsia" w:hAnsi="Times New Roman" w:cs="Times New Roman"/>
        </w:rPr>
      </w:pPr>
      <w:bookmarkStart w:id="1" w:name="_Toc61855728"/>
      <w:bookmarkStart w:id="2" w:name="SectionMark2"/>
      <w:r>
        <w:rPr>
          <w:rFonts w:hint="eastAsia" w:hAnsi="Times New Roman" w:cs="Times New Roman"/>
        </w:rPr>
        <w:t>前    言</w:t>
      </w:r>
      <w:bookmarkEnd w:id="1"/>
    </w:p>
    <w:p>
      <w:pPr>
        <w:pStyle w:val="48"/>
        <w:ind w:firstLine="420"/>
        <w:rPr>
          <w:rFonts w:hint="eastAsia"/>
        </w:rPr>
      </w:pPr>
    </w:p>
    <w:p>
      <w:pPr>
        <w:pStyle w:val="48"/>
        <w:ind w:firstLine="420"/>
        <w:rPr>
          <w:rFonts w:hint="eastAsia"/>
        </w:rPr>
      </w:pPr>
      <w:r>
        <w:rPr>
          <w:rFonts w:hint="eastAsia"/>
        </w:rPr>
        <w:t>本文件按照GB/T 1. 1—2020《标准化工作导则  第1部分：标准化文件的结构和起草规则》的规定起草。</w:t>
      </w:r>
    </w:p>
    <w:p>
      <w:pPr>
        <w:pStyle w:val="48"/>
        <w:ind w:firstLine="420"/>
        <w:rPr>
          <w:rFonts w:hint="eastAsia"/>
        </w:rPr>
      </w:pPr>
      <w:r>
        <w:rPr>
          <w:rFonts w:hint="eastAsia"/>
        </w:rPr>
        <w:t>请注意本文件的某些内容可能涉及专利。本文件的发布机构不承担识别专利的责任。</w:t>
      </w:r>
    </w:p>
    <w:p>
      <w:pPr>
        <w:pStyle w:val="48"/>
        <w:ind w:firstLine="420"/>
        <w:rPr>
          <w:rFonts w:hint="eastAsia"/>
        </w:rPr>
      </w:pPr>
      <w:r>
        <w:rPr>
          <w:rFonts w:hint="eastAsia"/>
        </w:rPr>
        <w:t>本文件由揭阳市农业农村局提出</w:t>
      </w:r>
      <w:r>
        <w:rPr>
          <w:rFonts w:hint="eastAsia"/>
          <w:lang w:eastAsia="zh-CN"/>
        </w:rPr>
        <w:t>并归口</w:t>
      </w:r>
      <w:r>
        <w:rPr>
          <w:rFonts w:hint="eastAsia"/>
        </w:rPr>
        <w:t xml:space="preserve">。 </w:t>
      </w:r>
    </w:p>
    <w:p>
      <w:pPr>
        <w:pStyle w:val="48"/>
        <w:ind w:firstLine="420"/>
        <w:rPr>
          <w:rFonts w:hint="eastAsia" w:eastAsia="宋体"/>
          <w:lang w:eastAsia="zh-CN"/>
        </w:rPr>
      </w:pPr>
      <w:r>
        <w:rPr>
          <w:rFonts w:hint="eastAsia"/>
        </w:rPr>
        <w:t>本文件起草单位：普宁市农业科学研究所</w:t>
      </w:r>
      <w:r>
        <w:rPr>
          <w:rFonts w:hint="eastAsia"/>
          <w:lang w:eastAsia="zh-CN"/>
        </w:rPr>
        <w:t>。</w:t>
      </w:r>
    </w:p>
    <w:p>
      <w:pPr>
        <w:pStyle w:val="48"/>
        <w:ind w:firstLine="420"/>
        <w:rPr>
          <w:rFonts w:hint="eastAsia"/>
        </w:rPr>
        <w:sectPr>
          <w:headerReference r:id="rId7" w:type="default"/>
          <w:footerReference r:id="rId8" w:type="default"/>
          <w:pgSz w:w="11907" w:h="16839"/>
          <w:pgMar w:top="1418" w:right="1134" w:bottom="1134" w:left="1418" w:header="1418" w:footer="851" w:gutter="0"/>
          <w:pgNumType w:fmt="upperRoman"/>
          <w:cols w:space="720" w:num="1"/>
          <w:docGrid w:type="lines" w:linePitch="312" w:charSpace="0"/>
        </w:sectPr>
      </w:pPr>
      <w:r>
        <w:rPr>
          <w:rFonts w:hint="eastAsia"/>
        </w:rPr>
        <w:t>本文件主要起草人：冯顺洪、陈晓琼、张松鑫、</w:t>
      </w:r>
      <w:r>
        <w:rPr>
          <w:rFonts w:hint="eastAsia"/>
          <w:lang w:val="en-US" w:eastAsia="zh-CN"/>
        </w:rPr>
        <w:t>钟俊昌、</w:t>
      </w:r>
      <w:r>
        <w:rPr>
          <w:rFonts w:hint="eastAsia"/>
        </w:rPr>
        <w:t>陈嘉玲、</w:t>
      </w:r>
      <w:r>
        <w:rPr>
          <w:rFonts w:hint="eastAsia"/>
          <w:lang w:val="en-US" w:eastAsia="zh-CN"/>
        </w:rPr>
        <w:t>谢漫丽</w:t>
      </w:r>
      <w:r>
        <w:rPr>
          <w:rFonts w:hint="eastAsia"/>
        </w:rPr>
        <w:t>、</w:t>
      </w:r>
      <w:r>
        <w:rPr>
          <w:rFonts w:hint="eastAsia"/>
          <w:lang w:val="en-US" w:eastAsia="zh-CN"/>
        </w:rPr>
        <w:t>方洁丽、谢江丽、</w:t>
      </w:r>
      <w:r>
        <w:rPr>
          <w:rFonts w:hint="eastAsia"/>
        </w:rPr>
        <w:t>翁淑芬</w:t>
      </w:r>
      <w:r>
        <w:rPr>
          <w:rFonts w:hint="eastAsia"/>
          <w:lang w:eastAsia="zh-CN"/>
        </w:rPr>
        <w:t>、</w:t>
      </w:r>
      <w:r>
        <w:rPr>
          <w:rFonts w:hint="eastAsia"/>
          <w:lang w:val="en-US" w:eastAsia="zh-CN"/>
        </w:rPr>
        <w:t>黄林珊</w:t>
      </w:r>
      <w:r>
        <w:rPr>
          <w:rFonts w:hint="eastAsia"/>
        </w:rPr>
        <w:t>。</w:t>
      </w:r>
    </w:p>
    <w:bookmarkEnd w:id="2"/>
    <w:p>
      <w:pPr>
        <w:jc w:val="center"/>
        <w:rPr>
          <w:rFonts w:hint="eastAsia" w:ascii="黑体" w:hAnsi="黑体" w:eastAsia="黑体" w:cs="黑体"/>
          <w:color w:val="434343"/>
          <w:kern w:val="0"/>
          <w:sz w:val="32"/>
          <w:szCs w:val="32"/>
        </w:rPr>
      </w:pPr>
      <w:bookmarkStart w:id="3" w:name="SectionMark4"/>
      <w:bookmarkStart w:id="4" w:name="_Toc61855729"/>
    </w:p>
    <w:p>
      <w:pPr>
        <w:jc w:val="center"/>
        <w:rPr>
          <w:rFonts w:ascii="黑体" w:hAnsi="黑体" w:eastAsia="黑体"/>
          <w:sz w:val="32"/>
          <w:szCs w:val="32"/>
        </w:rPr>
      </w:pPr>
      <w:r>
        <w:rPr>
          <w:rFonts w:hint="eastAsia" w:ascii="黑体" w:hAnsi="黑体" w:eastAsia="黑体" w:cs="黑体"/>
          <w:color w:val="434343"/>
          <w:kern w:val="0"/>
          <w:sz w:val="32"/>
          <w:szCs w:val="32"/>
        </w:rPr>
        <w:t>“普薯32号”甘薯脱毒种苗繁育技术规范</w:t>
      </w:r>
    </w:p>
    <w:bookmarkEnd w:id="3"/>
    <w:bookmarkEnd w:id="4"/>
    <w:p>
      <w:pPr>
        <w:pStyle w:val="103"/>
        <w:numPr>
          <w:ilvl w:val="1"/>
          <w:numId w:val="0"/>
        </w:numPr>
        <w:tabs>
          <w:tab w:val="clear" w:pos="840"/>
        </w:tabs>
        <w:spacing w:before="312" w:after="312"/>
      </w:pPr>
      <w:r>
        <w:t>1</w:t>
      </w:r>
      <w:r>
        <w:rPr>
          <w:rFonts w:hint="eastAsia"/>
          <w:lang w:val="en-US" w:eastAsia="zh-CN"/>
        </w:rPr>
        <w:t xml:space="preserve">  </w:t>
      </w:r>
      <w:r>
        <w:t>范围</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outlineLvl w:val="1"/>
        <w:rPr>
          <w:rFonts w:hint="eastAsia" w:ascii="宋体" w:hAnsi="宋体"/>
          <w:kern w:val="0"/>
          <w:szCs w:val="20"/>
        </w:rPr>
      </w:pPr>
      <w:r>
        <w:rPr>
          <w:rFonts w:hint="eastAsia" w:ascii="宋体" w:hAnsi="宋体"/>
          <w:kern w:val="0"/>
          <w:szCs w:val="20"/>
        </w:rPr>
        <w:t>本文件规定了“普薯32号”</w:t>
      </w:r>
      <w:r>
        <w:rPr>
          <w:rFonts w:hint="eastAsia" w:ascii="宋体" w:hAnsi="宋体"/>
          <w:kern w:val="0"/>
          <w:szCs w:val="20"/>
          <w:lang w:eastAsia="zh-CN"/>
        </w:rPr>
        <w:t>鲜食型</w:t>
      </w:r>
      <w:r>
        <w:rPr>
          <w:rFonts w:hint="eastAsia" w:ascii="宋体" w:hAnsi="宋体"/>
          <w:kern w:val="0"/>
          <w:szCs w:val="20"/>
        </w:rPr>
        <w:t>甘薯脱毒种苗繁育技术的术语和定义、脱毒组培苗繁育、温网室繁育、脱毒种苗大田扩繁、健康种苗繁育、采苗、 种苗运输、种苗管理档案等内容、方法和操作规程。</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outlineLvl w:val="1"/>
        <w:rPr>
          <w:rFonts w:hint="eastAsia" w:ascii="宋体" w:hAnsi="宋体"/>
          <w:kern w:val="0"/>
          <w:szCs w:val="20"/>
        </w:rPr>
      </w:pPr>
      <w:r>
        <w:rPr>
          <w:rFonts w:hint="eastAsia" w:ascii="宋体" w:hAnsi="宋体"/>
          <w:kern w:val="0"/>
          <w:szCs w:val="20"/>
        </w:rPr>
        <w:t>本文件适用于</w:t>
      </w:r>
      <w:r>
        <w:rPr>
          <w:rFonts w:hint="eastAsia" w:ascii="宋体" w:hAnsi="宋体"/>
          <w:kern w:val="0"/>
          <w:szCs w:val="20"/>
          <w:lang w:eastAsia="zh-CN"/>
        </w:rPr>
        <w:t>揭阳市</w:t>
      </w:r>
      <w:r>
        <w:rPr>
          <w:rFonts w:hint="eastAsia" w:ascii="宋体" w:hAnsi="宋体"/>
          <w:kern w:val="0"/>
          <w:szCs w:val="20"/>
        </w:rPr>
        <w:t>甘薯产区“普薯32号”</w:t>
      </w:r>
      <w:r>
        <w:rPr>
          <w:rFonts w:hint="eastAsia" w:ascii="宋体" w:hAnsi="宋体"/>
          <w:kern w:val="0"/>
          <w:szCs w:val="20"/>
          <w:lang w:eastAsia="zh-CN"/>
        </w:rPr>
        <w:t>鲜食型</w:t>
      </w:r>
      <w:r>
        <w:rPr>
          <w:rFonts w:hint="eastAsia" w:ascii="宋体" w:hAnsi="宋体"/>
          <w:kern w:val="0"/>
          <w:szCs w:val="20"/>
        </w:rPr>
        <w:t>甘薯脱毒种苗的生产。</w:t>
      </w:r>
    </w:p>
    <w:p>
      <w:pPr>
        <w:pStyle w:val="103"/>
        <w:numPr>
          <w:ilvl w:val="0"/>
          <w:numId w:val="0"/>
        </w:numPr>
        <w:tabs>
          <w:tab w:val="clear" w:pos="840"/>
        </w:tabs>
        <w:spacing w:before="312" w:after="312"/>
      </w:pPr>
      <w:r>
        <w:t>2</w:t>
      </w:r>
      <w:bookmarkStart w:id="5" w:name="_Toc26986531"/>
      <w:bookmarkStart w:id="6" w:name="_Toc26718931"/>
      <w:bookmarkStart w:id="7" w:name="_Toc26986772"/>
      <w:r>
        <w:rPr>
          <w:rFonts w:hint="eastAsia"/>
          <w:lang w:val="en-US" w:eastAsia="zh-CN"/>
        </w:rPr>
        <w:t xml:space="preserve">  </w:t>
      </w:r>
      <w:r>
        <w:rPr>
          <w:rFonts w:hint="eastAsia"/>
        </w:rPr>
        <w:t>规范性引用文件</w:t>
      </w:r>
      <w:bookmarkEnd w:id="5"/>
      <w:bookmarkEnd w:id="6"/>
      <w:bookmarkEnd w:id="7"/>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outlineLvl w:val="1"/>
        <w:rPr>
          <w:rFonts w:hint="eastAsia" w:ascii="宋体" w:hAnsi="宋体"/>
          <w:kern w:val="0"/>
          <w:szCs w:val="20"/>
        </w:rPr>
      </w:pPr>
      <w:r>
        <w:rPr>
          <w:rFonts w:hint="eastAsia" w:ascii="宋体" w:hAnsi="宋体"/>
          <w:kern w:val="0"/>
          <w:szCs w:val="20"/>
        </w:rPr>
        <w:t>下列文件中的内容通过文中的规范性引用而构成本文件必不可少的条款。其中，注日期的引用文件，仅该日期对应的版本适用于本文件；不注日期的引用文件，其最新版本（包括所有的修改单）适用于本文件。</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outlineLvl w:val="1"/>
        <w:rPr>
          <w:rFonts w:hint="eastAsia" w:ascii="宋体" w:hAnsi="宋体"/>
          <w:kern w:val="0"/>
          <w:szCs w:val="20"/>
        </w:rPr>
      </w:pPr>
      <w:r>
        <w:rPr>
          <w:rFonts w:hint="eastAsia" w:ascii="宋体" w:hAnsi="宋体"/>
          <w:kern w:val="0"/>
          <w:szCs w:val="20"/>
        </w:rPr>
        <w:t>GB 7413-2009  甘薯种苗产地检疫规程</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outlineLvl w:val="1"/>
        <w:rPr>
          <w:rFonts w:hint="eastAsia" w:ascii="宋体" w:hAnsi="宋体"/>
          <w:kern w:val="0"/>
          <w:szCs w:val="20"/>
        </w:rPr>
      </w:pPr>
      <w:r>
        <w:rPr>
          <w:rFonts w:hint="eastAsia" w:ascii="宋体" w:hAnsi="宋体"/>
          <w:kern w:val="0"/>
          <w:szCs w:val="20"/>
        </w:rPr>
        <w:t>NY</w:t>
      </w:r>
      <w:r>
        <w:rPr>
          <w:rFonts w:hint="eastAsia" w:ascii="宋体" w:hAnsi="宋体"/>
          <w:kern w:val="0"/>
          <w:szCs w:val="20"/>
          <w:lang w:val="en-US" w:eastAsia="zh-CN"/>
        </w:rPr>
        <w:t>/</w:t>
      </w:r>
      <w:r>
        <w:rPr>
          <w:rFonts w:hint="eastAsia" w:ascii="宋体" w:hAnsi="宋体"/>
          <w:kern w:val="0"/>
          <w:szCs w:val="20"/>
        </w:rPr>
        <w:t>T 402-2016 脱毒甘薯种薯(苗)病毒检测技术规程</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outlineLvl w:val="1"/>
        <w:rPr>
          <w:rFonts w:hint="eastAsia" w:ascii="宋体" w:hAnsi="宋体"/>
          <w:kern w:val="0"/>
          <w:szCs w:val="20"/>
        </w:rPr>
      </w:pPr>
      <w:r>
        <w:rPr>
          <w:rFonts w:hint="eastAsia" w:ascii="宋体" w:hAnsi="宋体"/>
          <w:kern w:val="0"/>
          <w:szCs w:val="20"/>
        </w:rPr>
        <w:t>NY/T 1200</w:t>
      </w:r>
      <w:r>
        <w:rPr>
          <w:rFonts w:hint="eastAsia" w:ascii="宋体" w:hAnsi="宋体"/>
          <w:kern w:val="0"/>
          <w:szCs w:val="20"/>
          <w:lang w:val="en-US" w:eastAsia="zh-CN"/>
        </w:rPr>
        <w:t>-2006</w:t>
      </w:r>
      <w:r>
        <w:rPr>
          <w:rFonts w:hint="eastAsia" w:ascii="宋体" w:hAnsi="宋体"/>
          <w:kern w:val="0"/>
          <w:szCs w:val="20"/>
        </w:rPr>
        <w:t xml:space="preserve">  甘薯脱毒种薯</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outlineLvl w:val="1"/>
        <w:rPr>
          <w:rFonts w:hint="eastAsia" w:ascii="宋体" w:hAnsi="宋体"/>
          <w:kern w:val="0"/>
          <w:szCs w:val="20"/>
        </w:rPr>
      </w:pPr>
      <w:r>
        <w:rPr>
          <w:rFonts w:hint="eastAsia" w:ascii="宋体" w:hAnsi="宋体"/>
          <w:kern w:val="0"/>
          <w:szCs w:val="20"/>
        </w:rPr>
        <w:t xml:space="preserve">NY/T 2789-2015 </w:t>
      </w:r>
      <w:r>
        <w:rPr>
          <w:rFonts w:hint="eastAsia" w:ascii="宋体" w:hAnsi="宋体"/>
          <w:kern w:val="0"/>
          <w:szCs w:val="20"/>
          <w:lang w:val="en-US" w:eastAsia="zh-CN"/>
        </w:rPr>
        <w:t xml:space="preserve"> </w:t>
      </w:r>
      <w:r>
        <w:rPr>
          <w:rFonts w:hint="eastAsia" w:ascii="宋体" w:hAnsi="宋体"/>
          <w:kern w:val="0"/>
          <w:szCs w:val="20"/>
        </w:rPr>
        <w:t>薯类贮藏技术规范</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outlineLvl w:val="1"/>
        <w:rPr>
          <w:rFonts w:hint="eastAsia" w:ascii="宋体" w:hAnsi="宋体"/>
          <w:kern w:val="0"/>
          <w:szCs w:val="20"/>
        </w:rPr>
      </w:pPr>
      <w:r>
        <w:rPr>
          <w:rFonts w:hint="eastAsia" w:ascii="宋体" w:hAnsi="宋体"/>
          <w:kern w:val="0"/>
          <w:szCs w:val="20"/>
        </w:rPr>
        <w:t>NY/T 3537-2020  甘薯脱毒种薯(苗)生产技术规范</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outlineLvl w:val="1"/>
        <w:rPr>
          <w:rFonts w:hint="eastAsia" w:ascii="宋体" w:hAnsi="宋体"/>
          <w:kern w:val="0"/>
          <w:szCs w:val="20"/>
        </w:rPr>
      </w:pPr>
      <w:r>
        <w:rPr>
          <w:rFonts w:hint="eastAsia" w:ascii="宋体" w:hAnsi="宋体"/>
          <w:kern w:val="0"/>
          <w:szCs w:val="20"/>
        </w:rPr>
        <w:t xml:space="preserve">DB 44/T 1803-2016 </w:t>
      </w:r>
      <w:r>
        <w:rPr>
          <w:rFonts w:hint="eastAsia" w:ascii="宋体" w:hAnsi="宋体"/>
          <w:kern w:val="0"/>
          <w:szCs w:val="20"/>
          <w:lang w:val="en-US" w:eastAsia="zh-CN"/>
        </w:rPr>
        <w:t xml:space="preserve"> </w:t>
      </w:r>
      <w:r>
        <w:rPr>
          <w:rFonts w:hint="eastAsia" w:ascii="宋体" w:hAnsi="宋体"/>
          <w:kern w:val="0"/>
          <w:szCs w:val="20"/>
        </w:rPr>
        <w:t>下录甘薯生产技术规程</w:t>
      </w:r>
    </w:p>
    <w:p>
      <w:pPr>
        <w:pStyle w:val="103"/>
        <w:numPr>
          <w:ilvl w:val="1"/>
          <w:numId w:val="0"/>
        </w:numPr>
        <w:tabs>
          <w:tab w:val="clear" w:pos="840"/>
        </w:tabs>
        <w:spacing w:before="312" w:after="312"/>
      </w:pPr>
      <w:r>
        <w:rPr>
          <w:rFonts w:hint="eastAsia"/>
        </w:rPr>
        <w:t>3</w:t>
      </w:r>
      <w:r>
        <w:rPr>
          <w:rFonts w:hint="eastAsia"/>
          <w:lang w:val="en-US" w:eastAsia="zh-CN"/>
        </w:rPr>
        <w:t xml:space="preserve">  </w:t>
      </w:r>
      <w:r>
        <w:rPr>
          <w:rFonts w:hint="eastAsia"/>
        </w:rPr>
        <w:t>术语和定义</w:t>
      </w:r>
    </w:p>
    <w:p>
      <w:pPr>
        <w:widowControl/>
        <w:adjustRightInd w:val="0"/>
        <w:snapToGrid w:val="0"/>
        <w:spacing w:line="360" w:lineRule="auto"/>
        <w:ind w:firstLine="420" w:firstLineChars="200"/>
      </w:pPr>
      <w:r>
        <w:t>NY</w:t>
      </w:r>
      <w:r>
        <w:rPr>
          <w:rFonts w:hint="eastAsia"/>
          <w:lang w:val="en-US" w:eastAsia="zh-CN"/>
        </w:rPr>
        <w:t>/</w:t>
      </w:r>
      <w:r>
        <w:t>T 3537-2020界定的</w:t>
      </w:r>
      <w:r>
        <w:rPr>
          <w:rFonts w:hint="eastAsia"/>
          <w:lang w:eastAsia="zh-CN"/>
        </w:rPr>
        <w:t>以及下列</w:t>
      </w:r>
      <w:r>
        <w:t>术语和定义适用于本文件。</w:t>
      </w:r>
    </w:p>
    <w:p>
      <w:pPr>
        <w:widowControl/>
        <w:numPr>
          <w:ilvl w:val="0"/>
          <w:numId w:val="0"/>
        </w:numPr>
        <w:spacing w:line="360" w:lineRule="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3.1</w:t>
      </w:r>
    </w:p>
    <w:p>
      <w:pPr>
        <w:widowControl/>
        <w:numPr>
          <w:ilvl w:val="0"/>
          <w:numId w:val="0"/>
        </w:numPr>
        <w:spacing w:line="360" w:lineRule="auto"/>
        <w:ind w:firstLine="420" w:firstLineChars="200"/>
        <w:rPr>
          <w:rFonts w:hint="eastAsia" w:ascii="黑体" w:hAnsi="黑体" w:eastAsia="黑体" w:cs="黑体"/>
          <w:kern w:val="0"/>
          <w:szCs w:val="20"/>
        </w:rPr>
      </w:pPr>
      <w:r>
        <w:rPr>
          <w:rFonts w:hint="eastAsia" w:ascii="黑体" w:hAnsi="黑体" w:eastAsia="黑体" w:cs="黑体"/>
          <w:kern w:val="0"/>
          <w:szCs w:val="20"/>
        </w:rPr>
        <w:t>甘薯健康种苗</w:t>
      </w:r>
      <w:r>
        <w:rPr>
          <w:rFonts w:hint="eastAsia" w:ascii="黑体" w:hAnsi="黑体" w:eastAsia="黑体" w:cs="黑体"/>
          <w:kern w:val="0"/>
          <w:szCs w:val="20"/>
          <w:lang w:val="en-US" w:eastAsia="zh-CN"/>
        </w:rPr>
        <w:t xml:space="preserve">  </w:t>
      </w:r>
      <w:r>
        <w:rPr>
          <w:rFonts w:hint="eastAsia" w:ascii="黑体" w:hAnsi="黑体" w:eastAsia="黑体" w:cs="黑体"/>
          <w:kern w:val="0"/>
          <w:szCs w:val="20"/>
        </w:rPr>
        <w:t>Sweetpotato Healthy Seeds</w:t>
      </w:r>
    </w:p>
    <w:p>
      <w:pPr>
        <w:widowControl/>
        <w:spacing w:line="360" w:lineRule="auto"/>
        <w:ind w:firstLine="315" w:firstLineChars="150"/>
        <w:rPr>
          <w:rFonts w:hint="eastAsia"/>
        </w:rPr>
      </w:pPr>
      <w:r>
        <w:rPr>
          <w:rFonts w:hint="eastAsia"/>
          <w:kern w:val="0"/>
          <w:szCs w:val="20"/>
          <w:lang w:eastAsia="zh-CN"/>
        </w:rPr>
        <w:t>经按</w:t>
      </w:r>
      <w:r>
        <w:rPr>
          <w:kern w:val="0"/>
          <w:szCs w:val="20"/>
        </w:rPr>
        <w:t>GB 7413-2009</w:t>
      </w:r>
      <w:r>
        <w:rPr>
          <w:rFonts w:hint="eastAsia"/>
          <w:kern w:val="0"/>
          <w:szCs w:val="20"/>
          <w:lang w:eastAsia="zh-CN"/>
        </w:rPr>
        <w:t>进行</w:t>
      </w:r>
      <w:r>
        <w:rPr>
          <w:kern w:val="0"/>
          <w:szCs w:val="20"/>
        </w:rPr>
        <w:t>产地检疫，未发现检疫对象和危险性病虫害的甘薯薯块和薯苗。</w:t>
      </w:r>
      <w:r>
        <w:rPr>
          <w:rFonts w:hint="eastAsia"/>
        </w:rPr>
        <w:t xml:space="preserve"> </w:t>
      </w:r>
    </w:p>
    <w:p>
      <w:pPr>
        <w:pStyle w:val="103"/>
        <w:numPr>
          <w:ilvl w:val="1"/>
          <w:numId w:val="0"/>
        </w:numPr>
        <w:tabs>
          <w:tab w:val="clear" w:pos="840"/>
        </w:tabs>
        <w:spacing w:before="312" w:after="312"/>
        <w:rPr>
          <w:rFonts w:hint="eastAsia"/>
        </w:rPr>
      </w:pPr>
      <w:r>
        <w:rPr>
          <w:rFonts w:hint="eastAsia"/>
        </w:rPr>
        <w:t>4  “普薯32号”甘薯脱毒组培苗繁育</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4.1  品种来源</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outlineLvl w:val="1"/>
        <w:rPr>
          <w:rFonts w:hint="eastAsia" w:ascii="宋体" w:hAnsi="宋体"/>
          <w:kern w:val="0"/>
          <w:szCs w:val="20"/>
        </w:rPr>
      </w:pPr>
      <w:r>
        <w:rPr>
          <w:rFonts w:hint="eastAsia" w:ascii="宋体" w:hAnsi="宋体"/>
          <w:kern w:val="0"/>
          <w:szCs w:val="20"/>
        </w:rPr>
        <w:t>2001年用“普薯24号”为母本，“徐薯94/47-1”为父本人工杂交获得该品系。该品种于2012年6月通过了广东省农作物品种审定，2020年6月通过</w:t>
      </w:r>
      <w:r>
        <w:rPr>
          <w:rFonts w:hint="eastAsia" w:ascii="宋体" w:hAnsi="宋体"/>
          <w:kern w:val="0"/>
          <w:szCs w:val="20"/>
          <w:lang w:eastAsia="zh-CN"/>
        </w:rPr>
        <w:t>农业农村部</w:t>
      </w:r>
      <w:bookmarkStart w:id="8" w:name="_GoBack"/>
      <w:bookmarkEnd w:id="8"/>
      <w:r>
        <w:rPr>
          <w:rFonts w:hint="eastAsia" w:ascii="宋体" w:hAnsi="宋体"/>
          <w:kern w:val="0"/>
          <w:szCs w:val="20"/>
        </w:rPr>
        <w:t>非主要农作物品种登记。</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 xml:space="preserve">4.2  品种主要特征特性 </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outlineLvl w:val="1"/>
        <w:rPr>
          <w:rFonts w:hint="eastAsia" w:ascii="宋体" w:hAnsi="宋体"/>
          <w:kern w:val="0"/>
          <w:szCs w:val="20"/>
        </w:rPr>
      </w:pPr>
      <w:r>
        <w:rPr>
          <w:rFonts w:hint="eastAsia" w:ascii="宋体" w:hAnsi="宋体"/>
          <w:kern w:val="0"/>
          <w:szCs w:val="20"/>
        </w:rPr>
        <w:t>株型半直立，分枝性中等，蔓长中等，顶叶紫色，叶心形，叶片较大，叶脉绿色，茎较粗、呈绿色，结薯集中，单株结薯数5-7个，薯块纺锤形，薯皮红色，薯肉桔红色，薯块干物率30%左右。 适应性广，丰产稳产；早熟，可提早上市供应淡季；优质，胡萝卜素含量高，熟食味优；美观度好，卖相好，商品价值高；糯甜型，表现为肉质细腻、软糯无丝；耐贮藏。</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4.3  组培种苗的选择</w:t>
      </w:r>
    </w:p>
    <w:p>
      <w:pPr>
        <w:widowControl/>
        <w:adjustRightInd w:val="0"/>
        <w:snapToGrid w:val="0"/>
        <w:spacing w:line="360" w:lineRule="auto"/>
        <w:ind w:firstLine="315" w:firstLineChars="150"/>
      </w:pPr>
      <w:r>
        <w:t>挑选具有</w:t>
      </w:r>
      <w:r>
        <w:rPr>
          <w:rFonts w:hint="eastAsia"/>
        </w:rPr>
        <w:t>“普薯32号”</w:t>
      </w:r>
      <w:r>
        <w:t>品种</w:t>
      </w:r>
      <w:r>
        <w:rPr>
          <w:rFonts w:hint="eastAsia"/>
        </w:rPr>
        <w:t>典型性状</w:t>
      </w:r>
      <w:r>
        <w:t>，茎叶生长健壮，</w:t>
      </w:r>
      <w:r>
        <w:rPr>
          <w:rFonts w:hint="eastAsia"/>
        </w:rPr>
        <w:t>无任何病症</w:t>
      </w:r>
      <w:r>
        <w:t>的薯苗</w:t>
      </w:r>
      <w:r>
        <w:rPr>
          <w:rFonts w:hint="eastAsia"/>
        </w:rPr>
        <w:t>或薯块</w:t>
      </w:r>
      <w:r>
        <w:t>。</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4.4  茎尖材料准备</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4.4.1  预备苗培育</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pPr>
      <w:r>
        <w:t>将</w:t>
      </w:r>
      <w:r>
        <w:rPr>
          <w:rFonts w:hint="eastAsia"/>
        </w:rPr>
        <w:t>“普薯32号”</w:t>
      </w:r>
      <w:r>
        <w:t>薯块或薯苗种植</w:t>
      </w:r>
      <w:r>
        <w:rPr>
          <w:rFonts w:hint="eastAsia"/>
        </w:rPr>
        <w:t>于已</w:t>
      </w:r>
      <w:r>
        <w:t>消毒的泥炭土或营养基质的花盆中，在温度2</w:t>
      </w:r>
      <w:r>
        <w:rPr>
          <w:rFonts w:hint="eastAsia"/>
        </w:rPr>
        <w:t>5</w:t>
      </w:r>
      <w:r>
        <w:t>℃</w:t>
      </w:r>
      <w:r>
        <w:rPr>
          <w:kern w:val="0"/>
          <w:szCs w:val="20"/>
        </w:rPr>
        <w:t>～</w:t>
      </w:r>
      <w:r>
        <w:rPr>
          <w:rFonts w:hint="eastAsia"/>
          <w:kern w:val="0"/>
          <w:szCs w:val="20"/>
        </w:rPr>
        <w:t>30</w:t>
      </w:r>
      <w:r>
        <w:t>℃，光照</w:t>
      </w:r>
      <w:r>
        <w:rPr>
          <w:kern w:val="0"/>
          <w:szCs w:val="20"/>
        </w:rPr>
        <w:t>2000 L</w:t>
      </w:r>
      <w:r>
        <w:rPr>
          <w:rFonts w:hint="eastAsia"/>
          <w:kern w:val="0"/>
          <w:szCs w:val="20"/>
          <w:lang w:val="en-US" w:eastAsia="zh-CN"/>
        </w:rPr>
        <w:t>x</w:t>
      </w:r>
      <w:r>
        <w:rPr>
          <w:kern w:val="0"/>
          <w:szCs w:val="20"/>
        </w:rPr>
        <w:t>～ </w:t>
      </w:r>
      <w:r>
        <w:rPr>
          <w:rFonts w:hint="eastAsia"/>
          <w:kern w:val="0"/>
          <w:szCs w:val="20"/>
        </w:rPr>
        <w:t>25</w:t>
      </w:r>
      <w:r>
        <w:rPr>
          <w:kern w:val="0"/>
          <w:szCs w:val="20"/>
        </w:rPr>
        <w:t>00 L</w:t>
      </w:r>
      <w:r>
        <w:rPr>
          <w:rFonts w:hint="eastAsia"/>
          <w:kern w:val="0"/>
          <w:szCs w:val="20"/>
          <w:lang w:val="en-US" w:eastAsia="zh-CN"/>
        </w:rPr>
        <w:t>x</w:t>
      </w:r>
      <w:r>
        <w:t>，光照时间</w:t>
      </w:r>
      <w:r>
        <w:rPr>
          <w:rFonts w:hint="eastAsia"/>
        </w:rPr>
        <w:t>12</w:t>
      </w:r>
      <w:r>
        <w:t xml:space="preserve"> h/d条件下进行培养</w:t>
      </w:r>
      <w:r>
        <w:rPr>
          <w:rFonts w:hint="eastAsia"/>
        </w:rPr>
        <w:t>。</w:t>
      </w:r>
      <w:r>
        <w:rPr>
          <w:rFonts w:hint="eastAsia"/>
          <w:lang w:eastAsia="zh-CN"/>
        </w:rPr>
        <w:t>按照</w:t>
      </w:r>
      <w:r>
        <w:t>采用NY∕T 402-2016 </w:t>
      </w:r>
      <w:r>
        <w:rPr>
          <w:rFonts w:hint="eastAsia"/>
          <w:lang w:eastAsia="zh-CN"/>
        </w:rPr>
        <w:t>的规定</w:t>
      </w:r>
      <w:r>
        <w:t>对薯苗或薯块培育的嫩苗进行病毒检测</w:t>
      </w:r>
      <w:r>
        <w:rPr>
          <w:rFonts w:hint="eastAsia"/>
        </w:rPr>
        <w:t>，</w:t>
      </w:r>
      <w:r>
        <w:t>经检测无任何病毒</w:t>
      </w:r>
      <w:r>
        <w:rPr>
          <w:rFonts w:hint="eastAsia"/>
        </w:rPr>
        <w:t>或无DNA病毒</w:t>
      </w:r>
      <w:r>
        <w:t>的薯苗或嫩苗作为</w:t>
      </w:r>
      <w:r>
        <w:rPr>
          <w:rFonts w:hint="eastAsia"/>
        </w:rPr>
        <w:t>预备苗</w:t>
      </w:r>
      <w:r>
        <w:t>。</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4.4.2  茎尖脱毒材料</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pPr>
      <w:r>
        <w:rPr>
          <w:rFonts w:hint="eastAsia"/>
        </w:rPr>
        <w:t>剪取预备苗再生能力强、生长健康的</w:t>
      </w:r>
      <w:r>
        <w:rPr>
          <w:rFonts w:hint="eastAsia"/>
          <w:szCs w:val="21"/>
        </w:rPr>
        <w:t>长约4 cm的茎尖</w:t>
      </w:r>
      <w:r>
        <w:rPr>
          <w:rFonts w:hint="eastAsia"/>
        </w:rPr>
        <w:t>部位作为茎尖脱毒材料。</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4.5  卫生要求</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4.5.1  组培实验室消毒</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提前7 d对实验室空间进行消毒，每1 m</w:t>
      </w:r>
      <w:r>
        <w:rPr>
          <w:rFonts w:hint="eastAsia"/>
          <w:sz w:val="21"/>
          <w:vertAlign w:val="superscript"/>
        </w:rPr>
        <w:t>3</w:t>
      </w:r>
      <w:r>
        <w:rPr>
          <w:rFonts w:hint="eastAsia"/>
        </w:rPr>
        <w:t>用40 %甲醛20 mL高锰酸钾15 g，先将高锰酸钾放入容器内，再注入甲醛溶液，密闭重蒸24 h，通风无异味后使用。</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4.5.2  器具消毒</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超净工作台使用前用紫外灯照射30 min，台面和内壁用75%酒精消毒。将用于组培的所有器具在</w:t>
      </w:r>
      <w:r>
        <w:rPr>
          <w:rFonts w:hint="eastAsia"/>
          <w:lang w:val="en-US" w:eastAsia="zh-CN"/>
        </w:rPr>
        <w:t xml:space="preserve">   </w:t>
      </w:r>
      <w:r>
        <w:rPr>
          <w:rFonts w:hint="eastAsia"/>
        </w:rPr>
        <w:t>1. 1kg/cm</w:t>
      </w:r>
      <w:r>
        <w:rPr>
          <w:rFonts w:hint="eastAsia"/>
          <w:sz w:val="21"/>
          <w:vertAlign w:val="superscript"/>
        </w:rPr>
        <w:t>2</w:t>
      </w:r>
      <w:r>
        <w:rPr>
          <w:rFonts w:hint="eastAsia"/>
        </w:rPr>
        <w:t>、121℃条件下高压灭菌20 min。操作过程中使用的镊子、剪刀、解剖针等工具，每次使用前用酒精灯火焰或高温灭菌器消毒。</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4.5.3  操作前消毒</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操作人员应用肥皂仔细清洗手臂，更换消过毒的工作服、工作鞋、工作帽、口罩。进入操作台用75%酒精严格擦拭双手或戴无菌手套进行操作。</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4.6  组培苗培育</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4.6.1  茎尖消毒处理</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szCs w:val="21"/>
        </w:rPr>
      </w:pPr>
      <w:r>
        <w:rPr>
          <w:rFonts w:hint="eastAsia"/>
        </w:rPr>
        <w:t>茎尖脱毒材料</w:t>
      </w:r>
      <w:r>
        <w:rPr>
          <w:szCs w:val="21"/>
        </w:rPr>
        <w:t>除去叶</w:t>
      </w:r>
      <w:r>
        <w:rPr>
          <w:rFonts w:hint="eastAsia"/>
          <w:szCs w:val="21"/>
        </w:rPr>
        <w:t>片</w:t>
      </w:r>
      <w:r>
        <w:rPr>
          <w:szCs w:val="21"/>
        </w:rPr>
        <w:t>，自来水连续冲洗10</w:t>
      </w:r>
      <w:r>
        <w:rPr>
          <w:rFonts w:hint="eastAsia"/>
          <w:szCs w:val="21"/>
          <w:lang w:val="en-US" w:eastAsia="zh-CN"/>
        </w:rPr>
        <w:t>min</w:t>
      </w:r>
      <w:r>
        <w:rPr>
          <w:szCs w:val="21"/>
        </w:rPr>
        <w:t>～15 min后，在超净台中</w:t>
      </w:r>
      <w:r>
        <w:rPr>
          <w:rFonts w:hint="eastAsia"/>
          <w:szCs w:val="21"/>
        </w:rPr>
        <w:t>，用</w:t>
      </w:r>
      <w:r>
        <w:rPr>
          <w:szCs w:val="21"/>
        </w:rPr>
        <w:t>0</w:t>
      </w:r>
      <w:r>
        <w:rPr>
          <w:rFonts w:hint="eastAsia"/>
          <w:szCs w:val="21"/>
        </w:rPr>
        <w:t xml:space="preserve">. </w:t>
      </w:r>
      <w:r>
        <w:rPr>
          <w:szCs w:val="21"/>
        </w:rPr>
        <w:t>1% Hgcl</w:t>
      </w:r>
      <w:r>
        <w:rPr>
          <w:szCs w:val="21"/>
          <w:vertAlign w:val="subscript"/>
        </w:rPr>
        <w:t>2</w:t>
      </w:r>
      <w:r>
        <w:rPr>
          <w:szCs w:val="21"/>
        </w:rPr>
        <w:t>浸泡5</w:t>
      </w:r>
      <w:r>
        <w:rPr>
          <w:rFonts w:hint="eastAsia"/>
          <w:szCs w:val="21"/>
          <w:lang w:val="en-US" w:eastAsia="zh-CN"/>
        </w:rPr>
        <w:t>min</w:t>
      </w:r>
      <w:r>
        <w:rPr>
          <w:szCs w:val="21"/>
        </w:rPr>
        <w:t>～6 min，然后用无菌水清洗4</w:t>
      </w:r>
      <w:r>
        <w:rPr>
          <w:rFonts w:hint="eastAsia"/>
          <w:szCs w:val="21"/>
          <w:lang w:eastAsia="zh-CN"/>
        </w:rPr>
        <w:t>次</w:t>
      </w:r>
      <w:r>
        <w:rPr>
          <w:szCs w:val="21"/>
        </w:rPr>
        <w:t>～5次。</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4.6.2  茎尖剥离</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kern w:val="0"/>
          <w:szCs w:val="20"/>
        </w:rPr>
      </w:pPr>
      <w:r>
        <w:rPr>
          <w:kern w:val="0"/>
          <w:szCs w:val="20"/>
        </w:rPr>
        <w:t>将</w:t>
      </w:r>
      <w:r>
        <w:rPr>
          <w:rFonts w:hint="eastAsia"/>
        </w:rPr>
        <w:t>茎尖脱毒材料</w:t>
      </w:r>
      <w:r>
        <w:rPr>
          <w:kern w:val="0"/>
          <w:szCs w:val="20"/>
        </w:rPr>
        <w:t>在40倍解剖镜下</w:t>
      </w:r>
      <w:r>
        <w:rPr>
          <w:rFonts w:hint="eastAsia" w:ascii="宋体" w:hAnsi="宋体"/>
          <w:szCs w:val="21"/>
        </w:rPr>
        <w:t>，用解剖针</w:t>
      </w:r>
      <w:r>
        <w:rPr>
          <w:kern w:val="0"/>
          <w:szCs w:val="20"/>
        </w:rPr>
        <w:t>剥离带1个～2个叶原基的茎尖分生组织。</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4.6.3  组培苗诱导</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kern w:val="0"/>
          <w:szCs w:val="20"/>
        </w:rPr>
      </w:pPr>
      <w:r>
        <w:rPr>
          <w:kern w:val="0"/>
          <w:szCs w:val="20"/>
        </w:rPr>
        <w:t>将剥离的茎尖分生组织放入添加0</w:t>
      </w:r>
      <w:r>
        <w:rPr>
          <w:rFonts w:hint="eastAsia"/>
          <w:kern w:val="0"/>
          <w:szCs w:val="20"/>
        </w:rPr>
        <w:t xml:space="preserve">. </w:t>
      </w:r>
      <w:r>
        <w:rPr>
          <w:kern w:val="0"/>
          <w:szCs w:val="20"/>
        </w:rPr>
        <w:t>5 mg/L～1</w:t>
      </w:r>
      <w:r>
        <w:rPr>
          <w:rFonts w:hint="eastAsia"/>
          <w:kern w:val="0"/>
          <w:szCs w:val="20"/>
        </w:rPr>
        <w:t xml:space="preserve">. </w:t>
      </w:r>
      <w:r>
        <w:rPr>
          <w:kern w:val="0"/>
          <w:szCs w:val="20"/>
        </w:rPr>
        <w:t>5 mg/L 6-BA的MS培养基上</w:t>
      </w:r>
      <w:r>
        <w:rPr>
          <w:rFonts w:hint="eastAsia"/>
          <w:kern w:val="0"/>
          <w:szCs w:val="20"/>
        </w:rPr>
        <w:t>，</w:t>
      </w:r>
      <w:r>
        <w:rPr>
          <w:kern w:val="0"/>
          <w:szCs w:val="20"/>
        </w:rPr>
        <w:t>在温度2</w:t>
      </w:r>
      <w:r>
        <w:rPr>
          <w:rFonts w:hint="eastAsia"/>
          <w:kern w:val="0"/>
          <w:szCs w:val="20"/>
        </w:rPr>
        <w:t>5</w:t>
      </w:r>
      <w:r>
        <w:rPr>
          <w:kern w:val="0"/>
          <w:szCs w:val="20"/>
        </w:rPr>
        <w:t>℃～</w:t>
      </w:r>
      <w:r>
        <w:rPr>
          <w:rFonts w:hint="eastAsia"/>
          <w:kern w:val="0"/>
          <w:szCs w:val="20"/>
        </w:rPr>
        <w:t>30</w:t>
      </w:r>
      <w:r>
        <w:rPr>
          <w:kern w:val="0"/>
          <w:szCs w:val="20"/>
        </w:rPr>
        <w:t>℃，光照2000 L</w:t>
      </w:r>
      <w:r>
        <w:rPr>
          <w:rFonts w:hint="eastAsia"/>
          <w:kern w:val="0"/>
          <w:szCs w:val="20"/>
          <w:lang w:val="en-US" w:eastAsia="zh-CN"/>
        </w:rPr>
        <w:t>x</w:t>
      </w:r>
      <w:r>
        <w:rPr>
          <w:kern w:val="0"/>
          <w:szCs w:val="20"/>
        </w:rPr>
        <w:t>～ </w:t>
      </w:r>
      <w:r>
        <w:rPr>
          <w:rFonts w:hint="eastAsia"/>
          <w:kern w:val="0"/>
          <w:szCs w:val="20"/>
        </w:rPr>
        <w:t>25</w:t>
      </w:r>
      <w:r>
        <w:rPr>
          <w:kern w:val="0"/>
          <w:szCs w:val="20"/>
        </w:rPr>
        <w:t>00 L</w:t>
      </w:r>
      <w:r>
        <w:rPr>
          <w:rFonts w:hint="eastAsia"/>
          <w:kern w:val="0"/>
          <w:szCs w:val="20"/>
          <w:lang w:val="en-US" w:eastAsia="zh-CN"/>
        </w:rPr>
        <w:t>x</w:t>
      </w:r>
      <w:r>
        <w:rPr>
          <w:kern w:val="0"/>
          <w:szCs w:val="20"/>
        </w:rPr>
        <w:t>，光照时间</w:t>
      </w:r>
      <w:r>
        <w:rPr>
          <w:rFonts w:hint="eastAsia"/>
          <w:kern w:val="0"/>
          <w:szCs w:val="20"/>
        </w:rPr>
        <w:t>12</w:t>
      </w:r>
      <w:r>
        <w:rPr>
          <w:kern w:val="0"/>
          <w:szCs w:val="20"/>
        </w:rPr>
        <w:t xml:space="preserve"> h/d条件下培养50</w:t>
      </w:r>
      <w:r>
        <w:rPr>
          <w:rFonts w:hint="eastAsia"/>
          <w:kern w:val="0"/>
          <w:szCs w:val="20"/>
        </w:rPr>
        <w:t xml:space="preserve"> </w:t>
      </w:r>
      <w:r>
        <w:rPr>
          <w:kern w:val="0"/>
          <w:szCs w:val="20"/>
        </w:rPr>
        <w:t>d～60</w:t>
      </w:r>
      <w:r>
        <w:rPr>
          <w:rFonts w:hint="eastAsia"/>
          <w:kern w:val="0"/>
          <w:szCs w:val="20"/>
        </w:rPr>
        <w:t xml:space="preserve"> </w:t>
      </w:r>
      <w:r>
        <w:rPr>
          <w:kern w:val="0"/>
          <w:szCs w:val="20"/>
        </w:rPr>
        <w:t>d后，茎尖成苗。</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4.6.4  组培苗扩繁</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kern w:val="0"/>
          <w:sz w:val="24"/>
        </w:rPr>
      </w:pPr>
      <w:r>
        <w:rPr>
          <w:kern w:val="0"/>
          <w:szCs w:val="20"/>
        </w:rPr>
        <w:t>将</w:t>
      </w:r>
      <w:r>
        <w:rPr>
          <w:rFonts w:hint="eastAsia"/>
          <w:kern w:val="0"/>
          <w:szCs w:val="20"/>
        </w:rPr>
        <w:t>茎尖</w:t>
      </w:r>
      <w:r>
        <w:rPr>
          <w:kern w:val="0"/>
          <w:szCs w:val="20"/>
        </w:rPr>
        <w:t>苗切成一叶一节或两叶两节的茎段在MS培养基</w:t>
      </w:r>
      <w:r>
        <w:rPr>
          <w:rFonts w:hint="eastAsia"/>
          <w:kern w:val="0"/>
          <w:szCs w:val="20"/>
        </w:rPr>
        <w:t>上，</w:t>
      </w:r>
      <w:r>
        <w:rPr>
          <w:kern w:val="0"/>
          <w:szCs w:val="20"/>
        </w:rPr>
        <w:t>培养条件同4</w:t>
      </w:r>
      <w:r>
        <w:rPr>
          <w:rFonts w:hint="eastAsia"/>
          <w:kern w:val="0"/>
          <w:szCs w:val="20"/>
        </w:rPr>
        <w:t xml:space="preserve">. </w:t>
      </w:r>
      <w:r>
        <w:rPr>
          <w:rFonts w:hint="eastAsia"/>
          <w:kern w:val="0"/>
          <w:szCs w:val="20"/>
          <w:lang w:val="en-US" w:eastAsia="zh-CN"/>
        </w:rPr>
        <w:t>6</w:t>
      </w:r>
      <w:r>
        <w:rPr>
          <w:rFonts w:hint="eastAsia"/>
          <w:kern w:val="0"/>
          <w:szCs w:val="20"/>
        </w:rPr>
        <w:t>. 3，扩繁</w:t>
      </w:r>
      <w:r>
        <w:rPr>
          <w:kern w:val="0"/>
          <w:szCs w:val="20"/>
        </w:rPr>
        <w:t>至</w:t>
      </w:r>
      <w:r>
        <w:rPr>
          <w:rFonts w:hint="eastAsia"/>
          <w:kern w:val="0"/>
          <w:szCs w:val="20"/>
        </w:rPr>
        <w:t>20</w:t>
      </w:r>
      <w:r>
        <w:rPr>
          <w:kern w:val="0"/>
          <w:szCs w:val="20"/>
        </w:rPr>
        <w:t>株左右时</w:t>
      </w:r>
      <w:r>
        <w:rPr>
          <w:rFonts w:hint="eastAsia"/>
          <w:kern w:val="0"/>
          <w:szCs w:val="20"/>
        </w:rPr>
        <w:t>进行病毒检测</w:t>
      </w:r>
      <w:r>
        <w:rPr>
          <w:kern w:val="0"/>
          <w:szCs w:val="20"/>
        </w:rPr>
        <w:t>。</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4.7  组培苗病毒检测</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kern w:val="0"/>
          <w:szCs w:val="20"/>
        </w:rPr>
      </w:pPr>
      <w:r>
        <w:rPr>
          <w:kern w:val="0"/>
          <w:szCs w:val="20"/>
        </w:rPr>
        <w:t>按NY∕T 402-2016</w:t>
      </w:r>
      <w:r>
        <w:rPr>
          <w:rFonts w:hint="eastAsia"/>
          <w:kern w:val="0"/>
          <w:szCs w:val="20"/>
          <w:lang w:eastAsia="zh-CN"/>
        </w:rPr>
        <w:t>中的</w:t>
      </w:r>
      <w:r>
        <w:rPr>
          <w:kern w:val="0"/>
          <w:szCs w:val="20"/>
        </w:rPr>
        <w:t>血清检测法、PCR、RT-PCR和指示植物检测</w:t>
      </w:r>
      <w:r>
        <w:rPr>
          <w:rFonts w:hint="eastAsia"/>
          <w:kern w:val="0"/>
          <w:szCs w:val="20"/>
        </w:rPr>
        <w:t>对同一个茎尖苗扩繁的株系进行</w:t>
      </w:r>
      <w:r>
        <w:rPr>
          <w:kern w:val="0"/>
          <w:szCs w:val="20"/>
        </w:rPr>
        <w:t>SPFMV、SPLV、SPVG、SPCFV、SPCSV和Sweetpoviruses等6个病毒进行检测。</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4.8  脱毒组培苗扩繁</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kern w:val="0"/>
          <w:szCs w:val="20"/>
        </w:rPr>
      </w:pPr>
      <w:r>
        <w:rPr>
          <w:kern w:val="0"/>
          <w:szCs w:val="20"/>
        </w:rPr>
        <w:t>将确认的脱毒</w:t>
      </w:r>
      <w:r>
        <w:rPr>
          <w:rFonts w:hint="eastAsia"/>
          <w:kern w:val="0"/>
          <w:szCs w:val="20"/>
        </w:rPr>
        <w:t>组培</w:t>
      </w:r>
      <w:r>
        <w:rPr>
          <w:kern w:val="0"/>
          <w:szCs w:val="20"/>
        </w:rPr>
        <w:t>苗切成一叶一节或两叶两节的茎段，扦插在 MS培养基上，培养条件同4</w:t>
      </w:r>
      <w:r>
        <w:rPr>
          <w:rFonts w:hint="eastAsia"/>
          <w:kern w:val="0"/>
          <w:szCs w:val="20"/>
        </w:rPr>
        <w:t xml:space="preserve">. </w:t>
      </w:r>
      <w:r>
        <w:rPr>
          <w:rFonts w:hint="eastAsia"/>
          <w:kern w:val="0"/>
          <w:szCs w:val="20"/>
          <w:lang w:val="en-US" w:eastAsia="zh-CN"/>
        </w:rPr>
        <w:t>6</w:t>
      </w:r>
      <w:r>
        <w:rPr>
          <w:rFonts w:hint="eastAsia"/>
          <w:kern w:val="0"/>
          <w:szCs w:val="20"/>
        </w:rPr>
        <w:t xml:space="preserve">. </w:t>
      </w:r>
      <w:r>
        <w:rPr>
          <w:rFonts w:hint="eastAsia"/>
          <w:kern w:val="0"/>
          <w:szCs w:val="20"/>
          <w:lang w:val="en-US" w:eastAsia="zh-CN"/>
        </w:rPr>
        <w:t>3</w:t>
      </w:r>
      <w:r>
        <w:rPr>
          <w:rFonts w:hint="eastAsia"/>
          <w:kern w:val="0"/>
          <w:szCs w:val="20"/>
        </w:rPr>
        <w:t>，</w:t>
      </w:r>
      <w:r>
        <w:rPr>
          <w:kern w:val="0"/>
          <w:szCs w:val="20"/>
        </w:rPr>
        <w:t>40 d～45 d进入下一轮扩繁，循环</w:t>
      </w:r>
      <w:r>
        <w:rPr>
          <w:rFonts w:hint="eastAsia"/>
          <w:kern w:val="0"/>
          <w:szCs w:val="20"/>
        </w:rPr>
        <w:t>不高于13代直</w:t>
      </w:r>
      <w:r>
        <w:rPr>
          <w:kern w:val="0"/>
          <w:szCs w:val="20"/>
        </w:rPr>
        <w:t>至移</w:t>
      </w:r>
      <w:r>
        <w:rPr>
          <w:rFonts w:hint="eastAsia"/>
          <w:kern w:val="0"/>
          <w:szCs w:val="20"/>
          <w:lang w:eastAsia="zh-CN"/>
        </w:rPr>
        <w:t>栽</w:t>
      </w:r>
      <w:r>
        <w:rPr>
          <w:kern w:val="0"/>
          <w:szCs w:val="20"/>
        </w:rPr>
        <w:t>。</w:t>
      </w:r>
    </w:p>
    <w:p>
      <w:pPr>
        <w:pStyle w:val="103"/>
        <w:keepNext w:val="0"/>
        <w:keepLines w:val="0"/>
        <w:pageBreakBefore w:val="0"/>
        <w:widowControl/>
        <w:numPr>
          <w:ilvl w:val="1"/>
          <w:numId w:val="0"/>
        </w:numPr>
        <w:tabs>
          <w:tab w:val="clear" w:pos="840"/>
        </w:tabs>
        <w:kinsoku/>
        <w:wordWrap/>
        <w:overflowPunct/>
        <w:topLinePunct w:val="0"/>
        <w:autoSpaceDE/>
        <w:autoSpaceDN/>
        <w:bidi w:val="0"/>
        <w:adjustRightInd/>
        <w:snapToGrid/>
        <w:spacing w:before="312" w:after="312"/>
        <w:textAlignment w:val="auto"/>
      </w:pPr>
      <w:r>
        <w:t>5</w:t>
      </w:r>
      <w:r>
        <w:rPr>
          <w:rFonts w:hint="eastAsia"/>
        </w:rPr>
        <w:t xml:space="preserve"> </w:t>
      </w:r>
      <w:r>
        <w:rPr>
          <w:rFonts w:hint="eastAsia"/>
          <w:lang w:val="en-US" w:eastAsia="zh-CN"/>
        </w:rPr>
        <w:t xml:space="preserve"> </w:t>
      </w:r>
      <w:r>
        <w:t>温网室繁育</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5.1  苗圃准备</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kern w:val="0"/>
          <w:szCs w:val="20"/>
        </w:rPr>
      </w:pPr>
      <w:r>
        <w:rPr>
          <w:rFonts w:hint="eastAsia"/>
          <w:kern w:val="0"/>
          <w:szCs w:val="20"/>
        </w:rPr>
        <w:t>脱毒组培苗</w:t>
      </w:r>
      <w:r>
        <w:rPr>
          <w:kern w:val="0"/>
          <w:szCs w:val="20"/>
        </w:rPr>
        <w:t>在60目防虫网室和温室</w:t>
      </w:r>
      <w:r>
        <w:rPr>
          <w:rFonts w:hint="eastAsia"/>
          <w:kern w:val="0"/>
          <w:szCs w:val="20"/>
        </w:rPr>
        <w:t>扩繁</w:t>
      </w:r>
      <w:r>
        <w:rPr>
          <w:kern w:val="0"/>
          <w:szCs w:val="20"/>
        </w:rPr>
        <w:t>，</w:t>
      </w:r>
      <w:r>
        <w:rPr>
          <w:rFonts w:hint="eastAsia"/>
          <w:kern w:val="0"/>
          <w:szCs w:val="20"/>
        </w:rPr>
        <w:t>隔离条件好，周边无甘薯以及无旋花科、十字花科和茄科等作物。</w:t>
      </w:r>
      <w:r>
        <w:rPr>
          <w:kern w:val="0"/>
          <w:szCs w:val="20"/>
        </w:rPr>
        <w:t>中等肥力地块666</w:t>
      </w:r>
      <w:r>
        <w:rPr>
          <w:rFonts w:hint="eastAsia"/>
          <w:kern w:val="0"/>
          <w:szCs w:val="20"/>
        </w:rPr>
        <w:t xml:space="preserve">. </w:t>
      </w:r>
      <w:r>
        <w:rPr>
          <w:kern w:val="0"/>
          <w:szCs w:val="20"/>
        </w:rPr>
        <w:t>7 m</w:t>
      </w:r>
      <w:r>
        <w:rPr>
          <w:rFonts w:hint="eastAsia"/>
          <w:kern w:val="0"/>
          <w:szCs w:val="20"/>
          <w:vertAlign w:val="superscript"/>
        </w:rPr>
        <w:t>2</w:t>
      </w:r>
      <w:r>
        <w:rPr>
          <w:kern w:val="0"/>
          <w:szCs w:val="20"/>
        </w:rPr>
        <w:t xml:space="preserve">施尿素15 kg，磷酸二铵20 </w:t>
      </w:r>
      <w:r>
        <w:rPr>
          <w:rFonts w:hint="eastAsia"/>
          <w:kern w:val="0"/>
          <w:szCs w:val="20"/>
        </w:rPr>
        <w:t>kg</w:t>
      </w:r>
      <w:r>
        <w:rPr>
          <w:kern w:val="0"/>
          <w:szCs w:val="20"/>
        </w:rPr>
        <w:t xml:space="preserve">～25 </w:t>
      </w:r>
      <w:r>
        <w:rPr>
          <w:rFonts w:hint="eastAsia"/>
          <w:kern w:val="0"/>
          <w:szCs w:val="20"/>
        </w:rPr>
        <w:t>kg</w:t>
      </w:r>
      <w:r>
        <w:rPr>
          <w:kern w:val="0"/>
          <w:szCs w:val="20"/>
        </w:rPr>
        <w:t>，硫酸钾18</w:t>
      </w:r>
      <w:r>
        <w:rPr>
          <w:rFonts w:hint="eastAsia"/>
          <w:kern w:val="0"/>
          <w:szCs w:val="20"/>
        </w:rPr>
        <w:t xml:space="preserve"> kg</w:t>
      </w:r>
      <w:r>
        <w:rPr>
          <w:kern w:val="0"/>
          <w:szCs w:val="20"/>
        </w:rPr>
        <w:t xml:space="preserve">～20 </w:t>
      </w:r>
      <w:r>
        <w:rPr>
          <w:rFonts w:hint="eastAsia"/>
          <w:kern w:val="0"/>
          <w:szCs w:val="20"/>
        </w:rPr>
        <w:t>kg</w:t>
      </w:r>
      <w:r>
        <w:rPr>
          <w:kern w:val="0"/>
          <w:szCs w:val="20"/>
        </w:rPr>
        <w:t>，深翻、整细、耙平。</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5.2  移栽时间</w:t>
      </w:r>
    </w:p>
    <w:p>
      <w:pPr>
        <w:keepNext w:val="0"/>
        <w:keepLines w:val="0"/>
        <w:pageBreakBefore w:val="0"/>
        <w:widowControl/>
        <w:kinsoku/>
        <w:wordWrap/>
        <w:overflowPunct/>
        <w:topLinePunct w:val="0"/>
        <w:autoSpaceDE/>
        <w:autoSpaceDN/>
        <w:bidi w:val="0"/>
        <w:adjustRightInd/>
        <w:snapToGrid/>
        <w:spacing w:line="240" w:lineRule="auto"/>
        <w:ind w:firstLine="315" w:firstLineChars="150"/>
        <w:textAlignment w:val="auto"/>
        <w:rPr>
          <w:kern w:val="0"/>
          <w:szCs w:val="20"/>
        </w:rPr>
      </w:pPr>
      <w:r>
        <w:rPr>
          <w:rFonts w:hint="eastAsia"/>
          <w:kern w:val="0"/>
          <w:szCs w:val="20"/>
        </w:rPr>
        <w:t>气温</w:t>
      </w:r>
      <w:r>
        <w:rPr>
          <w:kern w:val="0"/>
          <w:szCs w:val="20"/>
        </w:rPr>
        <w:t>稳定1</w:t>
      </w:r>
      <w:r>
        <w:rPr>
          <w:rFonts w:hint="eastAsia"/>
          <w:kern w:val="0"/>
          <w:szCs w:val="20"/>
        </w:rPr>
        <w:t xml:space="preserve">6 </w:t>
      </w:r>
      <w:r>
        <w:rPr>
          <w:kern w:val="0"/>
          <w:szCs w:val="20"/>
        </w:rPr>
        <w:t>℃以上开始移栽。</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5.3  脱毒组培苗准备</w:t>
      </w:r>
    </w:p>
    <w:p>
      <w:pPr>
        <w:widowControl/>
        <w:spacing w:line="360" w:lineRule="auto"/>
        <w:ind w:firstLine="315" w:firstLineChars="150"/>
        <w:rPr>
          <w:kern w:val="0"/>
          <w:szCs w:val="20"/>
        </w:rPr>
      </w:pPr>
      <w:r>
        <w:rPr>
          <w:kern w:val="0"/>
          <w:szCs w:val="20"/>
        </w:rPr>
        <w:t>长至5片～ 6片叶的</w:t>
      </w:r>
      <w:r>
        <w:rPr>
          <w:rFonts w:hint="eastAsia"/>
          <w:kern w:val="0"/>
          <w:szCs w:val="20"/>
        </w:rPr>
        <w:t>组培</w:t>
      </w:r>
      <w:r>
        <w:rPr>
          <w:kern w:val="0"/>
          <w:szCs w:val="20"/>
        </w:rPr>
        <w:t>苗用镊子轻轻从培养瓶中夹</w:t>
      </w:r>
      <w:r>
        <w:rPr>
          <w:rFonts w:hint="eastAsia"/>
          <w:kern w:val="0"/>
          <w:szCs w:val="20"/>
        </w:rPr>
        <w:t>出</w:t>
      </w:r>
      <w:r>
        <w:rPr>
          <w:kern w:val="0"/>
          <w:szCs w:val="20"/>
        </w:rPr>
        <w:t>，去掉老叶、</w:t>
      </w:r>
      <w:r>
        <w:rPr>
          <w:rFonts w:hint="eastAsia"/>
          <w:kern w:val="0"/>
          <w:szCs w:val="20"/>
        </w:rPr>
        <w:t>用无菌水洗掉</w:t>
      </w:r>
      <w:r>
        <w:rPr>
          <w:kern w:val="0"/>
          <w:szCs w:val="20"/>
        </w:rPr>
        <w:t>残留培养基。</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5.4  脱毒组培苗移栽</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kern w:val="0"/>
          <w:szCs w:val="20"/>
        </w:rPr>
      </w:pPr>
      <w:r>
        <w:rPr>
          <w:rFonts w:hint="eastAsia"/>
          <w:kern w:val="0"/>
          <w:szCs w:val="20"/>
        </w:rPr>
        <w:t>组培</w:t>
      </w:r>
      <w:r>
        <w:rPr>
          <w:kern w:val="0"/>
          <w:szCs w:val="20"/>
        </w:rPr>
        <w:t>苗按</w:t>
      </w:r>
      <w:r>
        <w:rPr>
          <w:rFonts w:hint="eastAsia"/>
          <w:kern w:val="0"/>
          <w:szCs w:val="20"/>
        </w:rPr>
        <w:t>行</w:t>
      </w:r>
      <w:r>
        <w:rPr>
          <w:kern w:val="0"/>
          <w:szCs w:val="20"/>
        </w:rPr>
        <w:t>距</w:t>
      </w:r>
      <w:r>
        <w:rPr>
          <w:rFonts w:hint="eastAsia"/>
          <w:kern w:val="0"/>
          <w:szCs w:val="20"/>
        </w:rPr>
        <w:t xml:space="preserve">10 </w:t>
      </w:r>
      <w:r>
        <w:rPr>
          <w:kern w:val="0"/>
          <w:szCs w:val="20"/>
        </w:rPr>
        <w:t>cm</w:t>
      </w:r>
      <w:r>
        <w:rPr>
          <w:rFonts w:hint="eastAsia"/>
          <w:kern w:val="0"/>
          <w:szCs w:val="20"/>
        </w:rPr>
        <w:t>和株距</w:t>
      </w:r>
      <w:r>
        <w:rPr>
          <w:kern w:val="0"/>
          <w:szCs w:val="20"/>
        </w:rPr>
        <w:t>1</w:t>
      </w:r>
      <w:r>
        <w:rPr>
          <w:rFonts w:hint="eastAsia"/>
          <w:kern w:val="0"/>
          <w:szCs w:val="20"/>
        </w:rPr>
        <w:t xml:space="preserve">0 </w:t>
      </w:r>
      <w:r>
        <w:rPr>
          <w:kern w:val="0"/>
          <w:szCs w:val="20"/>
        </w:rPr>
        <w:t>cm移栽</w:t>
      </w:r>
      <w:r>
        <w:rPr>
          <w:rFonts w:hint="eastAsia"/>
          <w:kern w:val="0"/>
          <w:szCs w:val="20"/>
        </w:rPr>
        <w:t>，</w:t>
      </w:r>
      <w:r>
        <w:rPr>
          <w:kern w:val="0"/>
          <w:szCs w:val="20"/>
        </w:rPr>
        <w:t>保持棚内温2</w:t>
      </w:r>
      <w:r>
        <w:rPr>
          <w:rFonts w:hint="eastAsia"/>
          <w:kern w:val="0"/>
          <w:szCs w:val="20"/>
        </w:rPr>
        <w:t xml:space="preserve">5 </w:t>
      </w:r>
      <w:r>
        <w:rPr>
          <w:kern w:val="0"/>
          <w:szCs w:val="20"/>
        </w:rPr>
        <w:t>℃～35</w:t>
      </w:r>
      <w:r>
        <w:rPr>
          <w:rFonts w:hint="eastAsia"/>
          <w:kern w:val="0"/>
          <w:szCs w:val="20"/>
        </w:rPr>
        <w:t xml:space="preserve"> </w:t>
      </w:r>
      <w:r>
        <w:rPr>
          <w:kern w:val="0"/>
          <w:szCs w:val="20"/>
        </w:rPr>
        <w:t>℃。气温上升至30</w:t>
      </w:r>
      <w:r>
        <w:rPr>
          <w:rFonts w:hint="eastAsia"/>
          <w:kern w:val="0"/>
          <w:szCs w:val="20"/>
        </w:rPr>
        <w:t xml:space="preserve"> </w:t>
      </w:r>
      <w:r>
        <w:rPr>
          <w:kern w:val="0"/>
          <w:szCs w:val="20"/>
        </w:rPr>
        <w:t>℃以上时，需覆盖遮阳网</w:t>
      </w:r>
      <w:r>
        <w:rPr>
          <w:rFonts w:hint="eastAsia"/>
          <w:kern w:val="0"/>
          <w:szCs w:val="20"/>
        </w:rPr>
        <w:t>。</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5.5  表型鉴定</w:t>
      </w:r>
    </w:p>
    <w:p>
      <w:pPr>
        <w:keepNext w:val="0"/>
        <w:keepLines w:val="0"/>
        <w:pageBreakBefore w:val="0"/>
        <w:widowControl/>
        <w:kinsoku/>
        <w:wordWrap/>
        <w:overflowPunct/>
        <w:topLinePunct w:val="0"/>
        <w:autoSpaceDE/>
        <w:autoSpaceDN/>
        <w:bidi w:val="0"/>
        <w:adjustRightInd/>
        <w:snapToGrid/>
        <w:spacing w:line="240" w:lineRule="auto"/>
        <w:ind w:firstLine="315" w:firstLineChars="150"/>
        <w:textAlignment w:val="auto"/>
        <w:rPr>
          <w:kern w:val="0"/>
          <w:szCs w:val="20"/>
        </w:rPr>
      </w:pPr>
      <w:r>
        <w:rPr>
          <w:rFonts w:hint="eastAsia"/>
          <w:kern w:val="0"/>
          <w:szCs w:val="20"/>
        </w:rPr>
        <w:t>观察脱毒组培</w:t>
      </w:r>
      <w:r>
        <w:rPr>
          <w:kern w:val="0"/>
          <w:szCs w:val="20"/>
        </w:rPr>
        <w:t>苗</w:t>
      </w:r>
      <w:r>
        <w:rPr>
          <w:rFonts w:hint="eastAsia"/>
          <w:kern w:val="0"/>
          <w:szCs w:val="20"/>
        </w:rPr>
        <w:t>表型，检验是否发生变异，淘汰变异的株系，保留符合原品种的典型性状株系。</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5.6  温网室管理</w:t>
      </w:r>
    </w:p>
    <w:p>
      <w:pPr>
        <w:pStyle w:val="48"/>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240" w:lineRule="auto"/>
        <w:ind w:firstLine="420"/>
        <w:textAlignment w:val="auto"/>
        <w:rPr>
          <w:rFonts w:hint="eastAsia" w:ascii="Times New Roman"/>
        </w:rPr>
      </w:pPr>
      <w:r>
        <w:rPr>
          <w:rFonts w:hint="eastAsia" w:ascii="Times New Roman"/>
          <w:lang w:eastAsia="zh-CN"/>
        </w:rPr>
        <w:t>按照</w:t>
      </w:r>
      <w:r>
        <w:rPr>
          <w:rFonts w:ascii="Times New Roman"/>
        </w:rPr>
        <w:t>DB</w:t>
      </w:r>
      <w:r>
        <w:rPr>
          <w:rFonts w:hint="eastAsia" w:ascii="Times New Roman"/>
        </w:rPr>
        <w:t xml:space="preserve"> </w:t>
      </w:r>
      <w:r>
        <w:rPr>
          <w:rFonts w:ascii="Times New Roman"/>
        </w:rPr>
        <w:t>44/T 1803-2016</w:t>
      </w:r>
      <w:r>
        <w:rPr>
          <w:rFonts w:hint="eastAsia" w:ascii="Times New Roman"/>
          <w:lang w:eastAsia="zh-CN"/>
        </w:rPr>
        <w:t>的规定</w:t>
      </w:r>
      <w:r>
        <w:rPr>
          <w:rFonts w:hint="eastAsia" w:ascii="Times New Roman"/>
        </w:rPr>
        <w:t>杀灭烟粉虱和蚜虫等害虫。常规水肥管理，防止干旱湿涝。按照</w:t>
      </w:r>
      <w:r>
        <w:rPr>
          <w:rFonts w:ascii="Times New Roman"/>
        </w:rPr>
        <w:t>NY/T 1200-2006</w:t>
      </w:r>
      <w:r>
        <w:rPr>
          <w:rFonts w:hint="eastAsia" w:ascii="Times New Roman"/>
        </w:rPr>
        <w:t>的规定淘汰感染病虫害植株。</w:t>
      </w:r>
    </w:p>
    <w:p>
      <w:pPr>
        <w:pStyle w:val="103"/>
        <w:keepNext w:val="0"/>
        <w:keepLines w:val="0"/>
        <w:pageBreakBefore w:val="0"/>
        <w:widowControl/>
        <w:numPr>
          <w:ilvl w:val="1"/>
          <w:numId w:val="0"/>
        </w:numPr>
        <w:tabs>
          <w:tab w:val="clear" w:pos="840"/>
        </w:tabs>
        <w:kinsoku/>
        <w:wordWrap/>
        <w:overflowPunct/>
        <w:topLinePunct w:val="0"/>
        <w:autoSpaceDE/>
        <w:autoSpaceDN/>
        <w:bidi w:val="0"/>
        <w:adjustRightInd/>
        <w:snapToGrid/>
        <w:spacing w:before="312" w:after="312"/>
        <w:textAlignment w:val="auto"/>
      </w:pPr>
      <w:r>
        <w:rPr>
          <w:rFonts w:hint="eastAsia"/>
        </w:rPr>
        <w:t>6</w:t>
      </w:r>
      <w:r>
        <w:rPr>
          <w:rFonts w:hint="eastAsia"/>
          <w:lang w:val="en-US" w:eastAsia="zh-CN"/>
        </w:rPr>
        <w:t xml:space="preserve"> </w:t>
      </w:r>
      <w:r>
        <w:t xml:space="preserve"> </w:t>
      </w:r>
      <w:r>
        <w:rPr>
          <w:rFonts w:hint="eastAsia"/>
        </w:rPr>
        <w:t>脱毒种苗大田</w:t>
      </w:r>
      <w:r>
        <w:t>扩繁</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6.1  原原种苗</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kern w:val="0"/>
          <w:szCs w:val="20"/>
        </w:rPr>
      </w:pPr>
      <w:r>
        <w:rPr>
          <w:kern w:val="0"/>
          <w:szCs w:val="20"/>
        </w:rPr>
        <w:t>将移栽成活的</w:t>
      </w:r>
      <w:r>
        <w:rPr>
          <w:rFonts w:hint="eastAsia"/>
          <w:kern w:val="0"/>
          <w:szCs w:val="20"/>
        </w:rPr>
        <w:t>脱毒组培</w:t>
      </w:r>
      <w:r>
        <w:rPr>
          <w:kern w:val="0"/>
          <w:szCs w:val="20"/>
        </w:rPr>
        <w:t>苗剪成20 cm～</w:t>
      </w:r>
      <w:r>
        <w:rPr>
          <w:rFonts w:hint="eastAsia"/>
          <w:kern w:val="0"/>
          <w:szCs w:val="20"/>
        </w:rPr>
        <w:t>30 cm长的茎段</w:t>
      </w:r>
      <w:r>
        <w:rPr>
          <w:kern w:val="0"/>
          <w:szCs w:val="20"/>
        </w:rPr>
        <w:t>，栽插至40目防虫网棚</w:t>
      </w:r>
      <w:r>
        <w:rPr>
          <w:rFonts w:hint="eastAsia"/>
          <w:kern w:val="0"/>
          <w:szCs w:val="20"/>
        </w:rPr>
        <w:t>，或周边无旋花科、十字花科和茄科等作物，隔离条件好的无病田进行原原种苗扩繁。原原种苗用于扩繁生产原种苗或生产脱毒种薯。</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6.2  原种苗</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kern w:val="0"/>
          <w:szCs w:val="20"/>
        </w:rPr>
      </w:pPr>
      <w:r>
        <w:rPr>
          <w:kern w:val="0"/>
          <w:szCs w:val="20"/>
        </w:rPr>
        <w:t>将</w:t>
      </w:r>
      <w:r>
        <w:rPr>
          <w:rFonts w:hint="eastAsia"/>
          <w:kern w:val="0"/>
          <w:szCs w:val="20"/>
        </w:rPr>
        <w:t>原原苗</w:t>
      </w:r>
      <w:r>
        <w:rPr>
          <w:kern w:val="0"/>
          <w:szCs w:val="20"/>
        </w:rPr>
        <w:t>剪成20 cm～</w:t>
      </w:r>
      <w:r>
        <w:rPr>
          <w:rFonts w:hint="eastAsia"/>
          <w:kern w:val="0"/>
          <w:szCs w:val="20"/>
        </w:rPr>
        <w:t>30 cm长的茎段</w:t>
      </w:r>
      <w:r>
        <w:rPr>
          <w:kern w:val="0"/>
          <w:szCs w:val="20"/>
        </w:rPr>
        <w:t>，栽插至</w:t>
      </w:r>
      <w:r>
        <w:rPr>
          <w:rFonts w:hint="eastAsia"/>
          <w:kern w:val="0"/>
          <w:szCs w:val="20"/>
        </w:rPr>
        <w:t>周边无旋花科、十字花科和茄科等作物，隔离条件好的无病田进行原种苗扩繁。原种苗用于大田种植或生产脱毒种薯。</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6.3  脱毒种薯</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kern w:val="0"/>
          <w:szCs w:val="20"/>
        </w:rPr>
      </w:pPr>
      <w:r>
        <w:rPr>
          <w:rFonts w:hint="eastAsia"/>
          <w:kern w:val="0"/>
          <w:szCs w:val="20"/>
        </w:rPr>
        <w:t>利用原原种苗、</w:t>
      </w:r>
      <w:r>
        <w:rPr>
          <w:kern w:val="0"/>
          <w:szCs w:val="20"/>
        </w:rPr>
        <w:t>原</w:t>
      </w:r>
      <w:r>
        <w:rPr>
          <w:rFonts w:hint="eastAsia"/>
          <w:kern w:val="0"/>
          <w:szCs w:val="20"/>
        </w:rPr>
        <w:t>种苗种植，</w:t>
      </w:r>
      <w:r>
        <w:rPr>
          <w:rFonts w:hint="eastAsia"/>
          <w:kern w:val="0"/>
          <w:szCs w:val="20"/>
          <w:lang w:eastAsia="zh-CN"/>
        </w:rPr>
        <w:t>按</w:t>
      </w:r>
      <w:r>
        <w:rPr>
          <w:kern w:val="0"/>
          <w:szCs w:val="20"/>
        </w:rPr>
        <w:t>NY/T 1200</w:t>
      </w:r>
      <w:r>
        <w:rPr>
          <w:rFonts w:hint="eastAsia"/>
          <w:kern w:val="0"/>
          <w:szCs w:val="20"/>
          <w:lang w:val="en-US" w:eastAsia="zh-CN"/>
        </w:rPr>
        <w:t>-2006</w:t>
      </w:r>
      <w:r>
        <w:rPr>
          <w:rFonts w:hint="eastAsia"/>
          <w:kern w:val="0"/>
          <w:szCs w:val="20"/>
          <w:lang w:eastAsia="zh-CN"/>
        </w:rPr>
        <w:t>的</w:t>
      </w:r>
      <w:r>
        <w:rPr>
          <w:rFonts w:hint="eastAsia"/>
          <w:kern w:val="0"/>
          <w:szCs w:val="20"/>
        </w:rPr>
        <w:t>规定生产脱毒种薯。</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6.4  种薯贮藏</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kern w:val="0"/>
          <w:szCs w:val="20"/>
        </w:rPr>
      </w:pPr>
      <w:r>
        <w:rPr>
          <w:kern w:val="0"/>
          <w:szCs w:val="20"/>
        </w:rPr>
        <w:t>分品种、分级单收、单运、单贮，做到轻起运、轻拿避免损伤。加强管理，控制温湿度，防止冻害。剔除病烂伤坏</w:t>
      </w:r>
      <w:r>
        <w:rPr>
          <w:rFonts w:hint="eastAsia"/>
          <w:kern w:val="0"/>
          <w:szCs w:val="20"/>
        </w:rPr>
        <w:t>以及</w:t>
      </w:r>
      <w:r>
        <w:rPr>
          <w:kern w:val="0"/>
          <w:szCs w:val="20"/>
        </w:rPr>
        <w:t>变异薯块，</w:t>
      </w:r>
      <w:r>
        <w:rPr>
          <w:rFonts w:hint="eastAsia"/>
          <w:kern w:val="0"/>
          <w:szCs w:val="20"/>
          <w:lang w:eastAsia="zh-CN"/>
        </w:rPr>
        <w:t>并按</w:t>
      </w:r>
      <w:r>
        <w:rPr>
          <w:kern w:val="0"/>
          <w:szCs w:val="20"/>
        </w:rPr>
        <w:t>NY/T 2789-2015</w:t>
      </w:r>
      <w:r>
        <w:rPr>
          <w:rFonts w:hint="eastAsia"/>
          <w:kern w:val="0"/>
          <w:szCs w:val="20"/>
          <w:lang w:eastAsia="zh-CN"/>
        </w:rPr>
        <w:t>的规定进行贮藏</w:t>
      </w:r>
      <w:r>
        <w:rPr>
          <w:kern w:val="0"/>
          <w:szCs w:val="20"/>
        </w:rPr>
        <w:t>。</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6.5  质量控制</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kern w:val="0"/>
          <w:szCs w:val="20"/>
        </w:rPr>
      </w:pPr>
      <w:r>
        <w:rPr>
          <w:rFonts w:hint="eastAsia"/>
          <w:kern w:val="0"/>
          <w:szCs w:val="20"/>
        </w:rPr>
        <w:t>观察</w:t>
      </w:r>
      <w:r>
        <w:rPr>
          <w:kern w:val="0"/>
          <w:szCs w:val="20"/>
        </w:rPr>
        <w:t>原原种</w:t>
      </w:r>
      <w:r>
        <w:rPr>
          <w:rFonts w:hint="eastAsia"/>
          <w:kern w:val="0"/>
          <w:szCs w:val="20"/>
        </w:rPr>
        <w:t>苗、</w:t>
      </w:r>
      <w:r>
        <w:rPr>
          <w:kern w:val="0"/>
          <w:szCs w:val="20"/>
        </w:rPr>
        <w:t>原种</w:t>
      </w:r>
      <w:r>
        <w:rPr>
          <w:rFonts w:hint="eastAsia"/>
          <w:kern w:val="0"/>
          <w:szCs w:val="20"/>
        </w:rPr>
        <w:t>苗表型特征，检验是否发生变异，淘汰变异的种苗，保留符合原品种的典型性状种苗。原原种苗、原种苗和脱毒种薯的病毒检测及质量要求</w:t>
      </w:r>
      <w:r>
        <w:rPr>
          <w:rFonts w:hint="eastAsia"/>
          <w:kern w:val="0"/>
          <w:szCs w:val="20"/>
          <w:lang w:eastAsia="zh-CN"/>
        </w:rPr>
        <w:t>应分别符合</w:t>
      </w:r>
      <w:r>
        <w:rPr>
          <w:rFonts w:hint="eastAsia"/>
          <w:kern w:val="0"/>
          <w:szCs w:val="20"/>
        </w:rPr>
        <w:t>NY/T 402和</w:t>
      </w:r>
      <w:r>
        <w:rPr>
          <w:kern w:val="0"/>
          <w:szCs w:val="20"/>
        </w:rPr>
        <w:t>NY/T 1200</w:t>
      </w:r>
      <w:r>
        <w:rPr>
          <w:rFonts w:hint="eastAsia"/>
          <w:kern w:val="0"/>
          <w:szCs w:val="20"/>
        </w:rPr>
        <w:t>的规定。</w:t>
      </w:r>
    </w:p>
    <w:p>
      <w:pPr>
        <w:pStyle w:val="103"/>
        <w:keepNext w:val="0"/>
        <w:keepLines w:val="0"/>
        <w:pageBreakBefore w:val="0"/>
        <w:widowControl/>
        <w:numPr>
          <w:ilvl w:val="1"/>
          <w:numId w:val="0"/>
        </w:numPr>
        <w:tabs>
          <w:tab w:val="clear" w:pos="840"/>
        </w:tabs>
        <w:kinsoku/>
        <w:wordWrap/>
        <w:overflowPunct/>
        <w:topLinePunct w:val="0"/>
        <w:autoSpaceDE/>
        <w:autoSpaceDN/>
        <w:bidi w:val="0"/>
        <w:adjustRightInd/>
        <w:snapToGrid/>
        <w:spacing w:before="312" w:after="312"/>
        <w:textAlignment w:val="auto"/>
        <w:rPr>
          <w:rFonts w:hint="eastAsia"/>
        </w:rPr>
      </w:pPr>
      <w:r>
        <w:rPr>
          <w:rFonts w:hint="eastAsia"/>
        </w:rPr>
        <w:t>7</w:t>
      </w:r>
      <w:r>
        <w:rPr>
          <w:rFonts w:hint="eastAsia"/>
          <w:lang w:val="en-US" w:eastAsia="zh-CN"/>
        </w:rPr>
        <w:t xml:space="preserve"> </w:t>
      </w:r>
      <w:r>
        <w:rPr>
          <w:rFonts w:hint="eastAsia"/>
        </w:rPr>
        <w:t xml:space="preserve"> 脱毒健康种苗繁育</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7.1  种薯准备</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7.1.1  种薯质量</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kern w:val="0"/>
          <w:szCs w:val="20"/>
        </w:rPr>
      </w:pPr>
      <w:r>
        <w:rPr>
          <w:kern w:val="0"/>
          <w:szCs w:val="20"/>
        </w:rPr>
        <w:t>选用</w:t>
      </w:r>
      <w:r>
        <w:rPr>
          <w:rFonts w:hint="eastAsia"/>
          <w:kern w:val="0"/>
          <w:szCs w:val="20"/>
        </w:rPr>
        <w:t>原原种苗和原种苗栽培生产的脱毒健康</w:t>
      </w:r>
      <w:r>
        <w:rPr>
          <w:kern w:val="0"/>
          <w:szCs w:val="20"/>
        </w:rPr>
        <w:t>种薯，其质量符合</w:t>
      </w:r>
      <w:r>
        <w:rPr>
          <w:rFonts w:hint="eastAsia"/>
          <w:kern w:val="0"/>
          <w:szCs w:val="20"/>
          <w:lang w:val="en-US" w:eastAsia="zh-CN"/>
        </w:rPr>
        <w:t>N</w:t>
      </w:r>
      <w:r>
        <w:rPr>
          <w:kern w:val="0"/>
          <w:szCs w:val="20"/>
        </w:rPr>
        <w:t>Y/T 1200</w:t>
      </w:r>
      <w:r>
        <w:rPr>
          <w:rFonts w:hint="eastAsia"/>
          <w:kern w:val="0"/>
          <w:szCs w:val="20"/>
          <w:lang w:eastAsia="zh-CN"/>
        </w:rPr>
        <w:t>的规定</w:t>
      </w:r>
      <w:r>
        <w:rPr>
          <w:kern w:val="0"/>
          <w:szCs w:val="20"/>
        </w:rPr>
        <w:t>。</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7.1.2  种薯处理</w:t>
      </w:r>
    </w:p>
    <w:p>
      <w:pPr>
        <w:keepNext w:val="0"/>
        <w:keepLines w:val="0"/>
        <w:pageBreakBefore w:val="0"/>
        <w:widowControl/>
        <w:kinsoku/>
        <w:wordWrap/>
        <w:overflowPunct/>
        <w:topLinePunct w:val="0"/>
        <w:autoSpaceDE/>
        <w:autoSpaceDN/>
        <w:bidi w:val="0"/>
        <w:adjustRightInd/>
        <w:snapToGrid/>
        <w:spacing w:line="240" w:lineRule="auto"/>
        <w:ind w:firstLine="315" w:firstLineChars="150"/>
        <w:textAlignment w:val="auto"/>
        <w:rPr>
          <w:kern w:val="0"/>
          <w:szCs w:val="20"/>
        </w:rPr>
      </w:pPr>
      <w:r>
        <w:rPr>
          <w:rFonts w:hint="eastAsia"/>
          <w:kern w:val="0"/>
          <w:szCs w:val="20"/>
        </w:rPr>
        <w:t xml:space="preserve"> 种薯排种前应进行消毒，采用温汤浸种或药剂浸种。选用皮色鲜明，生活力强，大小适中、无病虫、无伤口的健康种薯。</w:t>
      </w:r>
      <w:r>
        <w:rPr>
          <w:kern w:val="0"/>
          <w:szCs w:val="20"/>
        </w:rPr>
        <w:t>薯块在51</w:t>
      </w:r>
      <w:r>
        <w:rPr>
          <w:rFonts w:hint="eastAsia"/>
          <w:kern w:val="0"/>
          <w:szCs w:val="20"/>
        </w:rPr>
        <w:t xml:space="preserve"> </w:t>
      </w:r>
      <w:r>
        <w:rPr>
          <w:kern w:val="0"/>
          <w:szCs w:val="20"/>
        </w:rPr>
        <w:t>℃～54</w:t>
      </w:r>
      <w:r>
        <w:rPr>
          <w:rFonts w:hint="eastAsia"/>
          <w:kern w:val="0"/>
          <w:szCs w:val="20"/>
        </w:rPr>
        <w:t xml:space="preserve"> </w:t>
      </w:r>
      <w:r>
        <w:rPr>
          <w:kern w:val="0"/>
          <w:szCs w:val="20"/>
        </w:rPr>
        <w:t>℃温水中浸10</w:t>
      </w:r>
      <w:r>
        <w:rPr>
          <w:rFonts w:hint="eastAsia"/>
          <w:kern w:val="0"/>
          <w:szCs w:val="20"/>
        </w:rPr>
        <w:t xml:space="preserve"> min，</w:t>
      </w:r>
      <w:r>
        <w:rPr>
          <w:kern w:val="0"/>
          <w:szCs w:val="20"/>
        </w:rPr>
        <w:t>或者70%甲基托布津800倍～1000液</w:t>
      </w:r>
      <w:r>
        <w:rPr>
          <w:rFonts w:hint="eastAsia"/>
          <w:kern w:val="0"/>
          <w:szCs w:val="20"/>
        </w:rPr>
        <w:t>或50%多菌灵可湿性粉剂1000倍液</w:t>
      </w:r>
      <w:r>
        <w:rPr>
          <w:kern w:val="0"/>
          <w:szCs w:val="20"/>
        </w:rPr>
        <w:t>浸种10</w:t>
      </w:r>
      <w:r>
        <w:rPr>
          <w:rFonts w:hint="eastAsia"/>
          <w:kern w:val="0"/>
          <w:szCs w:val="20"/>
        </w:rPr>
        <w:t xml:space="preserve"> min</w:t>
      </w:r>
      <w:r>
        <w:rPr>
          <w:kern w:val="0"/>
          <w:szCs w:val="20"/>
        </w:rPr>
        <w:t>。</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7.2  种苗繁育</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7.2.1  苗地选择</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kern w:val="0"/>
          <w:szCs w:val="20"/>
        </w:rPr>
      </w:pPr>
      <w:r>
        <w:rPr>
          <w:rFonts w:hint="eastAsia"/>
          <w:kern w:val="0"/>
          <w:szCs w:val="20"/>
        </w:rPr>
        <w:t>选择背风向阳、地势较高、排水良好、管理方便、土壤肥沃疏松的</w:t>
      </w:r>
      <w:r>
        <w:rPr>
          <w:kern w:val="0"/>
          <w:szCs w:val="20"/>
        </w:rPr>
        <w:t>新苗床</w:t>
      </w:r>
      <w:r>
        <w:rPr>
          <w:rFonts w:hint="eastAsia"/>
          <w:kern w:val="0"/>
          <w:szCs w:val="20"/>
        </w:rPr>
        <w:t>做苗地。</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7.2.2  整地起垄</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kern w:val="0"/>
          <w:szCs w:val="20"/>
        </w:rPr>
      </w:pPr>
      <w:r>
        <w:rPr>
          <w:rFonts w:hint="eastAsia"/>
          <w:kern w:val="0"/>
          <w:szCs w:val="20"/>
        </w:rPr>
        <w:t>疏松土壤、平整苗地，清除杂草，按易排水方向起垄。垄距90 cm</w:t>
      </w:r>
      <w:r>
        <w:rPr>
          <w:kern w:val="0"/>
          <w:szCs w:val="20"/>
        </w:rPr>
        <w:t>～</w:t>
      </w:r>
      <w:r>
        <w:rPr>
          <w:rFonts w:hint="eastAsia"/>
          <w:kern w:val="0"/>
          <w:szCs w:val="20"/>
        </w:rPr>
        <w:t>120 cm，垄高30 cm</w:t>
      </w:r>
      <w:r>
        <w:rPr>
          <w:kern w:val="0"/>
          <w:szCs w:val="20"/>
        </w:rPr>
        <w:t>～</w:t>
      </w:r>
      <w:r>
        <w:rPr>
          <w:rFonts w:hint="eastAsia"/>
          <w:kern w:val="0"/>
          <w:szCs w:val="20"/>
        </w:rPr>
        <w:t>35 cm</w:t>
      </w:r>
      <w:r>
        <w:rPr>
          <w:rFonts w:hint="eastAsia"/>
          <w:kern w:val="0"/>
          <w:szCs w:val="20"/>
          <w:lang w:eastAsia="zh-CN"/>
        </w:rPr>
        <w:t>，</w:t>
      </w:r>
      <w:r>
        <w:rPr>
          <w:rFonts w:hint="eastAsia"/>
          <w:kern w:val="0"/>
          <w:szCs w:val="20"/>
        </w:rPr>
        <w:t>根据土壤地力水平施用 N、P、K含量为1</w:t>
      </w:r>
      <w:r>
        <w:rPr>
          <w:kern w:val="0"/>
          <w:szCs w:val="20"/>
        </w:rPr>
        <w:t>5:15:15</w:t>
      </w:r>
      <w:r>
        <w:rPr>
          <w:rFonts w:hint="eastAsia"/>
          <w:kern w:val="0"/>
          <w:szCs w:val="20"/>
        </w:rPr>
        <w:t>的复合肥15 kg～20 kg，较肥沃耕地酌减或不施。</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7.2.3  排种</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kern w:val="0"/>
          <w:szCs w:val="20"/>
        </w:rPr>
      </w:pPr>
      <w:r>
        <w:rPr>
          <w:rFonts w:hint="eastAsia"/>
          <w:kern w:val="0"/>
          <w:szCs w:val="20"/>
        </w:rPr>
        <w:t>在垄上开1条～2条深约10 cm沟，将消毒过的种薯按薯头朝向一致的方式排放在沟内，薯块间隔2 cm～3 cm。排种后覆土2 cm～3 cm，然后浇足水，若遇低温再用塑料薄膜覆盖。</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7.2.4  苗地管理</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pPr>
      <w:r>
        <w:rPr>
          <w:rFonts w:hint="eastAsia"/>
          <w:kern w:val="0"/>
          <w:szCs w:val="20"/>
        </w:rPr>
        <w:t>保持苗地土壤湿润，相对湿度70 %～80 %。苗高30 cm（10个节）以上时，即可采苗。采苗时苗头留2个～3个节，每667 m</w:t>
      </w:r>
      <w:r>
        <w:rPr>
          <w:rFonts w:hint="eastAsia"/>
          <w:kern w:val="0"/>
          <w:szCs w:val="20"/>
          <w:vertAlign w:val="superscript"/>
        </w:rPr>
        <w:t>2</w:t>
      </w:r>
      <w:r>
        <w:rPr>
          <w:rFonts w:hint="eastAsia"/>
          <w:kern w:val="0"/>
          <w:szCs w:val="20"/>
        </w:rPr>
        <w:t>苗床内撒施7.5kg尿素或当量高氮复合肥并浇水，促侧芽生长。每次采苗后，重复上述管理过程。按照</w:t>
      </w:r>
      <w:r>
        <w:t>DB</w:t>
      </w:r>
      <w:r>
        <w:rPr>
          <w:rFonts w:hint="eastAsia"/>
        </w:rPr>
        <w:t xml:space="preserve"> </w:t>
      </w:r>
      <w:r>
        <w:t>44/T 1803-2016 规程</w:t>
      </w:r>
      <w:r>
        <w:rPr>
          <w:rFonts w:hint="eastAsia"/>
        </w:rPr>
        <w:t>防治主要害虫。</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7.3  假植扩繁</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7.3.1  苗地选择</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kern w:val="0"/>
          <w:szCs w:val="20"/>
        </w:rPr>
      </w:pPr>
      <w:r>
        <w:rPr>
          <w:rFonts w:hint="eastAsia"/>
          <w:kern w:val="0"/>
          <w:szCs w:val="20"/>
        </w:rPr>
        <w:t>同7. 2. 1。</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7.3.2  整地起垄</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kern w:val="0"/>
          <w:szCs w:val="20"/>
        </w:rPr>
      </w:pPr>
      <w:r>
        <w:rPr>
          <w:rFonts w:hint="eastAsia"/>
          <w:kern w:val="0"/>
          <w:szCs w:val="20"/>
        </w:rPr>
        <w:t xml:space="preserve">同7. 2. 2。 </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7.3.3  假植</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kern w:val="0"/>
          <w:szCs w:val="20"/>
        </w:rPr>
      </w:pPr>
      <w:r>
        <w:rPr>
          <w:rFonts w:hint="eastAsia"/>
          <w:kern w:val="0"/>
          <w:szCs w:val="20"/>
        </w:rPr>
        <w:t>将温室大棚或大田育苗中采的种苗，经</w:t>
      </w:r>
      <w:r>
        <w:rPr>
          <w:kern w:val="0"/>
          <w:szCs w:val="20"/>
        </w:rPr>
        <w:t>70%甲基托布津800倍～1000倍液</w:t>
      </w:r>
      <w:r>
        <w:rPr>
          <w:rFonts w:hint="eastAsia"/>
          <w:kern w:val="0"/>
          <w:szCs w:val="20"/>
        </w:rPr>
        <w:t>或50%多菌灵可湿性粉剂1000倍液基部消毒后按单行或双行方式栽插在垄上，淋足定根水。</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kern w:val="0"/>
          <w:szCs w:val="20"/>
          <w:lang w:val="en-US" w:eastAsia="zh-CN"/>
        </w:rPr>
      </w:pPr>
      <w:r>
        <w:rPr>
          <w:rFonts w:hint="eastAsia" w:ascii="黑体" w:hAnsi="黑体" w:eastAsia="黑体" w:cs="黑体"/>
          <w:kern w:val="0"/>
          <w:szCs w:val="20"/>
          <w:lang w:val="en-US" w:eastAsia="zh-CN"/>
        </w:rPr>
        <w:t>7.3.4  苗期管理</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kern w:val="0"/>
          <w:szCs w:val="20"/>
        </w:rPr>
      </w:pPr>
      <w:r>
        <w:rPr>
          <w:rFonts w:hint="eastAsia"/>
          <w:kern w:val="0"/>
          <w:szCs w:val="20"/>
        </w:rPr>
        <w:t>在假植苗节数达到6个～10个节位时进行摘心打顶促分枝。采苗前5 d～8 d薄施速效氮肥，培育嫩苗壮苗，采苗时苗头留2个～3个节，每667m</w:t>
      </w:r>
      <w:r>
        <w:rPr>
          <w:rFonts w:hint="eastAsia"/>
          <w:kern w:val="0"/>
          <w:sz w:val="21"/>
          <w:szCs w:val="20"/>
          <w:vertAlign w:val="superscript"/>
        </w:rPr>
        <w:t>2</w:t>
      </w:r>
      <w:r>
        <w:rPr>
          <w:rFonts w:hint="eastAsia"/>
          <w:kern w:val="0"/>
          <w:szCs w:val="20"/>
        </w:rPr>
        <w:t>苗床内撒施7. 5 kg尿素或当量高氮复合肥并浇水，促侧芽生长。每次采苗后，重复上述管理过程。按照DB 44/T 1803-2016 规程防治主要害虫。</w:t>
      </w:r>
    </w:p>
    <w:p>
      <w:pPr>
        <w:pStyle w:val="103"/>
        <w:keepNext w:val="0"/>
        <w:keepLines w:val="0"/>
        <w:pageBreakBefore w:val="0"/>
        <w:widowControl/>
        <w:numPr>
          <w:ilvl w:val="1"/>
          <w:numId w:val="0"/>
        </w:numPr>
        <w:tabs>
          <w:tab w:val="clear" w:pos="840"/>
        </w:tabs>
        <w:kinsoku/>
        <w:wordWrap/>
        <w:overflowPunct/>
        <w:topLinePunct w:val="0"/>
        <w:autoSpaceDE/>
        <w:autoSpaceDN/>
        <w:bidi w:val="0"/>
        <w:adjustRightInd/>
        <w:snapToGrid/>
        <w:spacing w:before="312" w:after="312"/>
        <w:textAlignment w:val="auto"/>
        <w:rPr>
          <w:rFonts w:hint="eastAsia"/>
        </w:rPr>
      </w:pPr>
      <w:r>
        <w:rPr>
          <w:rFonts w:hint="eastAsia"/>
        </w:rPr>
        <w:t>8</w:t>
      </w:r>
      <w:r>
        <w:rPr>
          <w:rFonts w:hint="eastAsia"/>
          <w:lang w:val="en-US" w:eastAsia="zh-CN"/>
        </w:rPr>
        <w:t xml:space="preserve"> </w:t>
      </w:r>
      <w:r>
        <w:rPr>
          <w:rFonts w:hint="eastAsia"/>
        </w:rPr>
        <w:t xml:space="preserve"> 采苗</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kern w:val="0"/>
          <w:szCs w:val="20"/>
        </w:rPr>
      </w:pPr>
      <w:r>
        <w:rPr>
          <w:rFonts w:hint="eastAsia"/>
          <w:kern w:val="0"/>
          <w:szCs w:val="20"/>
        </w:rPr>
        <w:t>当原种苗或假植苗长至25 cm～30 cm（7个～8个节）时即可采摘进行大田种植。采苗时苗头留2～3个节促侧芽生长，扩大繁苗量。</w:t>
      </w:r>
    </w:p>
    <w:p>
      <w:pPr>
        <w:pStyle w:val="103"/>
        <w:keepNext w:val="0"/>
        <w:keepLines w:val="0"/>
        <w:pageBreakBefore w:val="0"/>
        <w:widowControl/>
        <w:numPr>
          <w:ilvl w:val="1"/>
          <w:numId w:val="0"/>
        </w:numPr>
        <w:tabs>
          <w:tab w:val="clear" w:pos="840"/>
        </w:tabs>
        <w:kinsoku/>
        <w:wordWrap/>
        <w:overflowPunct/>
        <w:topLinePunct w:val="0"/>
        <w:autoSpaceDE/>
        <w:autoSpaceDN/>
        <w:bidi w:val="0"/>
        <w:adjustRightInd/>
        <w:snapToGrid/>
        <w:spacing w:before="312" w:after="312"/>
        <w:textAlignment w:val="auto"/>
        <w:rPr>
          <w:rFonts w:hint="eastAsia"/>
        </w:rPr>
      </w:pPr>
      <w:r>
        <w:rPr>
          <w:rFonts w:hint="eastAsia"/>
        </w:rPr>
        <w:t>9</w:t>
      </w:r>
      <w:r>
        <w:rPr>
          <w:rFonts w:hint="eastAsia"/>
          <w:lang w:val="en-US" w:eastAsia="zh-CN"/>
        </w:rPr>
        <w:t xml:space="preserve"> </w:t>
      </w:r>
      <w:r>
        <w:rPr>
          <w:rFonts w:hint="eastAsia"/>
        </w:rPr>
        <w:t xml:space="preserve"> 种苗运输</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kern w:val="0"/>
          <w:szCs w:val="20"/>
        </w:rPr>
      </w:pPr>
      <w:r>
        <w:rPr>
          <w:rFonts w:hint="eastAsia"/>
          <w:kern w:val="0"/>
          <w:szCs w:val="20"/>
        </w:rPr>
        <w:t>将采摘的健康壮苗以100株为单位进行捆扎，装入周转筐或包装箱。异地长距离调运须进行产地检疫，检疫规程应符合GB 7413规定。</w:t>
      </w:r>
    </w:p>
    <w:p>
      <w:pPr>
        <w:pStyle w:val="103"/>
        <w:numPr>
          <w:ilvl w:val="1"/>
          <w:numId w:val="0"/>
        </w:numPr>
        <w:tabs>
          <w:tab w:val="clear" w:pos="840"/>
        </w:tabs>
        <w:spacing w:before="312" w:after="312"/>
        <w:rPr>
          <w:rFonts w:hint="eastAsia"/>
        </w:rPr>
      </w:pPr>
      <w:r>
        <w:rPr>
          <w:rFonts w:hint="eastAsia"/>
        </w:rPr>
        <w:t xml:space="preserve">10 </w:t>
      </w:r>
      <w:r>
        <w:rPr>
          <w:rFonts w:hint="eastAsia"/>
          <w:lang w:val="en-US" w:eastAsia="zh-CN"/>
        </w:rPr>
        <w:t xml:space="preserve"> </w:t>
      </w:r>
      <w:r>
        <w:rPr>
          <w:rFonts w:hint="eastAsia"/>
        </w:rPr>
        <w:t>种苗管理档案</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kern w:val="0"/>
          <w:szCs w:val="20"/>
        </w:rPr>
      </w:pPr>
      <w:r>
        <w:rPr>
          <w:rFonts w:hint="eastAsia"/>
          <w:kern w:val="0"/>
          <w:szCs w:val="20"/>
        </w:rPr>
        <w:t>对品种名称、来源、排种期、萌芽性等繁育基本情况及农药、化肥等生产资料使用情况要简明记载。记载的档案至少保留两年。</w:t>
      </w:r>
    </w:p>
    <w:p>
      <w:pPr>
        <w:widowControl/>
        <w:spacing w:line="360" w:lineRule="auto"/>
        <w:ind w:firstLine="360" w:firstLineChars="150"/>
        <w:rPr>
          <w:kern w:val="0"/>
          <w:sz w:val="24"/>
        </w:rPr>
      </w:pPr>
    </w:p>
    <w:p>
      <w:pPr>
        <w:widowControl/>
        <w:spacing w:line="360" w:lineRule="auto"/>
        <w:ind w:firstLine="360" w:firstLineChars="150"/>
        <w:rPr>
          <w:rFonts w:ascii="仿宋_GB2312" w:hAnsi="宋体" w:eastAsia="仿宋_GB2312" w:cs="宋体"/>
          <w:kern w:val="0"/>
          <w:sz w:val="24"/>
        </w:rPr>
      </w:pPr>
      <w:r>
        <w:rPr>
          <w:sz w:val="24"/>
        </w:rPr>
        <mc:AlternateContent>
          <mc:Choice Requires="wps">
            <w:drawing>
              <wp:anchor distT="0" distB="0" distL="114300" distR="114300" simplePos="0" relativeHeight="251669504" behindDoc="0" locked="0" layoutInCell="1" allowOverlap="1">
                <wp:simplePos x="0" y="0"/>
                <wp:positionH relativeFrom="column">
                  <wp:posOffset>2091690</wp:posOffset>
                </wp:positionH>
                <wp:positionV relativeFrom="paragraph">
                  <wp:posOffset>144145</wp:posOffset>
                </wp:positionV>
                <wp:extent cx="1905000" cy="0"/>
                <wp:effectExtent l="0" t="6350" r="0" b="6350"/>
                <wp:wrapNone/>
                <wp:docPr id="11" name="直接连接符 11"/>
                <wp:cNvGraphicFramePr/>
                <a:graphic xmlns:a="http://schemas.openxmlformats.org/drawingml/2006/main">
                  <a:graphicData uri="http://schemas.microsoft.com/office/word/2010/wordprocessingShape">
                    <wps:wsp>
                      <wps:cNvCnPr/>
                      <wps:spPr>
                        <a:xfrm>
                          <a:off x="3235960" y="7778750"/>
                          <a:ext cx="1905000"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64.7pt;margin-top:11.35pt;height:0pt;width:150pt;z-index:251669504;mso-width-relative:page;mso-height-relative:page;" filled="f" stroked="t" coordsize="21600,21600" o:gfxdata="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rNAkrWAAAA&#10;CQEAAA8AAAAAAAAAAQAgAAAAIgAAAGRycy9kb3ducmV2LnhtbFBLAQIUABQAAAAIAIdO4kDNuzsb&#10;5gEAAKkDAAAOAAAAAAAAAAEAIAAAACUBAABkcnMvZTJvRG9jLnhtbFBLBQYAAAAABgAGAFkBAAB9&#10;BQAAAAA=&#10;">
                <v:fill on="f" focussize="0,0"/>
                <v:stroke weight="1pt" color="#000000 [3213]" joinstyle="round"/>
                <v:imagedata o:title=""/>
                <o:lock v:ext="edit" aspectratio="f"/>
              </v:line>
            </w:pict>
          </mc:Fallback>
        </mc:AlternateContent>
      </w:r>
    </w:p>
    <w:p>
      <w:pPr>
        <w:pStyle w:val="75"/>
        <w:numPr>
          <w:ilvl w:val="1"/>
          <w:numId w:val="0"/>
        </w:numPr>
        <w:spacing w:before="312" w:beforeLines="100" w:after="312" w:afterLines="100"/>
        <w:ind w:leftChars="0"/>
      </w:pPr>
    </w:p>
    <w:p>
      <w:pPr>
        <w:pStyle w:val="19"/>
        <w:spacing w:before="50" w:after="50"/>
      </w:pPr>
    </w:p>
    <w:sectPr>
      <w:footerReference r:id="rId9" w:type="default"/>
      <w:pgSz w:w="11907" w:h="16839"/>
      <w:pgMar w:top="1418" w:right="1134" w:bottom="1134" w:left="1418" w:header="1418"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4"/>
      <w:rPr>
        <w:rStyle w:val="30"/>
      </w:rPr>
    </w:pPr>
    <w:r>
      <w:fldChar w:fldCharType="begin"/>
    </w:r>
    <w:r>
      <w:rPr>
        <w:rStyle w:val="30"/>
      </w:rPr>
      <w:instrText xml:space="preserve">PAGE  </w:instrText>
    </w:r>
    <w:r>
      <w:fldChar w:fldCharType="separate"/>
    </w:r>
    <w:r>
      <w:rPr>
        <w:rStyle w:val="30"/>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0"/>
      </w:rPr>
    </w:pPr>
    <w:r>
      <w:fldChar w:fldCharType="begin"/>
    </w:r>
    <w:r>
      <w:rPr>
        <w:rStyle w:val="30"/>
      </w:rPr>
      <w:instrText xml:space="preserve">PAGE  </w:instrText>
    </w:r>
    <w:r>
      <w:fldChar w:fldCharType="separate"/>
    </w:r>
    <w:r>
      <w:rPr>
        <w:rStyle w:val="30"/>
      </w:rPr>
      <w:t>II</w:t>
    </w:r>
    <w:r>
      <w:fldChar w:fldCharType="end"/>
    </w:r>
  </w:p>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4"/>
      <w:rPr>
        <w:rStyle w:val="30"/>
        <w:rFonts w:hint="eastAsia"/>
      </w:rPr>
    </w:pPr>
    <w:r>
      <w:rPr>
        <w:rStyle w:val="30"/>
        <w:rFonts w:hint="eastAsia" w:ascii="宋体" w:hAnsi="宋体"/>
      </w:rPr>
      <w:t>Ⅰ</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4"/>
      <w:rPr>
        <w:rStyle w:val="30"/>
      </w:rPr>
    </w:pPr>
    <w:r>
      <w:fldChar w:fldCharType="begin"/>
    </w:r>
    <w:r>
      <w:rPr>
        <w:rStyle w:val="30"/>
      </w:rPr>
      <w:instrText xml:space="preserve">PAGE  </w:instrText>
    </w:r>
    <w:r>
      <w:fldChar w:fldCharType="separate"/>
    </w:r>
    <w:r>
      <w:rPr>
        <w:rStyle w:val="30"/>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r>
      <w:t>DNB/T 445200 11—2003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8"/>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right"/>
      <w:rPr>
        <w:rFonts w:hint="eastAsia"/>
        <w:sz w:val="21"/>
        <w:szCs w:val="21"/>
      </w:rPr>
    </w:pPr>
    <w:r>
      <w:rPr>
        <w:sz w:val="21"/>
        <w:szCs w:val="21"/>
      </w:rPr>
      <w:t>DB</w:t>
    </w:r>
    <w:r>
      <w:rPr>
        <w:rFonts w:hint="eastAsia"/>
        <w:sz w:val="21"/>
        <w:szCs w:val="21"/>
      </w:rPr>
      <w:t>4452</w:t>
    </w:r>
    <w:r>
      <w:rPr>
        <w:sz w:val="21"/>
        <w:szCs w:val="21"/>
      </w:rPr>
      <w:t>/T</w:t>
    </w:r>
    <w:r>
      <w:rPr>
        <w:rFonts w:hint="eastAsia"/>
        <w:sz w:val="21"/>
        <w:szCs w:val="21"/>
        <w:lang w:val="en-US" w:eastAsia="zh-CN"/>
      </w:rPr>
      <w:t xml:space="preserve"> xx-2024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367E9"/>
    <w:multiLevelType w:val="multilevel"/>
    <w:tmpl w:val="0AE367E9"/>
    <w:lvl w:ilvl="0" w:tentative="0">
      <w:start w:val="1"/>
      <w:numFmt w:val="none"/>
      <w:pStyle w:val="81"/>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806F7D"/>
    <w:multiLevelType w:val="multilevel"/>
    <w:tmpl w:val="46806F7D"/>
    <w:lvl w:ilvl="0" w:tentative="0">
      <w:start w:val="1"/>
      <w:numFmt w:val="none"/>
      <w:pStyle w:val="78"/>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6D22D8F"/>
    <w:multiLevelType w:val="multilevel"/>
    <w:tmpl w:val="46D22D8F"/>
    <w:lvl w:ilvl="0" w:tentative="0">
      <w:start w:val="1"/>
      <w:numFmt w:val="none"/>
      <w:pStyle w:val="53"/>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pStyle w:val="103"/>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96E4D7B"/>
    <w:multiLevelType w:val="multilevel"/>
    <w:tmpl w:val="496E4D7B"/>
    <w:lvl w:ilvl="0" w:tentative="0">
      <w:start w:val="1"/>
      <w:numFmt w:val="none"/>
      <w:pStyle w:val="86"/>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F302902"/>
    <w:multiLevelType w:val="multilevel"/>
    <w:tmpl w:val="4F302902"/>
    <w:lvl w:ilvl="0" w:tentative="0">
      <w:start w:val="1"/>
      <w:numFmt w:val="none"/>
      <w:pStyle w:val="94"/>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57C2AF5"/>
    <w:multiLevelType w:val="multilevel"/>
    <w:tmpl w:val="557C2AF5"/>
    <w:lvl w:ilvl="0" w:tentative="0">
      <w:start w:val="1"/>
      <w:numFmt w:val="decimal"/>
      <w:pStyle w:val="6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6350366A"/>
    <w:multiLevelType w:val="multilevel"/>
    <w:tmpl w:val="6350366A"/>
    <w:lvl w:ilvl="0" w:tentative="0">
      <w:start w:val="1"/>
      <w:numFmt w:val="none"/>
      <w:pStyle w:val="91"/>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46260FA"/>
    <w:multiLevelType w:val="multilevel"/>
    <w:tmpl w:val="646260FA"/>
    <w:lvl w:ilvl="0" w:tentative="0">
      <w:start w:val="1"/>
      <w:numFmt w:val="decimal"/>
      <w:pStyle w:val="9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657D3FBC"/>
    <w:multiLevelType w:val="multilevel"/>
    <w:tmpl w:val="657D3FBC"/>
    <w:lvl w:ilvl="0" w:tentative="0">
      <w:start w:val="1"/>
      <w:numFmt w:val="upperLetter"/>
      <w:pStyle w:val="96"/>
      <w:suff w:val="nothing"/>
      <w:lvlText w:val="附　录　%1"/>
      <w:lvlJc w:val="left"/>
      <w:pPr>
        <w:ind w:left="0" w:firstLine="0"/>
      </w:pPr>
      <w:rPr>
        <w:rFonts w:hint="eastAsia" w:ascii="黑体" w:hAnsi="Times New Roman" w:eastAsia="黑体"/>
        <w:b w:val="0"/>
        <w:i w:val="0"/>
        <w:sz w:val="21"/>
      </w:rPr>
    </w:lvl>
    <w:lvl w:ilvl="1" w:tentative="0">
      <w:start w:val="1"/>
      <w:numFmt w:val="decimal"/>
      <w:pStyle w:val="4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46"/>
      <w:suff w:val="nothing"/>
      <w:lvlText w:val="%1.%2.%3　"/>
      <w:lvlJc w:val="left"/>
      <w:pPr>
        <w:ind w:left="0"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9"/>
      <w:suff w:val="nothing"/>
      <w:lvlText w:val="%1.%2.%3.%4.%5　"/>
      <w:lvlJc w:val="left"/>
      <w:pPr>
        <w:ind w:left="0" w:firstLine="0"/>
      </w:pPr>
      <w:rPr>
        <w:rFonts w:hint="eastAsia" w:ascii="黑体" w:hAnsi="Times New Roman" w:eastAsia="黑体"/>
        <w:b w:val="0"/>
        <w:i w:val="0"/>
        <w:sz w:val="21"/>
      </w:rPr>
    </w:lvl>
    <w:lvl w:ilvl="5" w:tentative="0">
      <w:start w:val="1"/>
      <w:numFmt w:val="decimal"/>
      <w:pStyle w:val="58"/>
      <w:suff w:val="nothing"/>
      <w:lvlText w:val="%1.%2.%3.%4.%5.%6　"/>
      <w:lvlJc w:val="left"/>
      <w:pPr>
        <w:ind w:left="0" w:firstLine="0"/>
      </w:pPr>
      <w:rPr>
        <w:rFonts w:hint="eastAsia" w:ascii="黑体" w:hAnsi="Times New Roman" w:eastAsia="黑体"/>
        <w:b w:val="0"/>
        <w:i w:val="0"/>
        <w:sz w:val="21"/>
      </w:rPr>
    </w:lvl>
    <w:lvl w:ilvl="6" w:tentative="0">
      <w:start w:val="1"/>
      <w:numFmt w:val="decimal"/>
      <w:pStyle w:val="6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CEA2025"/>
    <w:multiLevelType w:val="multilevel"/>
    <w:tmpl w:val="6CEA2025"/>
    <w:lvl w:ilvl="0" w:tentative="0">
      <w:start w:val="1"/>
      <w:numFmt w:val="none"/>
      <w:pStyle w:val="71"/>
      <w:suff w:val="nothing"/>
      <w:lvlText w:val="%1"/>
      <w:lvlJc w:val="left"/>
      <w:pPr>
        <w:ind w:left="0" w:firstLine="0"/>
      </w:pPr>
      <w:rPr>
        <w:rFonts w:hint="default" w:ascii="Times New Roman" w:hAnsi="Times New Roman"/>
        <w:b/>
        <w:i w:val="0"/>
        <w:sz w:val="21"/>
      </w:rPr>
    </w:lvl>
    <w:lvl w:ilvl="1" w:tentative="0">
      <w:start w:val="1"/>
      <w:numFmt w:val="decimal"/>
      <w:pStyle w:val="75"/>
      <w:suff w:val="nothing"/>
      <w:lvlText w:val="%1%2　"/>
      <w:lvlJc w:val="left"/>
      <w:pPr>
        <w:ind w:left="142" w:firstLine="0"/>
      </w:pPr>
      <w:rPr>
        <w:rFonts w:hint="eastAsia" w:ascii="黑体" w:hAnsi="Times New Roman" w:eastAsia="黑体"/>
        <w:b w:val="0"/>
        <w:i w:val="0"/>
        <w:sz w:val="21"/>
      </w:rPr>
    </w:lvl>
    <w:lvl w:ilvl="2" w:tentative="0">
      <w:start w:val="1"/>
      <w:numFmt w:val="decimal"/>
      <w:pStyle w:val="63"/>
      <w:suff w:val="nothing"/>
      <w:lvlText w:val="%1%2.%3　"/>
      <w:lvlJc w:val="left"/>
      <w:pPr>
        <w:ind w:left="0" w:firstLine="0"/>
      </w:pPr>
      <w:rPr>
        <w:rFonts w:hint="eastAsia" w:ascii="黑体" w:hAnsi="Times New Roman" w:eastAsia="黑体"/>
        <w:b w:val="0"/>
        <w:i w:val="0"/>
        <w:sz w:val="21"/>
      </w:rPr>
    </w:lvl>
    <w:lvl w:ilvl="3" w:tentative="0">
      <w:start w:val="1"/>
      <w:numFmt w:val="decimal"/>
      <w:pStyle w:val="69"/>
      <w:suff w:val="nothing"/>
      <w:lvlText w:val="%1%2.%3.%4　"/>
      <w:lvlJc w:val="left"/>
      <w:pPr>
        <w:ind w:left="0" w:firstLine="0"/>
      </w:pPr>
      <w:rPr>
        <w:rFonts w:hint="eastAsia" w:ascii="黑体" w:hAnsi="Times New Roman" w:eastAsia="黑体"/>
        <w:b w:val="0"/>
        <w:i w:val="0"/>
        <w:sz w:val="21"/>
      </w:rPr>
    </w:lvl>
    <w:lvl w:ilvl="4" w:tentative="0">
      <w:start w:val="1"/>
      <w:numFmt w:val="decimal"/>
      <w:pStyle w:val="68"/>
      <w:suff w:val="nothing"/>
      <w:lvlText w:val="%1%2.%3.%4.%5　"/>
      <w:lvlJc w:val="left"/>
      <w:pPr>
        <w:ind w:left="4678" w:firstLine="0"/>
      </w:pPr>
      <w:rPr>
        <w:rFonts w:hint="eastAsia" w:ascii="黑体" w:hAnsi="Times New Roman" w:eastAsia="黑体"/>
        <w:b w:val="0"/>
        <w:i w:val="0"/>
        <w:sz w:val="21"/>
      </w:rPr>
    </w:lvl>
    <w:lvl w:ilvl="5" w:tentative="0">
      <w:start w:val="1"/>
      <w:numFmt w:val="decimal"/>
      <w:pStyle w:val="90"/>
      <w:suff w:val="nothing"/>
      <w:lvlText w:val="%1%2.%3.%4.%5.%6　"/>
      <w:lvlJc w:val="left"/>
      <w:pPr>
        <w:ind w:left="0" w:firstLine="0"/>
      </w:pPr>
      <w:rPr>
        <w:rFonts w:hint="eastAsia" w:ascii="黑体" w:hAnsi="Times New Roman" w:eastAsia="黑体"/>
        <w:b w:val="0"/>
        <w:i w:val="0"/>
        <w:sz w:val="21"/>
      </w:rPr>
    </w:lvl>
    <w:lvl w:ilvl="6" w:tentative="0">
      <w:start w:val="1"/>
      <w:numFmt w:val="decimal"/>
      <w:pStyle w:val="8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DBF04F4"/>
    <w:multiLevelType w:val="multilevel"/>
    <w:tmpl w:val="6DBF04F4"/>
    <w:lvl w:ilvl="0" w:tentative="0">
      <w:start w:val="1"/>
      <w:numFmt w:val="none"/>
      <w:pStyle w:val="9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6933334"/>
    <w:multiLevelType w:val="multilevel"/>
    <w:tmpl w:val="76933334"/>
    <w:lvl w:ilvl="0" w:tentative="0">
      <w:start w:val="1"/>
      <w:numFmt w:val="none"/>
      <w:pStyle w:val="64"/>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2"/>
  </w:num>
  <w:num w:numId="3">
    <w:abstractNumId w:val="9"/>
  </w:num>
  <w:num w:numId="4">
    <w:abstractNumId w:val="11"/>
  </w:num>
  <w:num w:numId="5">
    <w:abstractNumId w:val="5"/>
  </w:num>
  <w:num w:numId="6">
    <w:abstractNumId w:val="1"/>
  </w:num>
  <w:num w:numId="7">
    <w:abstractNumId w:val="0"/>
  </w:num>
  <w:num w:numId="8">
    <w:abstractNumId w:val="3"/>
  </w:num>
  <w:num w:numId="9">
    <w:abstractNumId w:val="6"/>
  </w:num>
  <w:num w:numId="10">
    <w:abstractNumId w:val="7"/>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MmE5YTcxYjM5Yzc2NDhhOTI4NmU2MThkMjAwNDEifQ=="/>
  </w:docVars>
  <w:rsids>
    <w:rsidRoot w:val="000B1B41"/>
    <w:rsid w:val="00026C47"/>
    <w:rsid w:val="0008429A"/>
    <w:rsid w:val="00084C10"/>
    <w:rsid w:val="000B1B41"/>
    <w:rsid w:val="000B6C99"/>
    <w:rsid w:val="000E6210"/>
    <w:rsid w:val="000F35A2"/>
    <w:rsid w:val="000F44DC"/>
    <w:rsid w:val="00122FEF"/>
    <w:rsid w:val="00165A58"/>
    <w:rsid w:val="00166AC6"/>
    <w:rsid w:val="001855A7"/>
    <w:rsid w:val="00187B03"/>
    <w:rsid w:val="00187F91"/>
    <w:rsid w:val="00200FF1"/>
    <w:rsid w:val="00206F5A"/>
    <w:rsid w:val="00230245"/>
    <w:rsid w:val="00250C99"/>
    <w:rsid w:val="002B1358"/>
    <w:rsid w:val="002E56F4"/>
    <w:rsid w:val="00302562"/>
    <w:rsid w:val="00323EC8"/>
    <w:rsid w:val="0033381D"/>
    <w:rsid w:val="00337BF9"/>
    <w:rsid w:val="00364336"/>
    <w:rsid w:val="0036639E"/>
    <w:rsid w:val="003856F5"/>
    <w:rsid w:val="003F28A6"/>
    <w:rsid w:val="00420308"/>
    <w:rsid w:val="00444AB0"/>
    <w:rsid w:val="0046274B"/>
    <w:rsid w:val="004A009C"/>
    <w:rsid w:val="004E0FA3"/>
    <w:rsid w:val="004E5FFC"/>
    <w:rsid w:val="0050609F"/>
    <w:rsid w:val="005060BB"/>
    <w:rsid w:val="00540C13"/>
    <w:rsid w:val="00557857"/>
    <w:rsid w:val="0056159A"/>
    <w:rsid w:val="00570933"/>
    <w:rsid w:val="00570F86"/>
    <w:rsid w:val="00581004"/>
    <w:rsid w:val="00593140"/>
    <w:rsid w:val="00593CB8"/>
    <w:rsid w:val="005B22CD"/>
    <w:rsid w:val="005D6FF0"/>
    <w:rsid w:val="005E534A"/>
    <w:rsid w:val="005F49B4"/>
    <w:rsid w:val="00637177"/>
    <w:rsid w:val="00692445"/>
    <w:rsid w:val="006C0109"/>
    <w:rsid w:val="006E2769"/>
    <w:rsid w:val="006E49AC"/>
    <w:rsid w:val="006F0D51"/>
    <w:rsid w:val="00713721"/>
    <w:rsid w:val="007C44A3"/>
    <w:rsid w:val="00807A55"/>
    <w:rsid w:val="00817E42"/>
    <w:rsid w:val="008353B7"/>
    <w:rsid w:val="0087743F"/>
    <w:rsid w:val="00877BBC"/>
    <w:rsid w:val="008913EB"/>
    <w:rsid w:val="008A1DB1"/>
    <w:rsid w:val="008A79D7"/>
    <w:rsid w:val="008B34AE"/>
    <w:rsid w:val="00930E84"/>
    <w:rsid w:val="009367BA"/>
    <w:rsid w:val="00975F4E"/>
    <w:rsid w:val="00983403"/>
    <w:rsid w:val="009863BB"/>
    <w:rsid w:val="009F1EAC"/>
    <w:rsid w:val="00A10C5A"/>
    <w:rsid w:val="00A124AD"/>
    <w:rsid w:val="00A84D63"/>
    <w:rsid w:val="00A850F9"/>
    <w:rsid w:val="00A85FAB"/>
    <w:rsid w:val="00AC6040"/>
    <w:rsid w:val="00AE6E42"/>
    <w:rsid w:val="00B10082"/>
    <w:rsid w:val="00B51F72"/>
    <w:rsid w:val="00B83346"/>
    <w:rsid w:val="00BC4EA9"/>
    <w:rsid w:val="00BE298B"/>
    <w:rsid w:val="00BF1D6E"/>
    <w:rsid w:val="00C05E76"/>
    <w:rsid w:val="00CA456C"/>
    <w:rsid w:val="00CA5E69"/>
    <w:rsid w:val="00CE10A8"/>
    <w:rsid w:val="00CF0767"/>
    <w:rsid w:val="00D93424"/>
    <w:rsid w:val="00DC0F7E"/>
    <w:rsid w:val="00DC38B7"/>
    <w:rsid w:val="00DC3944"/>
    <w:rsid w:val="00DE059B"/>
    <w:rsid w:val="00DF6833"/>
    <w:rsid w:val="00EA5644"/>
    <w:rsid w:val="00ED1A8B"/>
    <w:rsid w:val="00F66DB4"/>
    <w:rsid w:val="00F7056D"/>
    <w:rsid w:val="00F91EE2"/>
    <w:rsid w:val="02041604"/>
    <w:rsid w:val="053935B3"/>
    <w:rsid w:val="071669A5"/>
    <w:rsid w:val="0A1D055C"/>
    <w:rsid w:val="0B7D0666"/>
    <w:rsid w:val="0BAC2158"/>
    <w:rsid w:val="0CEC213D"/>
    <w:rsid w:val="0D860A9C"/>
    <w:rsid w:val="0F041037"/>
    <w:rsid w:val="0F6A0509"/>
    <w:rsid w:val="13860888"/>
    <w:rsid w:val="14DA432B"/>
    <w:rsid w:val="1C2F00E9"/>
    <w:rsid w:val="1C56658B"/>
    <w:rsid w:val="1EA60BBC"/>
    <w:rsid w:val="1EEC1DED"/>
    <w:rsid w:val="20BA0177"/>
    <w:rsid w:val="23295B75"/>
    <w:rsid w:val="25403B46"/>
    <w:rsid w:val="266D7BAB"/>
    <w:rsid w:val="29133E76"/>
    <w:rsid w:val="2BD83032"/>
    <w:rsid w:val="2D61633F"/>
    <w:rsid w:val="31A42F9C"/>
    <w:rsid w:val="328A6C2A"/>
    <w:rsid w:val="34721F5D"/>
    <w:rsid w:val="34FC449C"/>
    <w:rsid w:val="36900616"/>
    <w:rsid w:val="3779338E"/>
    <w:rsid w:val="37B514A2"/>
    <w:rsid w:val="38E30E42"/>
    <w:rsid w:val="3E1B2BCF"/>
    <w:rsid w:val="48620F3E"/>
    <w:rsid w:val="492D6F5A"/>
    <w:rsid w:val="496D7714"/>
    <w:rsid w:val="4C0F0A7F"/>
    <w:rsid w:val="506C75A2"/>
    <w:rsid w:val="51133873"/>
    <w:rsid w:val="53AC6759"/>
    <w:rsid w:val="58F7448F"/>
    <w:rsid w:val="5CBA1418"/>
    <w:rsid w:val="614F1419"/>
    <w:rsid w:val="61763E38"/>
    <w:rsid w:val="62294649"/>
    <w:rsid w:val="66F402DD"/>
    <w:rsid w:val="6840454E"/>
    <w:rsid w:val="68BD10D6"/>
    <w:rsid w:val="693704E1"/>
    <w:rsid w:val="6FB348F1"/>
    <w:rsid w:val="712F3978"/>
    <w:rsid w:val="733C01B2"/>
    <w:rsid w:val="77A0480D"/>
    <w:rsid w:val="7A4D7044"/>
    <w:rsid w:val="7B0139B7"/>
    <w:rsid w:val="7D8F667D"/>
    <w:rsid w:val="7FF21E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name="footnote text"/>
    <w:lsdException w:uiPriority="99"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qFormat="1" w:uiPriority="99"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99"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9">
    <w:name w:val="Default Paragraph Font"/>
    <w:semiHidden/>
    <w:qFormat/>
    <w:uiPriority w:val="0"/>
  </w:style>
  <w:style w:type="table" w:default="1" w:styleId="2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11">
    <w:name w:val="toc 7"/>
    <w:basedOn w:val="12"/>
    <w:next w:val="1"/>
    <w:semiHidden/>
    <w:qFormat/>
    <w:uiPriority w:val="0"/>
  </w:style>
  <w:style w:type="paragraph" w:styleId="12">
    <w:name w:val="toc 6"/>
    <w:basedOn w:val="13"/>
    <w:next w:val="1"/>
    <w:semiHidden/>
    <w:qFormat/>
    <w:uiPriority w:val="0"/>
  </w:style>
  <w:style w:type="paragraph" w:styleId="13">
    <w:name w:val="toc 5"/>
    <w:basedOn w:val="14"/>
    <w:next w:val="1"/>
    <w:semiHidden/>
    <w:qFormat/>
    <w:uiPriority w:val="0"/>
  </w:style>
  <w:style w:type="paragraph" w:styleId="14">
    <w:name w:val="toc 4"/>
    <w:basedOn w:val="15"/>
    <w:next w:val="1"/>
    <w:semiHidden/>
    <w:qFormat/>
    <w:uiPriority w:val="0"/>
  </w:style>
  <w:style w:type="paragraph" w:styleId="15">
    <w:name w:val="toc 3"/>
    <w:basedOn w:val="16"/>
    <w:next w:val="1"/>
    <w:semiHidden/>
    <w:qFormat/>
    <w:uiPriority w:val="0"/>
  </w:style>
  <w:style w:type="paragraph" w:styleId="16">
    <w:name w:val="toc 2"/>
    <w:basedOn w:val="17"/>
    <w:next w:val="1"/>
    <w:semiHidden/>
    <w:qFormat/>
    <w:uiPriority w:val="0"/>
  </w:style>
  <w:style w:type="paragraph" w:styleId="17">
    <w:name w:val="toc 1"/>
    <w:next w:val="1"/>
    <w:semiHidden/>
    <w:qFormat/>
    <w:uiPriority w:val="0"/>
    <w:pPr>
      <w:jc w:val="both"/>
    </w:pPr>
    <w:rPr>
      <w:rFonts w:ascii="宋体" w:hAnsi="Times New Roman" w:eastAsia="宋体" w:cs="Times New Roman"/>
      <w:sz w:val="21"/>
      <w:lang w:val="en-US" w:eastAsia="zh-CN" w:bidi="ar-SA"/>
    </w:rPr>
  </w:style>
  <w:style w:type="paragraph" w:styleId="18">
    <w:name w:val="HTML Address"/>
    <w:basedOn w:val="1"/>
    <w:semiHidden/>
    <w:qFormat/>
    <w:uiPriority w:val="0"/>
    <w:rPr>
      <w:i/>
      <w:iCs/>
    </w:rPr>
  </w:style>
  <w:style w:type="paragraph" w:styleId="19">
    <w:name w:val="Plain Text"/>
    <w:basedOn w:val="1"/>
    <w:semiHidden/>
    <w:qFormat/>
    <w:uiPriority w:val="0"/>
    <w:rPr>
      <w:rFonts w:ascii="宋体" w:hAnsi="Courier New" w:cs="Courier New"/>
      <w:szCs w:val="21"/>
    </w:rPr>
  </w:style>
  <w:style w:type="paragraph" w:styleId="20">
    <w:name w:val="toc 8"/>
    <w:basedOn w:val="11"/>
    <w:next w:val="1"/>
    <w:semiHidden/>
    <w:qFormat/>
    <w:uiPriority w:val="0"/>
  </w:style>
  <w:style w:type="paragraph" w:styleId="21">
    <w:name w:val="footer"/>
    <w:basedOn w:val="1"/>
    <w:semiHidden/>
    <w:qFormat/>
    <w:uiPriority w:val="0"/>
    <w:pPr>
      <w:tabs>
        <w:tab w:val="center" w:pos="4153"/>
        <w:tab w:val="right" w:pos="8306"/>
      </w:tabs>
      <w:snapToGrid w:val="0"/>
      <w:ind w:right="210" w:rightChars="100"/>
      <w:jc w:val="right"/>
    </w:pPr>
    <w:rPr>
      <w:sz w:val="18"/>
      <w:szCs w:val="18"/>
    </w:rPr>
  </w:style>
  <w:style w:type="paragraph" w:styleId="22">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23">
    <w:name w:val="footnote text"/>
    <w:basedOn w:val="1"/>
    <w:semiHidden/>
    <w:qFormat/>
    <w:uiPriority w:val="0"/>
    <w:pPr>
      <w:snapToGrid w:val="0"/>
      <w:jc w:val="left"/>
    </w:pPr>
    <w:rPr>
      <w:sz w:val="18"/>
      <w:szCs w:val="18"/>
    </w:rPr>
  </w:style>
  <w:style w:type="paragraph" w:styleId="24">
    <w:name w:val="toc 9"/>
    <w:basedOn w:val="20"/>
    <w:next w:val="1"/>
    <w:semiHidden/>
    <w:qFormat/>
    <w:uiPriority w:val="0"/>
  </w:style>
  <w:style w:type="paragraph" w:styleId="25">
    <w:name w:val="HTML Preformatted"/>
    <w:basedOn w:val="1"/>
    <w:link w:val="41"/>
    <w:semiHidden/>
    <w:qFormat/>
    <w:uiPriority w:val="99"/>
    <w:rPr>
      <w:rFonts w:ascii="Courier New" w:hAnsi="Courier New" w:cs="Courier New"/>
      <w:sz w:val="20"/>
      <w:szCs w:val="20"/>
    </w:rPr>
  </w:style>
  <w:style w:type="paragraph" w:styleId="26">
    <w:name w:val="Normal (Web)"/>
    <w:basedOn w:val="1"/>
    <w:semiHidden/>
    <w:unhideWhenUsed/>
    <w:qFormat/>
    <w:uiPriority w:val="99"/>
    <w:rPr>
      <w:sz w:val="24"/>
    </w:rPr>
  </w:style>
  <w:style w:type="paragraph" w:styleId="27">
    <w:name w:val="Title"/>
    <w:basedOn w:val="1"/>
    <w:qFormat/>
    <w:uiPriority w:val="0"/>
    <w:pPr>
      <w:spacing w:before="240" w:after="60"/>
      <w:jc w:val="center"/>
      <w:outlineLvl w:val="0"/>
    </w:pPr>
    <w:rPr>
      <w:rFonts w:ascii="Arial" w:hAnsi="Arial" w:cs="Arial"/>
      <w:b/>
      <w:bCs/>
      <w:sz w:val="32"/>
      <w:szCs w:val="32"/>
    </w:rPr>
  </w:style>
  <w:style w:type="character" w:styleId="30">
    <w:name w:val="page number"/>
    <w:semiHidden/>
    <w:qFormat/>
    <w:uiPriority w:val="0"/>
    <w:rPr>
      <w:rFonts w:ascii="Times New Roman" w:hAnsi="Times New Roman" w:eastAsia="宋体"/>
      <w:sz w:val="18"/>
    </w:rPr>
  </w:style>
  <w:style w:type="character" w:styleId="31">
    <w:name w:val="HTML Definition"/>
    <w:semiHidden/>
    <w:qFormat/>
    <w:uiPriority w:val="0"/>
    <w:rPr>
      <w:i/>
      <w:iCs/>
    </w:rPr>
  </w:style>
  <w:style w:type="character" w:styleId="32">
    <w:name w:val="HTML Typewriter"/>
    <w:semiHidden/>
    <w:qFormat/>
    <w:uiPriority w:val="0"/>
    <w:rPr>
      <w:rFonts w:ascii="Courier New" w:hAnsi="Courier New"/>
      <w:sz w:val="20"/>
      <w:szCs w:val="20"/>
    </w:rPr>
  </w:style>
  <w:style w:type="character" w:styleId="33">
    <w:name w:val="HTML Acronym"/>
    <w:basedOn w:val="29"/>
    <w:semiHidden/>
    <w:qFormat/>
    <w:uiPriority w:val="0"/>
  </w:style>
  <w:style w:type="character" w:styleId="34">
    <w:name w:val="HTML Variable"/>
    <w:semiHidden/>
    <w:qFormat/>
    <w:uiPriority w:val="0"/>
    <w:rPr>
      <w:i/>
      <w:iCs/>
    </w:rPr>
  </w:style>
  <w:style w:type="character" w:styleId="35">
    <w:name w:val="Hyperlink"/>
    <w:basedOn w:val="29"/>
    <w:semiHidden/>
    <w:qFormat/>
    <w:uiPriority w:val="0"/>
    <w:rPr>
      <w:rFonts w:ascii="Times New Roman" w:hAnsi="Times New Roman" w:eastAsia="宋体"/>
      <w:color w:val="auto"/>
      <w:spacing w:val="0"/>
      <w:w w:val="100"/>
      <w:position w:val="0"/>
      <w:sz w:val="21"/>
      <w:u w:val="none"/>
      <w:vertAlign w:val="baseline"/>
    </w:rPr>
  </w:style>
  <w:style w:type="character" w:styleId="36">
    <w:name w:val="HTML Code"/>
    <w:semiHidden/>
    <w:qFormat/>
    <w:uiPriority w:val="0"/>
    <w:rPr>
      <w:rFonts w:ascii="Courier New" w:hAnsi="Courier New"/>
      <w:sz w:val="20"/>
      <w:szCs w:val="20"/>
    </w:rPr>
  </w:style>
  <w:style w:type="character" w:styleId="37">
    <w:name w:val="HTML Cite"/>
    <w:semiHidden/>
    <w:qFormat/>
    <w:uiPriority w:val="0"/>
    <w:rPr>
      <w:i/>
      <w:iCs/>
    </w:rPr>
  </w:style>
  <w:style w:type="character" w:styleId="38">
    <w:name w:val="footnote reference"/>
    <w:semiHidden/>
    <w:qFormat/>
    <w:uiPriority w:val="0"/>
    <w:rPr>
      <w:vertAlign w:val="superscript"/>
    </w:rPr>
  </w:style>
  <w:style w:type="character" w:styleId="39">
    <w:name w:val="HTML Keyboard"/>
    <w:semiHidden/>
    <w:qFormat/>
    <w:uiPriority w:val="0"/>
    <w:rPr>
      <w:rFonts w:ascii="Courier New" w:hAnsi="Courier New"/>
      <w:sz w:val="20"/>
      <w:szCs w:val="20"/>
    </w:rPr>
  </w:style>
  <w:style w:type="character" w:styleId="40">
    <w:name w:val="HTML Sample"/>
    <w:semiHidden/>
    <w:qFormat/>
    <w:uiPriority w:val="0"/>
    <w:rPr>
      <w:rFonts w:ascii="Courier New" w:hAnsi="Courier New"/>
    </w:rPr>
  </w:style>
  <w:style w:type="character" w:customStyle="1" w:styleId="41">
    <w:name w:val="HTML 预设格式 Char"/>
    <w:basedOn w:val="29"/>
    <w:link w:val="25"/>
    <w:semiHidden/>
    <w:qFormat/>
    <w:uiPriority w:val="99"/>
    <w:rPr>
      <w:rFonts w:ascii="Courier New" w:hAnsi="Courier New" w:cs="Courier New"/>
      <w:kern w:val="2"/>
    </w:rPr>
  </w:style>
  <w:style w:type="character" w:customStyle="1" w:styleId="42">
    <w:name w:val="个人撰写风格"/>
    <w:qFormat/>
    <w:uiPriority w:val="0"/>
    <w:rPr>
      <w:rFonts w:ascii="Arial" w:hAnsi="Arial" w:eastAsia="宋体" w:cs="Arial"/>
      <w:color w:val="auto"/>
      <w:sz w:val="20"/>
    </w:rPr>
  </w:style>
  <w:style w:type="character" w:customStyle="1" w:styleId="43">
    <w:name w:val="发布"/>
    <w:qFormat/>
    <w:uiPriority w:val="0"/>
    <w:rPr>
      <w:rFonts w:ascii="黑体" w:eastAsia="黑体"/>
      <w:spacing w:val="22"/>
      <w:w w:val="100"/>
      <w:position w:val="3"/>
      <w:sz w:val="28"/>
    </w:rPr>
  </w:style>
  <w:style w:type="character" w:customStyle="1" w:styleId="44">
    <w:name w:val="个人答复风格"/>
    <w:qFormat/>
    <w:uiPriority w:val="0"/>
    <w:rPr>
      <w:rFonts w:ascii="Arial" w:hAnsi="Arial" w:eastAsia="宋体" w:cs="Arial"/>
      <w:color w:val="auto"/>
      <w:sz w:val="20"/>
    </w:rPr>
  </w:style>
  <w:style w:type="paragraph" w:customStyle="1" w:styleId="4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6">
    <w:name w:val="附录一级条标题"/>
    <w:basedOn w:val="47"/>
    <w:next w:val="48"/>
    <w:qFormat/>
    <w:uiPriority w:val="0"/>
    <w:pPr>
      <w:numPr>
        <w:ilvl w:val="2"/>
        <w:numId w:val="1"/>
      </w:numPr>
      <w:autoSpaceDN w:val="0"/>
      <w:spacing w:before="0" w:beforeLines="0" w:after="0" w:afterLines="0"/>
      <w:outlineLvl w:val="2"/>
    </w:pPr>
  </w:style>
  <w:style w:type="paragraph" w:customStyle="1" w:styleId="47">
    <w:name w:val="附录章标题"/>
    <w:next w:val="48"/>
    <w:qFormat/>
    <w:uiPriority w:val="0"/>
    <w:pPr>
      <w:numPr>
        <w:ilvl w:val="1"/>
        <w:numId w:val="1"/>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4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附录二级条标题"/>
    <w:basedOn w:val="46"/>
    <w:next w:val="48"/>
    <w:qFormat/>
    <w:uiPriority w:val="0"/>
    <w:pPr>
      <w:numPr>
        <w:ilvl w:val="3"/>
        <w:numId w:val="1"/>
      </w:numPr>
      <w:outlineLvl w:val="3"/>
    </w:pPr>
  </w:style>
  <w:style w:type="paragraph" w:customStyle="1" w:styleId="51">
    <w:name w:val="发布部门"/>
    <w:next w:val="48"/>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3">
    <w:name w:val="列项◆（三级）"/>
    <w:qFormat/>
    <w:uiPriority w:val="0"/>
    <w:pPr>
      <w:numPr>
        <w:ilvl w:val="0"/>
        <w:numId w:val="2"/>
      </w:numPr>
      <w:ind w:left="800" w:leftChars="600" w:hanging="200" w:hangingChars="200"/>
    </w:pPr>
    <w:rPr>
      <w:rFonts w:ascii="宋体" w:hAnsi="Times New Roman" w:eastAsia="宋体" w:cs="Times New Roman"/>
      <w:sz w:val="21"/>
      <w:lang w:val="en-US" w:eastAsia="zh-CN" w:bidi="ar-SA"/>
    </w:rPr>
  </w:style>
  <w:style w:type="paragraph" w:customStyle="1" w:styleId="54">
    <w:name w:val="封面正文"/>
    <w:qFormat/>
    <w:uiPriority w:val="0"/>
    <w:pPr>
      <w:jc w:val="both"/>
    </w:pPr>
    <w:rPr>
      <w:rFonts w:ascii="Times New Roman" w:hAnsi="Times New Roman" w:eastAsia="宋体" w:cs="Times New Roman"/>
      <w:lang w:val="en-US" w:eastAsia="zh-CN" w:bidi="ar-SA"/>
    </w:rPr>
  </w:style>
  <w:style w:type="paragraph" w:customStyle="1" w:styleId="5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5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58">
    <w:name w:val="附录四级条标题"/>
    <w:basedOn w:val="59"/>
    <w:next w:val="48"/>
    <w:qFormat/>
    <w:uiPriority w:val="0"/>
    <w:pPr>
      <w:numPr>
        <w:ilvl w:val="5"/>
        <w:numId w:val="1"/>
      </w:numPr>
      <w:outlineLvl w:val="5"/>
    </w:pPr>
  </w:style>
  <w:style w:type="paragraph" w:customStyle="1" w:styleId="59">
    <w:name w:val="附录三级条标题"/>
    <w:basedOn w:val="50"/>
    <w:next w:val="48"/>
    <w:qFormat/>
    <w:uiPriority w:val="0"/>
    <w:pPr>
      <w:numPr>
        <w:ilvl w:val="4"/>
        <w:numId w:val="1"/>
      </w:numPr>
      <w:outlineLvl w:val="4"/>
    </w:pPr>
  </w:style>
  <w:style w:type="paragraph" w:customStyle="1" w:styleId="60">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61">
    <w:name w:val="条文脚注"/>
    <w:basedOn w:val="23"/>
    <w:qFormat/>
    <w:uiPriority w:val="0"/>
    <w:pPr>
      <w:ind w:left="780" w:leftChars="200" w:hanging="360" w:hangingChars="200"/>
      <w:jc w:val="both"/>
    </w:pPr>
    <w:rPr>
      <w:rFonts w:ascii="宋体"/>
    </w:rPr>
  </w:style>
  <w:style w:type="paragraph" w:customStyle="1" w:styleId="62">
    <w:name w:val="附录五级条标题"/>
    <w:basedOn w:val="58"/>
    <w:next w:val="48"/>
    <w:qFormat/>
    <w:uiPriority w:val="0"/>
    <w:pPr>
      <w:numPr>
        <w:ilvl w:val="6"/>
        <w:numId w:val="1"/>
      </w:numPr>
      <w:outlineLvl w:val="6"/>
    </w:pPr>
  </w:style>
  <w:style w:type="paragraph" w:customStyle="1" w:styleId="63">
    <w:name w:val="一级条标题"/>
    <w:next w:val="48"/>
    <w:qFormat/>
    <w:uiPriority w:val="0"/>
    <w:pPr>
      <w:numPr>
        <w:ilvl w:val="2"/>
        <w:numId w:val="3"/>
      </w:numPr>
      <w:outlineLvl w:val="2"/>
    </w:pPr>
    <w:rPr>
      <w:rFonts w:ascii="Times New Roman" w:hAnsi="Times New Roman" w:eastAsia="黑体" w:cs="Times New Roman"/>
      <w:sz w:val="21"/>
      <w:lang w:val="en-US" w:eastAsia="zh-CN" w:bidi="ar-SA"/>
    </w:rPr>
  </w:style>
  <w:style w:type="paragraph" w:customStyle="1" w:styleId="64">
    <w:name w:val="列项——（一级）"/>
    <w:qFormat/>
    <w:uiPriority w:val="0"/>
    <w:pPr>
      <w:widowControl w:val="0"/>
      <w:numPr>
        <w:ilvl w:val="0"/>
        <w:numId w:val="4"/>
      </w:numPr>
      <w:tabs>
        <w:tab w:val="left" w:pos="854"/>
        <w:tab w:val="clear" w:pos="1140"/>
      </w:tabs>
      <w:ind w:leftChars="200" w:hangingChars="200"/>
      <w:jc w:val="both"/>
    </w:pPr>
    <w:rPr>
      <w:rFonts w:ascii="宋体" w:hAnsi="Times New Roman" w:eastAsia="宋体" w:cs="Times New Roman"/>
      <w:sz w:val="21"/>
      <w:lang w:val="en-US" w:eastAsia="zh-CN" w:bidi="ar-SA"/>
    </w:rPr>
  </w:style>
  <w:style w:type="paragraph" w:customStyle="1" w:styleId="65">
    <w:name w:val="正文图标题"/>
    <w:next w:val="48"/>
    <w:qFormat/>
    <w:uiPriority w:val="0"/>
    <w:pPr>
      <w:numPr>
        <w:ilvl w:val="0"/>
        <w:numId w:val="5"/>
      </w:numPr>
      <w:jc w:val="center"/>
    </w:pPr>
    <w:rPr>
      <w:rFonts w:ascii="黑体" w:hAnsi="Times New Roman" w:eastAsia="黑体" w:cs="Times New Roman"/>
      <w:sz w:val="21"/>
      <w:lang w:val="en-US" w:eastAsia="zh-CN" w:bidi="ar-SA"/>
    </w:rPr>
  </w:style>
  <w:style w:type="paragraph" w:customStyle="1" w:styleId="66">
    <w:name w:val="封面标准代替信息"/>
    <w:basedOn w:val="67"/>
    <w:qFormat/>
    <w:uiPriority w:val="0"/>
    <w:pPr>
      <w:spacing w:before="57"/>
    </w:pPr>
    <w:rPr>
      <w:rFonts w:ascii="宋体"/>
      <w:sz w:val="21"/>
    </w:rPr>
  </w:style>
  <w:style w:type="paragraph" w:customStyle="1" w:styleId="67">
    <w:name w:val="封面标准号2"/>
    <w:basedOn w:val="55"/>
    <w:qFormat/>
    <w:uiPriority w:val="0"/>
    <w:pPr>
      <w:framePr w:w="9138" w:h="1244" w:hRule="exact" w:wrap="around" w:vAnchor="page" w:hAnchor="margin" w:y="2908"/>
      <w:adjustRightInd w:val="0"/>
      <w:spacing w:before="357" w:line="280" w:lineRule="exact"/>
    </w:pPr>
  </w:style>
  <w:style w:type="paragraph" w:customStyle="1" w:styleId="68">
    <w:name w:val="三级条标题"/>
    <w:basedOn w:val="69"/>
    <w:next w:val="48"/>
    <w:qFormat/>
    <w:uiPriority w:val="0"/>
    <w:pPr>
      <w:numPr>
        <w:ilvl w:val="4"/>
        <w:numId w:val="3"/>
      </w:numPr>
      <w:outlineLvl w:val="4"/>
    </w:pPr>
  </w:style>
  <w:style w:type="paragraph" w:customStyle="1" w:styleId="69">
    <w:name w:val="二级条标题"/>
    <w:basedOn w:val="63"/>
    <w:next w:val="48"/>
    <w:qFormat/>
    <w:uiPriority w:val="0"/>
    <w:pPr>
      <w:numPr>
        <w:ilvl w:val="3"/>
        <w:numId w:val="3"/>
      </w:numPr>
      <w:outlineLvl w:val="3"/>
    </w:pPr>
  </w:style>
  <w:style w:type="paragraph" w:customStyle="1" w:styleId="70">
    <w:name w:val="目次、标准名称标题"/>
    <w:basedOn w:val="71"/>
    <w:next w:val="48"/>
    <w:qFormat/>
    <w:uiPriority w:val="0"/>
    <w:pPr>
      <w:spacing w:line="460" w:lineRule="exact"/>
    </w:pPr>
  </w:style>
  <w:style w:type="paragraph" w:customStyle="1" w:styleId="71">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2">
    <w:name w:val="图表脚注"/>
    <w:next w:val="4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73">
    <w:name w:val="其他发布部门"/>
    <w:basedOn w:val="51"/>
    <w:qFormat/>
    <w:uiPriority w:val="0"/>
    <w:pPr>
      <w:spacing w:line="0" w:lineRule="atLeast"/>
    </w:pPr>
    <w:rPr>
      <w:rFonts w:ascii="黑体" w:eastAsia="黑体"/>
      <w:b w:val="0"/>
    </w:rPr>
  </w:style>
  <w:style w:type="paragraph" w:customStyle="1" w:styleId="7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5">
    <w:name w:val="章标题"/>
    <w:next w:val="48"/>
    <w:qFormat/>
    <w:uiPriority w:val="0"/>
    <w:pPr>
      <w:numPr>
        <w:ilvl w:val="1"/>
        <w:numId w:val="3"/>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76">
    <w:name w:val="实施日期"/>
    <w:basedOn w:val="77"/>
    <w:qFormat/>
    <w:uiPriority w:val="0"/>
    <w:pPr>
      <w:framePr w:hSpace="0" w:xAlign="right"/>
      <w:jc w:val="right"/>
    </w:pPr>
  </w:style>
  <w:style w:type="paragraph" w:customStyle="1" w:styleId="7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8">
    <w:name w:val="附录图标题"/>
    <w:next w:val="48"/>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7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0">
    <w:name w:val="标准书眉_偶数页"/>
    <w:basedOn w:val="45"/>
    <w:next w:val="1"/>
    <w:qFormat/>
    <w:uiPriority w:val="0"/>
    <w:pPr>
      <w:jc w:val="left"/>
    </w:pPr>
  </w:style>
  <w:style w:type="paragraph" w:customStyle="1" w:styleId="81">
    <w:name w:val="示例"/>
    <w:next w:val="48"/>
    <w:qFormat/>
    <w:uiPriority w:val="0"/>
    <w:pPr>
      <w:numPr>
        <w:ilvl w:val="0"/>
        <w:numId w:val="7"/>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8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83">
    <w:name w:val="参考文献、索引标题"/>
    <w:basedOn w:val="71"/>
    <w:next w:val="1"/>
    <w:qFormat/>
    <w:uiPriority w:val="0"/>
    <w:pPr>
      <w:numPr>
        <w:ilvl w:val="0"/>
        <w:numId w:val="0"/>
      </w:numPr>
      <w:spacing w:after="200"/>
    </w:pPr>
    <w:rPr>
      <w:sz w:val="21"/>
    </w:rPr>
  </w:style>
  <w:style w:type="paragraph" w:customStyle="1" w:styleId="84">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86">
    <w:name w:val="注×："/>
    <w:qFormat/>
    <w:uiPriority w:val="0"/>
    <w:pPr>
      <w:widowControl w:val="0"/>
      <w:numPr>
        <w:ilvl w:val="0"/>
        <w:numId w:val="8"/>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7">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88">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89">
    <w:name w:val="五级条标题"/>
    <w:basedOn w:val="90"/>
    <w:next w:val="48"/>
    <w:qFormat/>
    <w:uiPriority w:val="0"/>
    <w:pPr>
      <w:numPr>
        <w:ilvl w:val="6"/>
        <w:numId w:val="3"/>
      </w:numPr>
      <w:outlineLvl w:val="6"/>
    </w:pPr>
  </w:style>
  <w:style w:type="paragraph" w:customStyle="1" w:styleId="90">
    <w:name w:val="四级条标题"/>
    <w:basedOn w:val="68"/>
    <w:next w:val="48"/>
    <w:qFormat/>
    <w:uiPriority w:val="0"/>
    <w:pPr>
      <w:numPr>
        <w:ilvl w:val="5"/>
        <w:numId w:val="3"/>
      </w:numPr>
      <w:outlineLvl w:val="5"/>
    </w:pPr>
  </w:style>
  <w:style w:type="paragraph" w:customStyle="1" w:styleId="91">
    <w:name w:val="列项●（二级）"/>
    <w:qFormat/>
    <w:uiPriority w:val="0"/>
    <w:pPr>
      <w:numPr>
        <w:ilvl w:val="0"/>
        <w:numId w:val="9"/>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92">
    <w:name w:val="正文表标题"/>
    <w:next w:val="48"/>
    <w:qFormat/>
    <w:uiPriority w:val="0"/>
    <w:pPr>
      <w:numPr>
        <w:ilvl w:val="0"/>
        <w:numId w:val="10"/>
      </w:numPr>
      <w:jc w:val="center"/>
    </w:pPr>
    <w:rPr>
      <w:rFonts w:ascii="黑体" w:hAnsi="Times New Roman" w:eastAsia="黑体" w:cs="Times New Roman"/>
      <w:sz w:val="21"/>
      <w:lang w:val="en-US" w:eastAsia="zh-CN" w:bidi="ar-SA"/>
    </w:rPr>
  </w:style>
  <w:style w:type="paragraph" w:customStyle="1" w:styleId="93">
    <w:name w:val="注："/>
    <w:next w:val="48"/>
    <w:qFormat/>
    <w:uiPriority w:val="0"/>
    <w:pPr>
      <w:widowControl w:val="0"/>
      <w:numPr>
        <w:ilvl w:val="0"/>
        <w:numId w:val="11"/>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94">
    <w:name w:val="附录表标题"/>
    <w:next w:val="48"/>
    <w:qFormat/>
    <w:uiPriority w:val="0"/>
    <w:pPr>
      <w:numPr>
        <w:ilvl w:val="0"/>
        <w:numId w:val="12"/>
      </w:numPr>
      <w:jc w:val="center"/>
      <w:textAlignment w:val="baseline"/>
    </w:pPr>
    <w:rPr>
      <w:rFonts w:ascii="黑体" w:hAnsi="Times New Roman" w:eastAsia="黑体" w:cs="Times New Roman"/>
      <w:kern w:val="21"/>
      <w:sz w:val="21"/>
      <w:lang w:val="en-US" w:eastAsia="zh-CN" w:bidi="ar-SA"/>
    </w:rPr>
  </w:style>
  <w:style w:type="paragraph" w:customStyle="1" w:styleId="95">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96">
    <w:name w:val="附录标识"/>
    <w:basedOn w:val="71"/>
    <w:qFormat/>
    <w:uiPriority w:val="0"/>
    <w:pPr>
      <w:numPr>
        <w:ilvl w:val="0"/>
        <w:numId w:val="1"/>
      </w:numPr>
      <w:tabs>
        <w:tab w:val="left" w:pos="6405"/>
      </w:tabs>
      <w:spacing w:after="200"/>
    </w:pPr>
    <w:rPr>
      <w:sz w:val="21"/>
    </w:rPr>
  </w:style>
  <w:style w:type="paragraph" w:customStyle="1" w:styleId="9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8">
    <w:name w:val="标准书眉一"/>
    <w:qFormat/>
    <w:uiPriority w:val="0"/>
    <w:pPr>
      <w:jc w:val="both"/>
    </w:pPr>
    <w:rPr>
      <w:rFonts w:ascii="Times New Roman" w:hAnsi="Times New Roman" w:eastAsia="宋体" w:cs="Times New Roman"/>
      <w:lang w:val="en-US" w:eastAsia="zh-CN" w:bidi="ar-SA"/>
    </w:rPr>
  </w:style>
  <w:style w:type="paragraph" w:customStyle="1" w:styleId="9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0">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character" w:customStyle="1" w:styleId="101">
    <w:name w:val="short_text"/>
    <w:basedOn w:val="29"/>
    <w:qFormat/>
    <w:uiPriority w:val="0"/>
  </w:style>
  <w:style w:type="paragraph" w:customStyle="1" w:styleId="10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3">
    <w:name w:val="标准文件_章标题"/>
    <w:next w:val="102"/>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DS2\tds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tds2</Template>
  <Company>CNIS</Company>
  <Pages>7</Pages>
  <Words>3249</Words>
  <Characters>3877</Characters>
  <Lines>31</Lines>
  <Paragraphs>8</Paragraphs>
  <TotalTime>1</TotalTime>
  <ScaleCrop>false</ScaleCrop>
  <LinksUpToDate>false</LinksUpToDate>
  <CharactersWithSpaces>4123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2004-01-14T00:30:00Z</dcterms:created>
  <dc:creator>cg</dc:creator>
  <cp:lastModifiedBy>禹茶良</cp:lastModifiedBy>
  <cp:lastPrinted>2023-05-11T03:11:00Z</cp:lastPrinted>
  <dcterms:modified xsi:type="dcterms:W3CDTF">2026-02-11T04:17:41Z</dcterms:modified>
  <dc:title> </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2052-11.8.2.10229</vt:lpwstr>
  </property>
  <property fmtid="{D5CDD505-2E9C-101B-9397-08002B2CF9AE}" pid="4" name="ICV">
    <vt:lpwstr>7C8E7A71F17E487DBD19FBA450C836D6_13</vt:lpwstr>
  </property>
</Properties>
</file>