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left="0"/>
        <w:jc w:val="center"/>
        <w:textAlignment w:val="auto"/>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t>揭阳市二次供水管理规定</w:t>
      </w:r>
    </w:p>
    <w:p>
      <w:pPr>
        <w:pStyle w:val="2"/>
        <w:keepNext w:val="0"/>
        <w:keepLines w:val="0"/>
        <w:pageBreakBefore w:val="0"/>
        <w:kinsoku w:val="0"/>
        <w:wordWrap/>
        <w:overflowPunct w:val="0"/>
        <w:topLinePunct w:val="0"/>
        <w:bidi w:val="0"/>
        <w:snapToGrid/>
        <w:spacing w:line="600" w:lineRule="exact"/>
        <w:ind w:left="0"/>
        <w:jc w:val="center"/>
        <w:textAlignment w:val="auto"/>
        <w:rPr>
          <w:rFonts w:hint="eastAsia" w:ascii="仿宋_GB2312" w:hAnsi="仿宋_GB2312" w:eastAsia="仿宋_GB2312" w:cs="仿宋_GB2312"/>
          <w:spacing w:val="-8"/>
          <w:sz w:val="36"/>
          <w:szCs w:val="36"/>
        </w:rPr>
      </w:pPr>
      <w:r>
        <w:rPr>
          <w:rFonts w:hint="eastAsia" w:ascii="仿宋_GB2312" w:hAnsi="仿宋_GB2312" w:eastAsia="仿宋_GB2312" w:cs="仿宋_GB2312"/>
          <w:spacing w:val="-8"/>
          <w:sz w:val="36"/>
          <w:szCs w:val="36"/>
        </w:rPr>
        <w:t>（送审稿</w:t>
      </w:r>
      <w:r>
        <w:rPr>
          <w:rFonts w:hint="eastAsia" w:ascii="仿宋_GB2312" w:hAnsi="仿宋_GB2312" w:eastAsia="仿宋_GB2312" w:cs="仿宋_GB2312"/>
          <w:spacing w:val="-8"/>
          <w:sz w:val="36"/>
          <w:szCs w:val="36"/>
          <w:lang w:eastAsia="zh-CN"/>
        </w:rPr>
        <w:t>征求意见稿</w:t>
      </w:r>
      <w:r>
        <w:rPr>
          <w:rFonts w:hint="eastAsia" w:ascii="仿宋_GB2312" w:hAnsi="仿宋_GB2312" w:eastAsia="仿宋_GB2312" w:cs="仿宋_GB2312"/>
          <w:spacing w:val="-8"/>
          <w:sz w:val="36"/>
          <w:szCs w:val="36"/>
        </w:rPr>
        <w:t>）</w:t>
      </w:r>
    </w:p>
    <w:p>
      <w:pPr>
        <w:pStyle w:val="2"/>
        <w:keepNext w:val="0"/>
        <w:keepLines w:val="0"/>
        <w:pageBreakBefore w:val="0"/>
        <w:kinsoku w:val="0"/>
        <w:wordWrap/>
        <w:overflowPunct w:val="0"/>
        <w:topLinePunct w:val="0"/>
        <w:bidi w:val="0"/>
        <w:snapToGrid/>
        <w:spacing w:line="600" w:lineRule="exact"/>
        <w:ind w:left="0"/>
        <w:jc w:val="center"/>
        <w:textAlignment w:val="auto"/>
        <w:rPr>
          <w:rFonts w:hint="eastAsia" w:ascii="华光小标宋_CNKI" w:eastAsia="华光小标宋_CNKI" w:cs="华光小标宋_CNKI"/>
          <w:spacing w:val="-8"/>
          <w:sz w:val="44"/>
          <w:szCs w:val="44"/>
        </w:rPr>
      </w:pPr>
    </w:p>
    <w:p>
      <w:pPr>
        <w:keepNext w:val="0"/>
        <w:keepLines w:val="0"/>
        <w:pageBreakBefore w:val="0"/>
        <w:wordWrap/>
        <w:topLinePunct w:val="0"/>
        <w:bidi w:val="0"/>
        <w:snapToGrid/>
        <w:spacing w:line="600" w:lineRule="exact"/>
        <w:ind w:left="0" w:leftChars="0" w:firstLine="0" w:firstLine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规范二次供水管理，</w:t>
      </w:r>
      <w:r>
        <w:rPr>
          <w:rFonts w:hint="eastAsia" w:ascii="仿宋_GB2312" w:hAnsi="仿宋_GB2312" w:eastAsia="仿宋_GB2312" w:cs="仿宋_GB2312"/>
          <w:sz w:val="32"/>
          <w:szCs w:val="32"/>
          <w:lang w:eastAsia="zh-CN"/>
        </w:rPr>
        <w:t>保证</w:t>
      </w:r>
      <w:r>
        <w:rPr>
          <w:rFonts w:hint="eastAsia" w:ascii="仿宋_GB2312" w:hAnsi="仿宋_GB2312" w:eastAsia="仿宋_GB2312" w:cs="仿宋_GB2312"/>
          <w:sz w:val="32"/>
          <w:szCs w:val="32"/>
        </w:rPr>
        <w:t>二次供水质量和安全，根据《</w:t>
      </w:r>
      <w:bookmarkStart w:id="6" w:name="_GoBack"/>
      <w:bookmarkEnd w:id="6"/>
      <w:r>
        <w:rPr>
          <w:rFonts w:hint="eastAsia" w:ascii="仿宋_GB2312" w:hAnsi="仿宋_GB2312" w:eastAsia="仿宋_GB2312" w:cs="仿宋_GB2312"/>
          <w:sz w:val="32"/>
          <w:szCs w:val="32"/>
        </w:rPr>
        <w:t>城市供水条例》等法律、法规、规章和有关规定，结合</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市实际，制定本规定。</w:t>
      </w:r>
    </w:p>
    <w:p>
      <w:pPr>
        <w:keepNext w:val="0"/>
        <w:keepLines w:val="0"/>
        <w:pageBreakBefore w:val="0"/>
        <w:wordWrap/>
        <w:topLinePunct w:val="0"/>
        <w:bidi w:val="0"/>
        <w:snapToGrid/>
        <w:spacing w:line="600" w:lineRule="exact"/>
        <w:ind w:firstLine="65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bookmarkStart w:id="0" w:name="_Hlk188347848"/>
      <w:bookmarkStart w:id="1" w:name="_Hlk188463171"/>
      <w:bookmarkStart w:id="2" w:name="_Hlk188463188"/>
      <w:r>
        <w:rPr>
          <w:rFonts w:hint="eastAsia" w:ascii="仿宋_GB2312" w:hAnsi="仿宋" w:eastAsia="仿宋_GB2312"/>
          <w:sz w:val="32"/>
          <w:szCs w:val="32"/>
          <w:lang w:eastAsia="zh-CN"/>
        </w:rPr>
        <w:t>本规定适用于本市城市公共供水区域内</w:t>
      </w:r>
      <w:bookmarkEnd w:id="0"/>
      <w:bookmarkEnd w:id="1"/>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生活用水二次供水（以下简称“二次供水”）设施的建设、运行维护、监督管理等工作</w:t>
      </w:r>
      <w:bookmarkEnd w:id="2"/>
      <w:r>
        <w:rPr>
          <w:rFonts w:hint="eastAsia" w:ascii="仿宋_GB2312" w:hAnsi="仿宋_GB2312" w:eastAsia="仿宋_GB2312" w:cs="仿宋_GB2312"/>
          <w:sz w:val="32"/>
          <w:szCs w:val="32"/>
        </w:rPr>
        <w:t>。</w:t>
      </w:r>
    </w:p>
    <w:p>
      <w:pPr>
        <w:keepNext w:val="0"/>
        <w:keepLines w:val="0"/>
        <w:pageBreakBefore w:val="0"/>
        <w:wordWrap/>
        <w:topLinePunct w:val="0"/>
        <w:bidi w:val="0"/>
        <w:snapToGrid/>
        <w:spacing w:line="600" w:lineRule="exact"/>
        <w:ind w:firstLine="6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本规定所称的城市</w:t>
      </w:r>
      <w:r>
        <w:rPr>
          <w:rFonts w:hint="eastAsia" w:ascii="仿宋_GB2312" w:hAnsi="仿宋_GB2312" w:eastAsia="仿宋_GB2312" w:cs="仿宋_GB2312"/>
          <w:sz w:val="32"/>
          <w:szCs w:val="32"/>
        </w:rPr>
        <w:t>公共供水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是指城市自来水企业以公共供水管道及其附属设施向单位和居民的生活、生产和其他各项建设提供用水。</w:t>
      </w:r>
    </w:p>
    <w:p>
      <w:pPr>
        <w:keepNext w:val="0"/>
        <w:keepLines w:val="0"/>
        <w:pageBreakBefore w:val="0"/>
        <w:widowControl/>
        <w:wordWrap/>
        <w:topLinePunct w:val="0"/>
        <w:bidi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本规定所称的二次供水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是指城市公共供水在入户前经再度储存、加压和消毒，通过管道或者容器输送给用户的生活饮用水供水方式。</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本规定所称二次供水设施是指为二次供水而设置的泵房、水池（箱）、水泵、阀门、电控装置、消毒设备、压力水容器、供水管道等设施。</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城市供水工程管网覆盖</w:t>
      </w:r>
      <w:r>
        <w:rPr>
          <w:rFonts w:hint="eastAsia" w:ascii="仿宋_GB2312" w:hAnsi="仿宋_GB2312" w:eastAsia="仿宋_GB2312" w:cs="仿宋_GB2312"/>
          <w:sz w:val="32"/>
          <w:szCs w:val="32"/>
          <w:lang w:eastAsia="zh-CN"/>
        </w:rPr>
        <w:t>以外的</w:t>
      </w:r>
      <w:r>
        <w:rPr>
          <w:rFonts w:hint="eastAsia" w:ascii="仿宋_GB2312" w:hAnsi="仿宋_GB2312" w:eastAsia="仿宋_GB2312" w:cs="仿宋_GB2312"/>
          <w:sz w:val="32"/>
          <w:szCs w:val="32"/>
        </w:rPr>
        <w:t>农村</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供水及监督管理活动，适用</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供水管理相关法律、法规的规定。</w:t>
      </w:r>
    </w:p>
    <w:p>
      <w:pPr>
        <w:keepNext w:val="0"/>
        <w:keepLines w:val="0"/>
        <w:pageBreakBefore w:val="0"/>
        <w:wordWrap/>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城市供水行政主管部门负责</w:t>
      </w:r>
      <w:r>
        <w:rPr>
          <w:rFonts w:hint="eastAsia" w:ascii="仿宋_GB2312" w:hAnsi="仿宋_GB2312" w:eastAsia="仿宋_GB2312" w:cs="仿宋_GB2312"/>
          <w:sz w:val="32"/>
          <w:szCs w:val="32"/>
          <w:lang w:eastAsia="zh-CN"/>
        </w:rPr>
        <w:t>二次供水监督管理工作</w:t>
      </w:r>
      <w:r>
        <w:rPr>
          <w:rFonts w:hint="eastAsia" w:ascii="仿宋_GB2312" w:hAnsi="仿宋_GB2312" w:eastAsia="仿宋_GB2312" w:cs="仿宋_GB2312"/>
          <w:sz w:val="32"/>
          <w:szCs w:val="32"/>
        </w:rPr>
        <w:t xml:space="preserve">。 </w:t>
      </w:r>
    </w:p>
    <w:p>
      <w:pPr>
        <w:keepNext w:val="0"/>
        <w:keepLines w:val="0"/>
        <w:pageBreakBefore w:val="0"/>
        <w:wordWrap/>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卫生健康行政主管部门负责</w:t>
      </w:r>
      <w:r>
        <w:rPr>
          <w:rFonts w:hint="eastAsia" w:ascii="仿宋_GB2312" w:hAnsi="仿宋_GB2312" w:eastAsia="仿宋_GB2312" w:cs="仿宋_GB2312"/>
          <w:sz w:val="32"/>
          <w:szCs w:val="32"/>
          <w:lang w:eastAsia="zh-CN"/>
        </w:rPr>
        <w:t>饮用水</w:t>
      </w:r>
      <w:r>
        <w:rPr>
          <w:rFonts w:hint="eastAsia" w:ascii="仿宋_GB2312" w:hAnsi="仿宋_GB2312" w:eastAsia="仿宋_GB2312" w:cs="仿宋_GB2312"/>
          <w:sz w:val="32"/>
          <w:szCs w:val="32"/>
        </w:rPr>
        <w:t>二次供水的卫生监督</w:t>
      </w:r>
      <w:r>
        <w:rPr>
          <w:rFonts w:hint="eastAsia"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rPr>
        <w:t>工作。</w:t>
      </w:r>
    </w:p>
    <w:p>
      <w:pPr>
        <w:keepNext w:val="0"/>
        <w:keepLines w:val="0"/>
        <w:pageBreakBefore w:val="0"/>
        <w:wordWrap/>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城市管理和综合执法行政主管部门负责行使住房城乡建设领域法律、法规、规章规定的供水用水方面行政处罚职能。</w:t>
      </w:r>
    </w:p>
    <w:p>
      <w:pPr>
        <w:keepNext w:val="0"/>
        <w:keepLines w:val="0"/>
        <w:pageBreakBefore w:val="0"/>
        <w:wordWrap/>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供水企业配合协助政府有关部门开展二次供水的监督管理工作。</w:t>
      </w:r>
    </w:p>
    <w:p>
      <w:pPr>
        <w:keepNext w:val="0"/>
        <w:keepLines w:val="0"/>
        <w:pageBreakBefore w:val="0"/>
        <w:wordWrap/>
        <w:topLinePunct w:val="0"/>
        <w:bidi w:val="0"/>
        <w:snapToGrid/>
        <w:spacing w:line="600" w:lineRule="exact"/>
        <w:ind w:firstLine="6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发展改革、公安、财政、自然资源、水利、市场监督管理等行政管理部门依职责监督或者协同实施本规定。</w:t>
      </w:r>
    </w:p>
    <w:p>
      <w:pPr>
        <w:keepNext w:val="0"/>
        <w:keepLines w:val="0"/>
        <w:pageBreakBefore w:val="0"/>
        <w:wordWrap/>
        <w:topLinePunct w:val="0"/>
        <w:bidi w:val="0"/>
        <w:snapToGrid/>
        <w:spacing w:line="600" w:lineRule="exact"/>
        <w:ind w:left="0" w:leftChars="0" w:firstLine="0" w:firstLineChars="0"/>
        <w:jc w:val="center"/>
        <w:textAlignment w:val="auto"/>
        <w:rPr>
          <w:rFonts w:hint="eastAsia" w:ascii="黑体" w:hAnsi="黑体" w:eastAsia="黑体" w:cs="黑体"/>
          <w:sz w:val="32"/>
          <w:szCs w:val="32"/>
          <w:lang w:eastAsia="zh-CN"/>
        </w:rPr>
      </w:pPr>
    </w:p>
    <w:p>
      <w:pPr>
        <w:keepNext w:val="0"/>
        <w:keepLines w:val="0"/>
        <w:pageBreakBefore w:val="0"/>
        <w:wordWrap/>
        <w:topLinePunct w:val="0"/>
        <w:bidi w:val="0"/>
        <w:snapToGrid/>
        <w:spacing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建设管理</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新建、改建、扩建的建筑工程对水压、水量的要求超过城市公共供水管网水压标准的，建设单位（产权人）必须配套建设二次供水设施，</w:t>
      </w:r>
      <w:r>
        <w:rPr>
          <w:rFonts w:hint="eastAsia" w:ascii="仿宋_GB2312" w:hAnsi="仿宋_GB2312" w:eastAsia="仿宋_GB2312" w:cs="仿宋_GB2312"/>
          <w:sz w:val="32"/>
          <w:szCs w:val="32"/>
          <w:lang w:eastAsia="zh-CN"/>
        </w:rPr>
        <w:t>并由建设单位负责投资建设，</w:t>
      </w:r>
      <w:r>
        <w:rPr>
          <w:rFonts w:hint="eastAsia" w:ascii="仿宋_GB2312" w:hAnsi="仿宋_GB2312" w:eastAsia="仿宋_GB2312" w:cs="仿宋_GB2312"/>
          <w:sz w:val="32"/>
          <w:szCs w:val="32"/>
        </w:rPr>
        <w:t>所需投资纳入工程项目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成本。</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新建居民住宅配套建设的二次供水设施，应当与主体工程同时设计、同时施工、同时交付使用。</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已建成使用的建筑对供水管网服务压力要求超过国家规定供水管网服务压力标准的，应由建设单位（产权人）负责完善或建设二次供水设施。</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新建、扩建、改建的居民二次供水设施，鼓励城市供水企业实施统建统管。</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承担二次供水设施设计、施工、监理的单位应具有相应的资质。二次供水设施选址和设计</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rPr>
        <w:t>，应符合国家</w:t>
      </w:r>
      <w:r>
        <w:rPr>
          <w:rFonts w:hint="eastAsia" w:ascii="仿宋_GB2312" w:hAnsi="仿宋_GB2312" w:eastAsia="仿宋_GB2312" w:cs="仿宋_GB2312"/>
          <w:sz w:val="32"/>
          <w:szCs w:val="32"/>
          <w:lang w:eastAsia="zh-CN"/>
        </w:rPr>
        <w:t>和省有关</w:t>
      </w:r>
      <w:r>
        <w:rPr>
          <w:rFonts w:hint="eastAsia" w:ascii="仿宋_GB2312" w:hAnsi="仿宋_GB2312" w:eastAsia="仿宋_GB2312" w:cs="仿宋_GB2312"/>
          <w:sz w:val="32"/>
          <w:szCs w:val="32"/>
        </w:rPr>
        <w:t>标准、规范和规程。二次供水设施设计方案应当经城市供水单位参与技术审查；供水企业在收到设计方案之日起二十日内出具合理、合法、合规审查意见。</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二次供水设施建设单位（产权人）应</w:t>
      </w:r>
      <w:r>
        <w:rPr>
          <w:rFonts w:hint="eastAsia" w:ascii="仿宋_GB2312" w:hAnsi="仿宋_GB2312" w:eastAsia="仿宋_GB2312" w:cs="仿宋_GB2312"/>
          <w:sz w:val="32"/>
          <w:szCs w:val="32"/>
          <w:lang w:eastAsia="zh-CN"/>
        </w:rPr>
        <w:t>邀请城市</w:t>
      </w:r>
      <w:r>
        <w:rPr>
          <w:rFonts w:hint="eastAsia" w:ascii="仿宋_GB2312" w:hAnsi="仿宋_GB2312" w:eastAsia="仿宋_GB2312" w:cs="仿宋_GB2312"/>
          <w:sz w:val="32"/>
          <w:szCs w:val="32"/>
        </w:rPr>
        <w:t>供水企业参与二次供水设施隐蔽工程的验收与关键工序的监督工作</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供水企业</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提出合理、合法、合规审查意见。</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二次供水设施工程竣工后，按</w:t>
      </w:r>
      <w:r>
        <w:rPr>
          <w:rFonts w:hint="eastAsia" w:ascii="仿宋_GB2312" w:hAnsi="仿宋_GB2312" w:eastAsia="仿宋_GB2312" w:cs="仿宋_GB2312"/>
          <w:sz w:val="32"/>
          <w:szCs w:val="32"/>
          <w:lang w:eastAsia="zh-CN"/>
        </w:rPr>
        <w:t>经城市</w:t>
      </w:r>
      <w:r>
        <w:rPr>
          <w:rFonts w:hint="eastAsia" w:ascii="仿宋_GB2312" w:hAnsi="仿宋_GB2312" w:eastAsia="仿宋_GB2312" w:cs="仿宋_GB2312"/>
          <w:sz w:val="32"/>
          <w:szCs w:val="32"/>
        </w:rPr>
        <w:t>供水企业参与验收，验收合格后方可使用。</w:t>
      </w:r>
    </w:p>
    <w:p>
      <w:pPr>
        <w:keepNext w:val="0"/>
        <w:keepLines w:val="0"/>
        <w:pageBreakBefore w:val="0"/>
        <w:wordWrap/>
        <w:topLinePunct w:val="0"/>
        <w:bidi w:val="0"/>
        <w:snapToGrid/>
        <w:spacing w:line="600" w:lineRule="exact"/>
        <w:ind w:firstLine="636"/>
        <w:textAlignment w:val="auto"/>
        <w:rPr>
          <w:rFonts w:hint="eastAsia" w:ascii="仿宋_GB2312" w:hAnsi="仿宋"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禁止擅自将二次供水设施系统与城市供水管网系统</w:t>
      </w:r>
      <w:r>
        <w:rPr>
          <w:rFonts w:hint="eastAsia" w:ascii="仿宋_GB2312" w:hAnsi="仿宋_GB2312" w:eastAsia="仿宋_GB2312" w:cs="仿宋_GB2312"/>
          <w:sz w:val="32"/>
          <w:szCs w:val="32"/>
          <w:lang w:eastAsia="zh-CN"/>
        </w:rPr>
        <w:t>连接</w:t>
      </w:r>
      <w:r>
        <w:rPr>
          <w:rFonts w:hint="eastAsia" w:ascii="仿宋_GB2312" w:hAnsi="仿宋_GB2312" w:eastAsia="仿宋_GB2312" w:cs="仿宋_GB2312"/>
          <w:sz w:val="32"/>
          <w:szCs w:val="32"/>
        </w:rPr>
        <w:t>。</w:t>
      </w:r>
    </w:p>
    <w:p>
      <w:pPr>
        <w:keepNext w:val="0"/>
        <w:keepLines w:val="0"/>
        <w:pageBreakBefore w:val="0"/>
        <w:wordWrap/>
        <w:topLinePunct w:val="0"/>
        <w:bidi w:val="0"/>
        <w:snapToGrid/>
        <w:spacing w:line="600" w:lineRule="exact"/>
        <w:ind w:firstLine="636"/>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禁止在城市公共供水管道上直接装泵抽水。</w:t>
      </w:r>
      <w:r>
        <w:rPr>
          <w:rFonts w:hint="eastAsia" w:ascii="仿宋_GB2312" w:hAnsi="仿宋_GB2312" w:eastAsia="仿宋_GB2312" w:cs="仿宋_GB2312"/>
          <w:sz w:val="32"/>
          <w:szCs w:val="32"/>
        </w:rPr>
        <w:t>建设单位选用叠压供水的，应在不影响片区城市公共供水管网安全及周边用户正常用水的前提下，经</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供水企业同意后可以采用叠压供水。</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前款所称叠压供水，是指供水设备从城市公共供水管网中直接吸水增压的二次供水方式。</w:t>
      </w:r>
    </w:p>
    <w:p>
      <w:pPr>
        <w:keepNext w:val="0"/>
        <w:keepLines w:val="0"/>
        <w:pageBreakBefore w:val="0"/>
        <w:wordWrap/>
        <w:topLinePunct w:val="0"/>
        <w:bidi w:val="0"/>
        <w:snapToGrid/>
        <w:spacing w:line="600" w:lineRule="exact"/>
        <w:ind w:left="0" w:leftChars="0" w:firstLine="0" w:firstLineChars="0"/>
        <w:jc w:val="center"/>
        <w:textAlignment w:val="auto"/>
        <w:rPr>
          <w:rFonts w:hint="eastAsia" w:ascii="黑体" w:hAnsi="黑体" w:eastAsia="黑体" w:cs="黑体"/>
          <w:sz w:val="32"/>
          <w:szCs w:val="32"/>
          <w:lang w:eastAsia="zh-CN"/>
        </w:rPr>
      </w:pPr>
    </w:p>
    <w:p>
      <w:pPr>
        <w:keepNext w:val="0"/>
        <w:keepLines w:val="0"/>
        <w:pageBreakBefore w:val="0"/>
        <w:wordWrap/>
        <w:topLinePunct w:val="0"/>
        <w:bidi w:val="0"/>
        <w:snapToGrid/>
        <w:spacing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运行管理</w:t>
      </w:r>
    </w:p>
    <w:p>
      <w:pPr>
        <w:keepNext w:val="0"/>
        <w:keepLines w:val="0"/>
        <w:pageBreakBefore w:val="0"/>
        <w:wordWrap/>
        <w:topLinePunct w:val="0"/>
        <w:bidi w:val="0"/>
        <w:snapToGrid/>
        <w:spacing w:line="600" w:lineRule="exact"/>
        <w:ind w:firstLine="640"/>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二次供水设施投入使用前，应当严格进行清洗消毒，经</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部门资质认定的水质检测机构检验合格后，方可投入使用。</w:t>
      </w:r>
    </w:p>
    <w:p>
      <w:pPr>
        <w:keepNext w:val="0"/>
        <w:keepLines w:val="0"/>
        <w:pageBreakBefore w:val="0"/>
        <w:wordWrap/>
        <w:topLinePunct w:val="0"/>
        <w:bidi w:val="0"/>
        <w:snapToGrid/>
        <w:spacing w:line="600" w:lineRule="exact"/>
        <w:ind w:firstLine="640"/>
        <w:textAlignment w:val="auto"/>
        <w:rPr>
          <w:rFonts w:hint="eastAsia" w:ascii="仿宋_GB2312" w:hAnsi="黑体" w:eastAsia="仿宋_GB2312"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w:t>
      </w:r>
      <w:r>
        <w:rPr>
          <w:rFonts w:hint="eastAsia" w:ascii="仿宋_GB2312" w:hAnsi="黑体" w:eastAsia="仿宋_GB2312" w:cs="黑体"/>
          <w:sz w:val="32"/>
          <w:szCs w:val="32"/>
        </w:rPr>
        <w:t>建设单位（产权人）及业主依法、自愿委托</w:t>
      </w:r>
      <w:r>
        <w:rPr>
          <w:rFonts w:hint="eastAsia" w:ascii="仿宋_GB2312" w:hAnsi="黑体" w:eastAsia="仿宋_GB2312" w:cs="黑体"/>
          <w:sz w:val="32"/>
          <w:szCs w:val="32"/>
          <w:lang w:eastAsia="zh-CN"/>
        </w:rPr>
        <w:t>城市</w:t>
      </w:r>
      <w:r>
        <w:rPr>
          <w:rFonts w:hint="eastAsia" w:ascii="仿宋_GB2312" w:hAnsi="黑体" w:eastAsia="仿宋_GB2312" w:cs="黑体"/>
          <w:sz w:val="32"/>
          <w:szCs w:val="32"/>
        </w:rPr>
        <w:t>供水企业统一负责二次供水设施的运行维护和管理。</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bookmarkStart w:id="3" w:name="_Hlk192349455"/>
      <w:r>
        <w:rPr>
          <w:rFonts w:hint="eastAsia" w:ascii="仿宋_GB2312" w:hAnsi="仿宋_GB2312" w:eastAsia="仿宋_GB2312" w:cs="仿宋_GB2312"/>
          <w:sz w:val="32"/>
          <w:szCs w:val="32"/>
        </w:rPr>
        <w:t>本规定实施前已开工</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或投入使用</w:t>
      </w:r>
      <w:bookmarkEnd w:id="3"/>
      <w:r>
        <w:rPr>
          <w:rFonts w:hint="eastAsia" w:ascii="仿宋_GB2312" w:hAnsi="仿宋_GB2312" w:eastAsia="仿宋_GB2312" w:cs="仿宋_GB2312"/>
          <w:sz w:val="32"/>
          <w:szCs w:val="32"/>
          <w:lang w:eastAsia="zh-CN"/>
        </w:rPr>
        <w:t>的二次供水设施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符合相关标准规范，或经改造后符合相关标准规范后，鼓励</w:t>
      </w:r>
      <w:r>
        <w:rPr>
          <w:rFonts w:hint="eastAsia" w:ascii="仿宋_GB2312" w:hAnsi="仿宋_GB2312" w:eastAsia="仿宋_GB2312" w:cs="仿宋_GB2312"/>
          <w:sz w:val="32"/>
          <w:szCs w:val="32"/>
        </w:rPr>
        <w:t>建设单位（产权人）</w:t>
      </w:r>
      <w:bookmarkStart w:id="4" w:name="_Hlk192349507"/>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二次供水设施</w:t>
      </w:r>
      <w:r>
        <w:rPr>
          <w:rFonts w:hint="eastAsia" w:ascii="仿宋_GB2312" w:hAnsi="仿宋_GB2312" w:eastAsia="仿宋_GB2312" w:cs="仿宋_GB2312"/>
          <w:sz w:val="32"/>
          <w:szCs w:val="32"/>
          <w:lang w:eastAsia="zh-CN"/>
        </w:rPr>
        <w:t>按程序</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供水企业维护管理</w:t>
      </w:r>
      <w:bookmarkEnd w:id="4"/>
      <w:r>
        <w:rPr>
          <w:rFonts w:hint="eastAsia" w:ascii="仿宋_GB2312" w:hAnsi="仿宋_GB2312" w:eastAsia="仿宋_GB2312" w:cs="仿宋_GB2312"/>
          <w:sz w:val="32"/>
          <w:szCs w:val="32"/>
        </w:rPr>
        <w:t>。</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bookmarkStart w:id="5" w:name="_Hlk192349468"/>
      <w:r>
        <w:rPr>
          <w:rFonts w:hint="eastAsia" w:ascii="仿宋_GB2312" w:hAnsi="仿宋_GB2312" w:eastAsia="仿宋_GB2312" w:cs="仿宋_GB2312"/>
          <w:sz w:val="32"/>
          <w:szCs w:val="32"/>
          <w:lang w:eastAsia="zh-CN"/>
        </w:rPr>
        <w:t>本规定实施后新建的二次供水设施，经验收合格后交由城市供水企业维护管理。</w:t>
      </w:r>
      <w:bookmarkEnd w:id="5"/>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黑体" w:eastAsia="仿宋_GB2312" w:cs="黑体"/>
          <w:sz w:val="32"/>
          <w:szCs w:val="32"/>
          <w:lang w:eastAsia="zh-CN"/>
        </w:rPr>
        <w:t>城市</w:t>
      </w:r>
      <w:r>
        <w:rPr>
          <w:rFonts w:hint="eastAsia" w:ascii="仿宋_GB2312" w:hAnsi="仿宋_GB2312" w:eastAsia="仿宋_GB2312" w:cs="仿宋_GB2312"/>
          <w:sz w:val="32"/>
          <w:szCs w:val="32"/>
        </w:rPr>
        <w:t>供水企业承接二次供水维护业务时，</w:t>
      </w:r>
      <w:r>
        <w:rPr>
          <w:rFonts w:hint="eastAsia" w:ascii="仿宋_GB2312" w:hAnsi="黑体" w:eastAsia="仿宋_GB2312" w:cs="黑体"/>
          <w:sz w:val="32"/>
          <w:szCs w:val="32"/>
          <w:lang w:eastAsia="zh-CN"/>
        </w:rPr>
        <w:t>应</w:t>
      </w:r>
      <w:r>
        <w:rPr>
          <w:rFonts w:hint="eastAsia" w:ascii="仿宋_GB2312" w:hAnsi="仿宋_GB2312" w:eastAsia="仿宋_GB2312" w:cs="仿宋_GB2312"/>
          <w:sz w:val="32"/>
          <w:szCs w:val="32"/>
        </w:rPr>
        <w:t>与委托方签订二次供水服务协议，明确双方权利义务、</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范围、安防措施、</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期限、费用、违约责任等相关具体事项。</w:t>
      </w:r>
    </w:p>
    <w:p>
      <w:pPr>
        <w:keepNext w:val="0"/>
        <w:keepLines w:val="0"/>
        <w:pageBreakBefore w:val="0"/>
        <w:wordWrap/>
        <w:topLinePunct w:val="0"/>
        <w:bidi w:val="0"/>
        <w:snapToGrid/>
        <w:spacing w:line="600" w:lineRule="exact"/>
        <w:ind w:firstLine="640"/>
        <w:textAlignment w:val="auto"/>
        <w:rPr>
          <w:rFonts w:hint="eastAsia" w:ascii="仿宋_GB2312" w:hAnsi="黑体" w:eastAsia="仿宋_GB2312" w:cs="黑体"/>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 xml:space="preserve">条  </w:t>
      </w:r>
      <w:r>
        <w:rPr>
          <w:rFonts w:hint="eastAsia" w:ascii="仿宋_GB2312" w:hAnsi="黑体" w:eastAsia="仿宋_GB2312" w:cs="黑体"/>
          <w:sz w:val="32"/>
          <w:szCs w:val="32"/>
        </w:rPr>
        <w:t>推行居民用水合同制度，实现供水企业“抄表到户、一户一表、水表出户、计量到户、服务到户”。</w:t>
      </w:r>
      <w:r>
        <w:rPr>
          <w:rFonts w:hint="eastAsia" w:ascii="仿宋_GB2312" w:hAnsi="黑体" w:eastAsia="仿宋_GB2312" w:cs="黑体"/>
          <w:sz w:val="32"/>
          <w:szCs w:val="32"/>
          <w:lang w:eastAsia="zh-CN"/>
        </w:rPr>
        <w:t>鼓励利用物联网等技术，建立二次供水设施远程管理控制体系，提高管理效率和服务水平。</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二次供水设施管理单位</w:t>
      </w:r>
      <w:r>
        <w:rPr>
          <w:rFonts w:hint="eastAsia" w:ascii="仿宋_GB2312" w:hAnsi="仿宋_GB2312" w:eastAsia="仿宋_GB2312" w:cs="仿宋_GB2312"/>
          <w:sz w:val="32"/>
          <w:szCs w:val="32"/>
        </w:rPr>
        <w:t>应建立健全二次供水设施</w:t>
      </w:r>
      <w:r>
        <w:rPr>
          <w:rFonts w:hint="eastAsia" w:ascii="仿宋_GB2312" w:hAnsi="仿宋_GB2312" w:eastAsia="仿宋_GB2312" w:cs="仿宋_GB2312"/>
          <w:sz w:val="32"/>
          <w:szCs w:val="32"/>
          <w:lang w:eastAsia="zh-CN"/>
        </w:rPr>
        <w:t>管理制度，配备人员对二次供水设施进行定期</w:t>
      </w:r>
      <w:r>
        <w:rPr>
          <w:rFonts w:hint="eastAsia" w:ascii="仿宋_GB2312" w:hAnsi="仿宋_GB2312" w:eastAsia="仿宋_GB2312" w:cs="仿宋_GB2312"/>
          <w:sz w:val="32"/>
          <w:szCs w:val="32"/>
        </w:rPr>
        <w:t>维护和</w:t>
      </w:r>
      <w:r>
        <w:rPr>
          <w:rFonts w:hint="eastAsia" w:ascii="仿宋_GB2312" w:hAnsi="仿宋_GB2312" w:eastAsia="仿宋_GB2312" w:cs="仿宋_GB2312"/>
          <w:sz w:val="32"/>
          <w:szCs w:val="32"/>
          <w:lang w:eastAsia="zh-CN"/>
        </w:rPr>
        <w:t>管养工作，建立设施清洗、消毒、维护和水质检测台账，</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二次供水设施正常、安全运行</w:t>
      </w:r>
      <w:r>
        <w:rPr>
          <w:rFonts w:ascii="仿宋_GB2312" w:hAnsi="仿宋_GB2312" w:eastAsia="仿宋_GB2312" w:cs="仿宋_GB2312"/>
          <w:sz w:val="32"/>
          <w:szCs w:val="32"/>
        </w:rPr>
        <w:t>。</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二次供水设施管理单位</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定期进行水质检测，并进行</w:t>
      </w:r>
      <w:r>
        <w:rPr>
          <w:rFonts w:hint="eastAsia" w:ascii="仿宋_GB2312" w:hAnsi="仿宋_GB2312" w:eastAsia="仿宋_GB2312" w:cs="仿宋_GB2312"/>
          <w:sz w:val="32"/>
          <w:szCs w:val="32"/>
        </w:rPr>
        <w:t>二次供水蓄水设施清洗消毒</w:t>
      </w:r>
      <w:r>
        <w:rPr>
          <w:rFonts w:hint="eastAsia" w:ascii="仿宋_GB2312" w:hAnsi="仿宋_GB2312" w:eastAsia="仿宋_GB2312" w:cs="仿宋_GB2312"/>
          <w:sz w:val="32"/>
          <w:szCs w:val="32"/>
          <w:lang w:eastAsia="zh-CN"/>
        </w:rPr>
        <w:t>，每半年至少一次</w:t>
      </w:r>
      <w:r>
        <w:rPr>
          <w:rFonts w:hint="eastAsia" w:ascii="仿宋_GB2312" w:hAnsi="仿宋_GB2312" w:eastAsia="仿宋_GB2312" w:cs="仿宋_GB2312"/>
          <w:sz w:val="32"/>
          <w:szCs w:val="32"/>
        </w:rPr>
        <w:t>。不具备相应水质检测能力的，应当委托经</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部门资质认定的水质检测机构进行检测。</w:t>
      </w:r>
      <w:r>
        <w:rPr>
          <w:rFonts w:hint="eastAsia" w:ascii="仿宋_GB2312" w:hAnsi="仿宋_GB2312" w:eastAsia="仿宋_GB2312" w:cs="仿宋_GB2312"/>
          <w:sz w:val="32"/>
          <w:szCs w:val="32"/>
          <w:lang w:eastAsia="zh-CN"/>
        </w:rPr>
        <w:t>供水</w:t>
      </w:r>
      <w:r>
        <w:rPr>
          <w:rFonts w:hint="eastAsia" w:ascii="仿宋_GB2312" w:hAnsi="仿宋_GB2312" w:eastAsia="仿宋_GB2312" w:cs="仿宋_GB2312"/>
          <w:sz w:val="32"/>
          <w:szCs w:val="32"/>
        </w:rPr>
        <w:t>水质应符合国家</w:t>
      </w:r>
      <w:r>
        <w:rPr>
          <w:rFonts w:hint="eastAsia" w:ascii="仿宋_GB2312" w:hAnsi="仿宋_GB2312" w:eastAsia="仿宋_GB2312" w:cs="仿宋_GB2312"/>
          <w:sz w:val="32"/>
          <w:szCs w:val="32"/>
          <w:lang w:eastAsia="zh-CN"/>
        </w:rPr>
        <w:t>相关规范要求</w:t>
      </w:r>
      <w:r>
        <w:rPr>
          <w:rFonts w:hint="eastAsia" w:ascii="仿宋_GB2312" w:hAnsi="仿宋_GB2312" w:eastAsia="仿宋_GB2312" w:cs="仿宋_GB2312"/>
          <w:sz w:val="32"/>
          <w:szCs w:val="32"/>
        </w:rPr>
        <w:t>，检测结果应向用户公布。</w:t>
      </w:r>
    </w:p>
    <w:p>
      <w:pPr>
        <w:keepNext w:val="0"/>
        <w:keepLines w:val="0"/>
        <w:pageBreakBefore w:val="0"/>
        <w:wordWrap/>
        <w:topLinePunct w:val="0"/>
        <w:bidi w:val="0"/>
        <w:snapToGrid/>
        <w:spacing w:line="600" w:lineRule="exact"/>
        <w:ind w:firstLine="640"/>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清洗消毒二次供水设施所使用的</w:t>
      </w:r>
      <w:r>
        <w:rPr>
          <w:rFonts w:hint="eastAsia" w:ascii="仿宋_GB2312" w:hAnsi="仿宋_GB2312" w:eastAsia="仿宋_GB2312" w:cs="仿宋_GB2312"/>
          <w:sz w:val="32"/>
          <w:szCs w:val="32"/>
        </w:rPr>
        <w:t>水处理剂、除垢剂</w:t>
      </w:r>
      <w:r>
        <w:rPr>
          <w:rFonts w:hint="eastAsia" w:ascii="仿宋_GB2312" w:hAnsi="仿宋_GB2312" w:eastAsia="仿宋_GB2312" w:cs="仿宋_GB2312"/>
          <w:sz w:val="32"/>
          <w:szCs w:val="32"/>
          <w:lang w:eastAsia="zh-CN"/>
        </w:rPr>
        <w:t>等及其他新材料和化学物质</w:t>
      </w:r>
      <w:r>
        <w:rPr>
          <w:rFonts w:hint="eastAsia" w:ascii="仿宋_GB2312" w:hAnsi="仿宋_GB2312" w:eastAsia="仿宋_GB2312" w:cs="仿宋_GB2312"/>
          <w:sz w:val="32"/>
          <w:szCs w:val="32"/>
        </w:rPr>
        <w:t>应当</w:t>
      </w:r>
      <w:r>
        <w:rPr>
          <w:rFonts w:ascii="仿宋_GB2312" w:hAnsi="仿宋_GB2312" w:eastAsia="仿宋_GB2312" w:cs="仿宋_GB2312"/>
          <w:sz w:val="32"/>
          <w:szCs w:val="32"/>
        </w:rPr>
        <w:t>符合</w:t>
      </w:r>
      <w:r>
        <w:rPr>
          <w:rFonts w:hint="eastAsia" w:ascii="仿宋_GB2312" w:hAnsi="仿宋_GB2312" w:eastAsia="仿宋_GB2312" w:cs="仿宋_GB2312"/>
          <w:sz w:val="32"/>
          <w:szCs w:val="32"/>
        </w:rPr>
        <w:t>国家卫生</w:t>
      </w:r>
      <w:r>
        <w:rPr>
          <w:rFonts w:ascii="仿宋_GB2312" w:hAnsi="仿宋_GB2312" w:eastAsia="仿宋_GB2312" w:cs="仿宋_GB2312"/>
          <w:sz w:val="32"/>
          <w:szCs w:val="32"/>
        </w:rPr>
        <w:t>标准</w:t>
      </w:r>
      <w:r>
        <w:rPr>
          <w:rFonts w:hint="eastAsia" w:ascii="仿宋_GB2312" w:hAnsi="仿宋_GB2312" w:eastAsia="仿宋_GB2312" w:cs="仿宋_GB2312"/>
          <w:sz w:val="32"/>
          <w:szCs w:val="32"/>
        </w:rPr>
        <w:t>和卫生规范。清洗消毒应严格按规定及操作流程执行，</w:t>
      </w:r>
      <w:r>
        <w:rPr>
          <w:rFonts w:ascii="仿宋_GB2312" w:hAnsi="仿宋_GB2312" w:eastAsia="仿宋_GB2312" w:cs="仿宋_GB2312"/>
          <w:sz w:val="32"/>
          <w:szCs w:val="32"/>
        </w:rPr>
        <w:t>不得造成污染。</w:t>
      </w:r>
    </w:p>
    <w:p>
      <w:pPr>
        <w:keepNext w:val="0"/>
        <w:keepLines w:val="0"/>
        <w:pageBreakBefore w:val="0"/>
        <w:wordWrap/>
        <w:topLinePunct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直接从事二次供水供、管水的人员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取得体检合格证并通过卫生知识培训后，方可上岗工作，并每年进行一次健康检查。凡患有痢疾、伤寒、甲型病毒性肝炎、戊型病毒性肝炎、活动性肺结核、化脓性或渗出性皮肤病及其他有碍饮用水卫生的疾病的和病原携带者，不得直接从事供、管水工作。</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因工程施工、设备维修维护、清洗消毒等原因需要中断供水或者降压供水的，二次供水设施管理单位应至少提前二十四小时通知用户做好储水工作；因发生灾害或者紧急事故，不能提前通知的，应当在抢修同时通知用水单位和个人，尽快恢复正常供水，并报告城市供水行政主管部门。</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预计连续超过二十四小时不能恢复正常供水的，二次供水设施管理单位应采取应急措施供水，保障居民生活用水基本需求。</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ascii="仿宋_GB2312" w:hAnsi="仿宋" w:eastAsia="仿宋_GB2312"/>
          <w:sz w:val="32"/>
          <w:szCs w:val="32"/>
        </w:rPr>
        <w:t>二次供水设施发生水质污染</w:t>
      </w:r>
      <w:r>
        <w:rPr>
          <w:rFonts w:hint="eastAsia" w:ascii="仿宋_GB2312" w:hAnsi="仿宋" w:eastAsia="仿宋_GB2312"/>
          <w:sz w:val="32"/>
          <w:szCs w:val="32"/>
          <w:lang w:eastAsia="zh-CN"/>
        </w:rPr>
        <w:t>并完成</w:t>
      </w:r>
      <w:r>
        <w:rPr>
          <w:rFonts w:ascii="仿宋_GB2312" w:hAnsi="仿宋" w:eastAsia="仿宋_GB2312"/>
          <w:sz w:val="32"/>
          <w:szCs w:val="32"/>
        </w:rPr>
        <w:t>整改后</w:t>
      </w:r>
      <w:r>
        <w:rPr>
          <w:rFonts w:hint="eastAsia" w:ascii="仿宋_GB2312" w:hAnsi="仿宋" w:eastAsia="仿宋_GB2312"/>
          <w:sz w:val="32"/>
          <w:szCs w:val="32"/>
          <w:lang w:eastAsia="zh-CN"/>
        </w:rPr>
        <w:t>，</w:t>
      </w:r>
      <w:r>
        <w:rPr>
          <w:rFonts w:ascii="仿宋_GB2312" w:hAnsi="仿宋" w:eastAsia="仿宋_GB2312"/>
          <w:sz w:val="32"/>
          <w:szCs w:val="32"/>
        </w:rPr>
        <w:t>须</w:t>
      </w:r>
      <w:r>
        <w:rPr>
          <w:rFonts w:hint="eastAsia" w:ascii="仿宋_GB2312" w:hAnsi="仿宋" w:eastAsia="仿宋_GB2312"/>
          <w:sz w:val="32"/>
          <w:szCs w:val="32"/>
          <w:lang w:eastAsia="zh-CN"/>
        </w:rPr>
        <w:t>经</w:t>
      </w:r>
      <w:r>
        <w:rPr>
          <w:rFonts w:hint="eastAsia" w:ascii="仿宋_GB2312" w:hAnsi="方正仿宋_GBK" w:eastAsia="仿宋_GB2312" w:cs="方正仿宋_GBK"/>
          <w:kern w:val="0"/>
          <w:sz w:val="31"/>
          <w:szCs w:val="31"/>
          <w:lang w:bidi="ar"/>
        </w:rPr>
        <w:t>市场监督</w:t>
      </w:r>
      <w:r>
        <w:rPr>
          <w:rFonts w:hint="eastAsia" w:ascii="仿宋_GB2312" w:hAnsi="方正仿宋_GBK" w:eastAsia="仿宋_GB2312" w:cs="方正仿宋_GBK"/>
          <w:kern w:val="0"/>
          <w:sz w:val="31"/>
          <w:szCs w:val="31"/>
          <w:lang w:eastAsia="zh-CN" w:bidi="ar"/>
        </w:rPr>
        <w:t>管理</w:t>
      </w:r>
      <w:r>
        <w:rPr>
          <w:rFonts w:hint="eastAsia" w:ascii="仿宋_GB2312" w:hAnsi="方正仿宋_GBK" w:eastAsia="仿宋_GB2312" w:cs="方正仿宋_GBK"/>
          <w:kern w:val="0"/>
          <w:sz w:val="31"/>
          <w:szCs w:val="31"/>
          <w:lang w:bidi="ar"/>
        </w:rPr>
        <w:t>部门</w:t>
      </w:r>
      <w:r>
        <w:rPr>
          <w:rFonts w:hint="eastAsia" w:ascii="仿宋_GB2312" w:hAnsi="仿宋_GB2312" w:eastAsia="仿宋_GB2312" w:cs="仿宋_GB2312"/>
          <w:sz w:val="32"/>
          <w:szCs w:val="32"/>
        </w:rPr>
        <w:t>资质认定的水质检测机构进行水质检测</w:t>
      </w:r>
      <w:r>
        <w:rPr>
          <w:rFonts w:hint="eastAsia" w:ascii="仿宋_GB2312" w:hAnsi="仿宋_GB2312" w:eastAsia="仿宋_GB2312" w:cs="仿宋_GB2312"/>
          <w:sz w:val="32"/>
          <w:szCs w:val="32"/>
          <w:lang w:eastAsia="zh-CN"/>
        </w:rPr>
        <w:t>。检测</w:t>
      </w:r>
      <w:r>
        <w:rPr>
          <w:rFonts w:hint="eastAsia" w:ascii="仿宋_GB2312" w:hAnsi="仿宋_GB2312" w:eastAsia="仿宋_GB2312" w:cs="仿宋_GB2312"/>
          <w:sz w:val="32"/>
          <w:szCs w:val="32"/>
        </w:rPr>
        <w:t>合格后方能恢复供水。</w:t>
      </w:r>
    </w:p>
    <w:p>
      <w:pPr>
        <w:keepNext w:val="0"/>
        <w:keepLines w:val="0"/>
        <w:pageBreakBefore w:val="0"/>
        <w:wordWrap/>
        <w:topLinePunct w:val="0"/>
        <w:bidi w:val="0"/>
        <w:snapToGrid/>
        <w:spacing w:line="600" w:lineRule="exact"/>
        <w:ind w:left="0" w:leftChars="0" w:firstLine="0" w:firstLineChars="0"/>
        <w:jc w:val="center"/>
        <w:textAlignment w:val="auto"/>
        <w:rPr>
          <w:rFonts w:hint="eastAsia" w:ascii="黑体" w:hAnsi="黑体" w:eastAsia="黑体" w:cs="黑体"/>
          <w:sz w:val="32"/>
          <w:szCs w:val="32"/>
          <w:lang w:eastAsia="zh-CN"/>
        </w:rPr>
      </w:pPr>
    </w:p>
    <w:p>
      <w:pPr>
        <w:keepNext w:val="0"/>
        <w:keepLines w:val="0"/>
        <w:pageBreakBefore w:val="0"/>
        <w:wordWrap/>
        <w:topLinePunct w:val="0"/>
        <w:bidi w:val="0"/>
        <w:snapToGrid/>
        <w:spacing w:line="60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监督管理</w:t>
      </w:r>
    </w:p>
    <w:p>
      <w:pPr>
        <w:keepNext w:val="0"/>
        <w:keepLines w:val="0"/>
        <w:pageBreakBefore w:val="0"/>
        <w:wordWrap/>
        <w:topLinePunct w:val="0"/>
        <w:bidi w:val="0"/>
        <w:snapToGrid/>
        <w:spacing w:line="600" w:lineRule="exact"/>
        <w:ind w:firstLine="65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kern w:val="0"/>
          <w:sz w:val="32"/>
          <w:szCs w:val="32"/>
          <w:lang w:eastAsia="zh-CN" w:bidi="ar"/>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二次供水设施管理单位应制定本单位的</w:t>
      </w:r>
      <w:r>
        <w:rPr>
          <w:rFonts w:hint="eastAsia" w:ascii="仿宋_GB2312" w:hAnsi="仿宋_GB2312" w:eastAsia="仿宋_GB2312" w:cs="仿宋_GB2312"/>
          <w:sz w:val="32"/>
          <w:szCs w:val="32"/>
          <w:lang w:eastAsia="zh-CN"/>
        </w:rPr>
        <w:t>二次供水</w:t>
      </w:r>
      <w:r>
        <w:rPr>
          <w:rFonts w:hint="eastAsia" w:ascii="仿宋_GB2312" w:hAnsi="仿宋_GB2312" w:eastAsia="仿宋_GB2312" w:cs="仿宋_GB2312"/>
          <w:sz w:val="32"/>
          <w:szCs w:val="32"/>
        </w:rPr>
        <w:t>应急预案，</w:t>
      </w:r>
      <w:r>
        <w:rPr>
          <w:rFonts w:hint="eastAsia" w:ascii="仿宋_GB2312" w:hAnsi="仿宋_GB2312" w:eastAsia="仿宋_GB2312" w:cs="仿宋_GB2312"/>
          <w:sz w:val="32"/>
          <w:szCs w:val="32"/>
          <w:lang w:eastAsia="zh-CN"/>
        </w:rPr>
        <w:t>严格落实人防、技防、物防措施</w:t>
      </w:r>
      <w:r>
        <w:rPr>
          <w:rFonts w:hint="eastAsia" w:ascii="仿宋_GB2312" w:hAnsi="仿宋_GB2312" w:eastAsia="仿宋_GB2312" w:cs="仿宋_GB2312"/>
          <w:sz w:val="32"/>
          <w:szCs w:val="32"/>
        </w:rPr>
        <w:t>。</w:t>
      </w:r>
    </w:p>
    <w:p>
      <w:pPr>
        <w:keepNext w:val="0"/>
        <w:keepLines w:val="0"/>
        <w:pageBreakBefore w:val="0"/>
        <w:wordWrap/>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bidi="ar"/>
        </w:rPr>
        <w:t>第</w:t>
      </w:r>
      <w:r>
        <w:rPr>
          <w:rFonts w:hint="eastAsia" w:ascii="黑体" w:hAnsi="黑体" w:eastAsia="黑体" w:cs="黑体"/>
          <w:kern w:val="0"/>
          <w:sz w:val="32"/>
          <w:szCs w:val="32"/>
          <w:lang w:eastAsia="zh-CN" w:bidi="ar"/>
        </w:rPr>
        <w:t>十八</w:t>
      </w:r>
      <w:r>
        <w:rPr>
          <w:rFonts w:hint="eastAsia" w:ascii="黑体" w:hAnsi="黑体" w:eastAsia="黑体" w:cs="黑体"/>
          <w:kern w:val="0"/>
          <w:sz w:val="32"/>
          <w:szCs w:val="32"/>
          <w:lang w:bidi="ar"/>
        </w:rPr>
        <w:t xml:space="preserve">条 </w:t>
      </w:r>
      <w:r>
        <w:rPr>
          <w:rFonts w:hint="eastAsia" w:ascii="仿宋_GB2312" w:hAnsi="仿宋_GB2312" w:eastAsia="仿宋_GB2312" w:cs="仿宋_GB2312"/>
          <w:sz w:val="32"/>
          <w:szCs w:val="32"/>
        </w:rPr>
        <w:t xml:space="preserve"> 任何单位和个人发现二次供水设施、水质安全隐患或者安全事故的，应立即告知二次供水设施管理单位、卫生健康部门或者城市供水行政主管部门。二次供水设施管理单位或者相关部门应立即组织核查，及时采取有效措施，确保二次供水水质安全。</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 w:eastAsia="仿宋_GB2312"/>
          <w:sz w:val="32"/>
          <w:szCs w:val="32"/>
        </w:rPr>
        <w:t>各</w:t>
      </w:r>
      <w:r>
        <w:rPr>
          <w:rFonts w:hint="eastAsia" w:ascii="仿宋_GB2312" w:hAnsi="仿宋_GB2312" w:eastAsia="仿宋_GB2312" w:cs="仿宋_GB2312"/>
          <w:sz w:val="32"/>
          <w:szCs w:val="32"/>
        </w:rPr>
        <w:t>县（市、区）城市供水行政主管部门应定期或不定期对二次供水设施管理单位运行管理维护情况进行检查抽查。各县（市、区）卫生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主管部门负责本行政区域内饮用水</w:t>
      </w:r>
      <w:r>
        <w:rPr>
          <w:rFonts w:hint="eastAsia" w:ascii="仿宋_GB2312" w:hAnsi="仿宋_GB2312" w:eastAsia="仿宋_GB2312" w:cs="仿宋_GB2312"/>
          <w:sz w:val="32"/>
          <w:szCs w:val="32"/>
          <w:lang w:eastAsia="zh-CN"/>
        </w:rPr>
        <w:t>二次供水</w:t>
      </w:r>
      <w:r>
        <w:rPr>
          <w:rFonts w:hint="eastAsia" w:ascii="仿宋_GB2312" w:hAnsi="仿宋_GB2312" w:eastAsia="仿宋_GB2312" w:cs="仿宋_GB2312"/>
          <w:sz w:val="32"/>
          <w:szCs w:val="32"/>
        </w:rPr>
        <w:t>卫生监督</w:t>
      </w:r>
      <w:r>
        <w:rPr>
          <w:rFonts w:hint="eastAsia"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rPr>
        <w:t>工作。</w:t>
      </w:r>
    </w:p>
    <w:p>
      <w:pPr>
        <w:keepNext w:val="0"/>
        <w:keepLines w:val="0"/>
        <w:pageBreakBefore w:val="0"/>
        <w:wordWrap/>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违反本规定的单位和个人，依照有关法律法规予以处罚。</w:t>
      </w:r>
    </w:p>
    <w:p>
      <w:pPr>
        <w:pStyle w:val="6"/>
        <w:keepNext w:val="0"/>
        <w:keepLines w:val="0"/>
        <w:pageBreakBefore w:val="0"/>
        <w:wordWrap/>
        <w:topLinePunct w:val="0"/>
        <w:bidi w:val="0"/>
        <w:snapToGrid/>
        <w:spacing w:line="600" w:lineRule="exact"/>
        <w:ind w:firstLine="0" w:firstLineChars="0"/>
        <w:jc w:val="center"/>
        <w:textAlignment w:val="auto"/>
        <w:outlineLvl w:val="1"/>
        <w:rPr>
          <w:rFonts w:hint="eastAsia" w:ascii="黑体" w:hAnsi="黑体" w:eastAsia="黑体" w:cs="黑体"/>
          <w:bCs/>
          <w:sz w:val="32"/>
          <w:szCs w:val="28"/>
        </w:rPr>
      </w:pPr>
      <w:r>
        <w:rPr>
          <w:rFonts w:hint="eastAsia" w:ascii="黑体" w:hAnsi="黑体" w:eastAsia="黑体" w:cs="黑体"/>
          <w:bCs/>
          <w:sz w:val="32"/>
          <w:szCs w:val="28"/>
          <w:lang w:eastAsia="zh-CN"/>
        </w:rPr>
        <w:t>第五章</w:t>
      </w:r>
      <w:r>
        <w:rPr>
          <w:rFonts w:hint="eastAsia" w:ascii="黑体" w:hAnsi="黑体" w:eastAsia="黑体" w:cs="黑体"/>
          <w:bCs/>
          <w:sz w:val="32"/>
          <w:szCs w:val="28"/>
        </w:rPr>
        <w:t xml:space="preserve">  附则</w:t>
      </w:r>
    </w:p>
    <w:p>
      <w:pPr>
        <w:pStyle w:val="6"/>
        <w:keepNext w:val="0"/>
        <w:keepLines w:val="0"/>
        <w:pageBreakBefore w:val="0"/>
        <w:wordWrap/>
        <w:topLinePunct w:val="0"/>
        <w:bidi w:val="0"/>
        <w:snapToGrid/>
        <w:spacing w:line="600" w:lineRule="exact"/>
        <w:ind w:firstLine="640"/>
        <w:textAlignment w:val="auto"/>
        <w:rPr>
          <w:rFonts w:hint="eastAsia" w:ascii="仿宋_GB2312" w:hAnsi="仿宋"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 w:eastAsia="仿宋_GB2312"/>
          <w:sz w:val="32"/>
          <w:szCs w:val="32"/>
        </w:rPr>
        <w:t xml:space="preserve">  </w:t>
      </w:r>
      <w:r>
        <w:rPr>
          <w:rFonts w:ascii="仿宋_GB2312" w:hAnsi="仿宋" w:eastAsia="仿宋_GB2312"/>
          <w:sz w:val="32"/>
          <w:szCs w:val="32"/>
        </w:rPr>
        <w:t>本</w:t>
      </w:r>
      <w:r>
        <w:rPr>
          <w:rFonts w:hint="eastAsia" w:ascii="仿宋_GB2312" w:hAnsi="仿宋" w:eastAsia="仿宋_GB2312"/>
          <w:sz w:val="32"/>
          <w:szCs w:val="32"/>
        </w:rPr>
        <w:t>规定</w:t>
      </w:r>
      <w:r>
        <w:rPr>
          <w:rFonts w:ascii="仿宋_GB2312" w:hAnsi="仿宋" w:eastAsia="仿宋_GB2312"/>
          <w:sz w:val="32"/>
          <w:szCs w:val="32"/>
        </w:rPr>
        <w:t>由</w:t>
      </w:r>
      <w:r>
        <w:rPr>
          <w:rFonts w:hint="eastAsia" w:ascii="仿宋_GB2312" w:hAnsi="仿宋" w:eastAsia="仿宋_GB2312"/>
          <w:sz w:val="32"/>
          <w:szCs w:val="32"/>
        </w:rPr>
        <w:t>揭阳市人民政府负责解释。</w:t>
      </w:r>
    </w:p>
    <w:p>
      <w:pPr>
        <w:pStyle w:val="6"/>
        <w:keepNext w:val="0"/>
        <w:keepLines w:val="0"/>
        <w:pageBreakBefore w:val="0"/>
        <w:wordWrap/>
        <w:topLinePunct w:val="0"/>
        <w:bidi w:val="0"/>
        <w:snapToGrid/>
        <w:spacing w:line="600" w:lineRule="exact"/>
        <w:ind w:firstLine="640"/>
        <w:textAlignment w:val="auto"/>
        <w:rPr>
          <w:rFonts w:hint="eastAsia" w:ascii="黑体" w:hAnsi="黑体" w:eastAsia="黑体" w:cs="黑体"/>
          <w:sz w:val="28"/>
          <w:szCs w:val="28"/>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 w:eastAsia="仿宋_GB2312"/>
          <w:sz w:val="32"/>
          <w:szCs w:val="32"/>
        </w:rPr>
        <w:t xml:space="preserve">  </w:t>
      </w:r>
      <w:r>
        <w:rPr>
          <w:rFonts w:ascii="仿宋_GB2312" w:hAnsi="仿宋" w:eastAsia="仿宋_GB2312"/>
          <w:sz w:val="32"/>
          <w:szCs w:val="32"/>
        </w:rPr>
        <w:t>本</w:t>
      </w:r>
      <w:r>
        <w:rPr>
          <w:rFonts w:hint="eastAsia" w:ascii="仿宋_GB2312" w:hAnsi="仿宋" w:eastAsia="仿宋_GB2312"/>
          <w:sz w:val="32"/>
          <w:szCs w:val="32"/>
        </w:rPr>
        <w:t>规定</w:t>
      </w:r>
      <w:r>
        <w:rPr>
          <w:rFonts w:ascii="仿宋_GB2312" w:hAnsi="仿宋" w:eastAsia="仿宋_GB2312"/>
          <w:sz w:val="32"/>
          <w:szCs w:val="32"/>
        </w:rPr>
        <w:t>自</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年X月X日起施行。</w:t>
      </w:r>
    </w:p>
    <w:p/>
    <w:sectPr>
      <w:footerReference r:id="rId3" w:type="default"/>
      <w:footerReference r:id="rId4" w:type="even"/>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光小标宋_CNKI">
    <w:altName w:val="宋体"/>
    <w:panose1 w:val="020005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hint="eastAsia"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Arabic \* MERGEFORMAT </w:instrText>
    </w:r>
    <w:r>
      <w:rPr>
        <w:rFonts w:hint="eastAsia" w:ascii="宋体" w:hAnsi="宋体" w:cs="宋体"/>
        <w:sz w:val="28"/>
      </w:rPr>
      <w:fldChar w:fldCharType="separate"/>
    </w:r>
    <w:r>
      <w:rPr>
        <w:rFonts w:hint="eastAsia" w:ascii="宋体" w:hAnsi="宋体" w:cs="宋体"/>
        <w:sz w:val="28"/>
      </w:rPr>
      <w:t>1</w:t>
    </w:r>
    <w:r>
      <w:rPr>
        <w:rFonts w:hint="eastAsia" w:ascii="宋体" w:hAnsi="宋体" w:cs="宋体"/>
        <w:sz w:val="28"/>
      </w:rPr>
      <w:fldChar w:fldCharType="end"/>
    </w:r>
    <w:r>
      <w:rPr>
        <w:rFonts w:hint="eastAsia" w:ascii="宋体" w:hAnsi="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Arabic \* MERGEFORMAT </w:instrText>
    </w:r>
    <w:r>
      <w:rPr>
        <w:rFonts w:hint="eastAsia" w:ascii="宋体" w:hAnsi="宋体" w:cs="宋体"/>
        <w:sz w:val="28"/>
      </w:rPr>
      <w:fldChar w:fldCharType="separate"/>
    </w:r>
    <w:r>
      <w:rPr>
        <w:rFonts w:hint="eastAsia" w:ascii="宋体" w:hAnsi="宋体" w:cs="宋体"/>
        <w:sz w:val="28"/>
      </w:rPr>
      <w:t>2</w:t>
    </w:r>
    <w:r>
      <w:rPr>
        <w:rFonts w:hint="eastAsia" w:ascii="宋体" w:hAnsi="宋体" w:cs="宋体"/>
        <w:sz w:val="28"/>
      </w:rPr>
      <w:fldChar w:fldCharType="end"/>
    </w:r>
    <w:r>
      <w:rPr>
        <w:rFonts w:hint="eastAsia" w:ascii="宋体" w:hAnsi="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B5E39"/>
    <w:rsid w:val="2B1F335D"/>
    <w:rsid w:val="47EB5E39"/>
    <w:rsid w:val="7B15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115"/>
      <w:jc w:val="left"/>
    </w:pPr>
    <w:rPr>
      <w:rFonts w:ascii="楷体_GB2312" w:hAnsi="Times New Roman" w:eastAsia="楷体_GB2312" w:cs="楷体_GB2312"/>
      <w:kern w:val="0"/>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揭阳市司法局</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2025-08-15T00:52:00Z</dcterms:created>
  <dc:creator>lenovo</dc:creator>
  <cp:lastModifiedBy>Administrator</cp:lastModifiedBy>
  <dcterms:modified xsi:type="dcterms:W3CDTF">2026-02-11T02:30:02Z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