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0451B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 w14:paraId="3F9735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揭阳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市骨灰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生态安葬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补贴实施方案</w:t>
      </w:r>
      <w:bookmarkStart w:id="0" w:name="_GoBack"/>
      <w:bookmarkEnd w:id="0"/>
    </w:p>
    <w:p w14:paraId="5E5A83F6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/>
        </w:rPr>
      </w:pPr>
    </w:p>
    <w:p w14:paraId="1D7C0E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为进一步深化殡葬改革，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推进殡葬移风易俗，建设惠民、绿色、文明殡葬</w:t>
      </w:r>
      <w:r>
        <w:rPr>
          <w:rFonts w:hint="eastAsia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广东省民政厅等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16部门《转发民政部等16部委关于进一步推动殡葬改革促进殡葬事业发展指导意见的通知》（粤民发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〔201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48号）、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广东省民政厅等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转发民政部等9部门关于推行节地生态安葬的指导意见的通知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（粤民发〔2016〕50号）有关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精神，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结合我市实际，制订以下骨灰生态安葬补贴实施方案。</w:t>
      </w:r>
    </w:p>
    <w:p w14:paraId="146ECC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ascii="Times New Roman" w:hAnsi="Times New Roman" w:eastAsia="黑体"/>
          <w:sz w:val="32"/>
          <w:szCs w:val="32"/>
        </w:rPr>
      </w:pPr>
      <w:r>
        <w:rPr>
          <w:rFonts w:hint="default" w:ascii="Times New Roman" w:hAnsi="Times New Roman" w:eastAsia="黑体" w:cstheme="minorBidi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补贴范围</w:t>
      </w:r>
    </w:p>
    <w:p w14:paraId="30E4CB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6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补贴范围：自愿将</w:t>
      </w:r>
      <w:r>
        <w:rPr>
          <w:rFonts w:hint="eastAsia" w:ascii="仿宋_GB2312" w:hAnsi="仿宋_GB2312" w:eastAsia="仿宋_GB2312" w:cs="仿宋_GB2312"/>
          <w:sz w:val="32"/>
          <w:szCs w:val="32"/>
        </w:rPr>
        <w:t>逝者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骨灰进行生态安葬的。生态安葬是指骨灰采用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海葬、树葬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（含花葬、花坛葬、草坪葬等，下同）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撒散（树葬区等特定区域）、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不留坟头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）等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不占地或少占地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的安葬方式。</w:t>
      </w:r>
    </w:p>
    <w:p w14:paraId="3C2FC0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ascii="Times New Roman" w:hAnsi="Times New Roman" w:eastAsia="黑体"/>
          <w:sz w:val="32"/>
          <w:szCs w:val="32"/>
        </w:rPr>
      </w:pPr>
      <w:r>
        <w:rPr>
          <w:rFonts w:hint="default" w:ascii="Times New Roman" w:hAnsi="Times New Roman" w:eastAsia="黑体" w:cstheme="minorBidi"/>
          <w:kern w:val="2"/>
          <w:sz w:val="32"/>
          <w:szCs w:val="32"/>
          <w:lang w:val="en-US" w:eastAsia="zh-CN" w:bidi="ar-SA"/>
        </w:rPr>
        <w:t>二、</w:t>
      </w:r>
      <w:r>
        <w:rPr>
          <w:rFonts w:ascii="Times New Roman" w:hAnsi="Times New Roman" w:eastAsia="黑体"/>
          <w:sz w:val="32"/>
          <w:szCs w:val="32"/>
        </w:rPr>
        <w:t>补贴对象</w:t>
      </w:r>
    </w:p>
    <w:p w14:paraId="1DEB2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补贴对象为申请参加由市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、县（市、区）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民政局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、文明办等部门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统一组织的骨灰海葬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骨灰树葬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活动的逝者直系亲属或委办人（以下统称申请人）。</w:t>
      </w:r>
    </w:p>
    <w:p w14:paraId="7F416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申请骨灰生态安葬补贴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具备以下条件：</w:t>
      </w:r>
    </w:p>
    <w:p w14:paraId="6AFCC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逝者生前为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揭阳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户籍。</w:t>
      </w:r>
    </w:p>
    <w:p w14:paraId="02F99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（二）申请人是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逝者直系亲属或委办人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CAD6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直系亲属是指三代以内的直系血亲（包括父母、祖父母、外祖父母、子女、孙子女、外孙子女）、配偶和直系姻亲（配偶的直系血亲）。</w:t>
      </w:r>
    </w:p>
    <w:p w14:paraId="76FE4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人是指逝者生前依法委托办理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生态安葬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事项的受托人或逝者生前的法定监护人。</w:t>
      </w:r>
    </w:p>
    <w:p w14:paraId="44FC5E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补贴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仅限于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参加由市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、县（市、区）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民政局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、文明办等部门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统一组织的骨灰海葬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树葬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活动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F614F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　　申请人自行组织的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骨灰海葬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树葬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活动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不予补贴。</w:t>
      </w:r>
    </w:p>
    <w:p w14:paraId="1DA32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不符合上述条件的，申请人不享受补贴，但可以免费参加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生态安葬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活动。</w:t>
      </w:r>
    </w:p>
    <w:p w14:paraId="3E257B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ascii="Times New Roman" w:hAnsi="Times New Roman" w:eastAsia="黑体"/>
          <w:sz w:val="32"/>
          <w:szCs w:val="32"/>
        </w:rPr>
      </w:pPr>
      <w:r>
        <w:rPr>
          <w:rFonts w:hint="default" w:ascii="Times New Roman" w:hAnsi="Times New Roman" w:eastAsia="黑体" w:cstheme="minorBidi"/>
          <w:kern w:val="2"/>
          <w:sz w:val="32"/>
          <w:szCs w:val="32"/>
          <w:lang w:val="en-US" w:eastAsia="zh-CN" w:bidi="ar-SA"/>
        </w:rPr>
        <w:t>三、</w:t>
      </w:r>
      <w:r>
        <w:rPr>
          <w:rFonts w:ascii="Times New Roman" w:hAnsi="Times New Roman" w:eastAsia="黑体"/>
          <w:sz w:val="32"/>
          <w:szCs w:val="32"/>
        </w:rPr>
        <w:t>补贴标准</w:t>
      </w:r>
    </w:p>
    <w:p w14:paraId="0DEFD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参加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生态安葬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的，每具骨灰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00元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给予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补贴。</w:t>
      </w:r>
    </w:p>
    <w:p w14:paraId="7D9619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ascii="Times New Roman" w:hAnsi="Times New Roman" w:eastAsia="黑体"/>
          <w:sz w:val="32"/>
          <w:szCs w:val="32"/>
        </w:rPr>
      </w:pPr>
      <w:r>
        <w:rPr>
          <w:rFonts w:hint="default" w:ascii="Times New Roman" w:hAnsi="Times New Roman" w:eastAsia="黑体" w:cstheme="minorBidi"/>
          <w:kern w:val="2"/>
          <w:sz w:val="32"/>
          <w:szCs w:val="32"/>
          <w:lang w:val="en-US" w:eastAsia="zh-CN" w:bidi="ar-SA"/>
        </w:rPr>
        <w:t>四、</w:t>
      </w:r>
      <w:r>
        <w:rPr>
          <w:rFonts w:ascii="Times New Roman" w:hAnsi="Times New Roman" w:eastAsia="黑体"/>
          <w:sz w:val="32"/>
          <w:szCs w:val="32"/>
        </w:rPr>
        <w:t>办理程序</w:t>
      </w:r>
    </w:p>
    <w:p w14:paraId="0BAE3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申请。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申请人在办理参加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生态安葬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活动时，向逝者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原户籍所在乡镇（街道）党群服务中心申请，填写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揭阳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市骨灰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生态安葬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补贴申请表》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提交申请补贴的相关材料，包括：</w:t>
      </w:r>
    </w:p>
    <w:p w14:paraId="5661E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逝者生前户口本或其他户籍证明；</w:t>
      </w:r>
    </w:p>
    <w:p w14:paraId="1E34E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逝者火化证明；</w:t>
      </w:r>
    </w:p>
    <w:p w14:paraId="4FB8E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申请人居民身份证；</w:t>
      </w:r>
    </w:p>
    <w:p w14:paraId="74B41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申请人与逝者关系证明，如户口本、公证书、委托书、法定监护人证明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村（居）委会出具的与逝者关系证明等。</w:t>
      </w:r>
    </w:p>
    <w:p w14:paraId="124E6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sz w:val="32"/>
          <w:szCs w:val="32"/>
          <w:lang w:val="en-US" w:eastAsia="zh-CN"/>
        </w:rPr>
        <w:t>对于需核查之资料，如可通过受理机关本部门或其他部门信息共享方式获取相关信息的，无需申请人另行提交相应材料。</w:t>
      </w:r>
    </w:p>
    <w:p w14:paraId="45DAB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申请人没有申请的，不予补贴。</w:t>
      </w:r>
    </w:p>
    <w:p w14:paraId="6D0DD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审核。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乡镇（街道）党群服务中心应当自受理之日起5个工作日内完成审核，并出具审核意见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，报县（市、区）民政局汇总、审批。对照补贴的条件，经审核，不符合补贴条件的，乡镇（街道）党群服务中心应给予说明。</w:t>
      </w:r>
    </w:p>
    <w:p w14:paraId="13809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审批。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县（市、区）民政局汇总后，对申请人申请进行审核、审批。所需资金由同级财政部门核拨。</w:t>
      </w:r>
    </w:p>
    <w:p w14:paraId="799AB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审核符合条件的，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县（市、区）民政局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骨灰生态安葬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活动结束后1个月内将补贴款划入申请人指定的银行</w:t>
      </w:r>
      <w:r>
        <w:rPr>
          <w:rFonts w:hint="eastAsia" w:cs="Times New Roman"/>
          <w:sz w:val="32"/>
          <w:szCs w:val="32"/>
          <w:lang w:val="en-US" w:eastAsia="zh-CN"/>
        </w:rPr>
        <w:t>账户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；不符合条件的，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应</w:t>
      </w:r>
      <w:r>
        <w:rPr>
          <w:rFonts w:hint="eastAsia" w:cs="Times New Roman"/>
          <w:sz w:val="32"/>
          <w:szCs w:val="32"/>
          <w:lang w:val="en-US" w:eastAsia="zh-CN"/>
        </w:rPr>
        <w:t>给予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情况说明。</w:t>
      </w:r>
    </w:p>
    <w:p w14:paraId="1F220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五</w:t>
      </w:r>
      <w:r>
        <w:rPr>
          <w:rFonts w:ascii="Times New Roman" w:hAnsi="Times New Roman" w:eastAsia="黑体"/>
          <w:sz w:val="32"/>
          <w:szCs w:val="32"/>
        </w:rPr>
        <w:t>、经费安排</w:t>
      </w:r>
    </w:p>
    <w:p w14:paraId="7FF6A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骨灰生态安葬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补贴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及开展活动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所需经费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由各县（市、区）纳入本级财政预算。</w:t>
      </w:r>
    </w:p>
    <w:p w14:paraId="7891F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六</w:t>
      </w:r>
      <w:r>
        <w:rPr>
          <w:rFonts w:ascii="Times New Roman" w:hAnsi="Times New Roman" w:eastAsia="黑体"/>
          <w:sz w:val="32"/>
          <w:szCs w:val="32"/>
        </w:rPr>
        <w:t>、其他事项</w:t>
      </w:r>
    </w:p>
    <w:p w14:paraId="3573B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本方案由揭阳市民政局、揭阳市财政局负责解释。本方案自2025年</w:t>
      </w:r>
      <w:r>
        <w:rPr>
          <w:rFonts w:hint="eastAsia" w:cs="Times New Roman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日起施行，有效期至20</w:t>
      </w:r>
      <w:r>
        <w:rPr>
          <w:rFonts w:hint="eastAsia" w:cs="Times New Roman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cs="Times New Roman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cs="Times New Roman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日止。</w:t>
      </w:r>
    </w:p>
    <w:p w14:paraId="637DE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52F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揭阳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市骨灰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生态安葬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补贴申请表</w:t>
      </w:r>
    </w:p>
    <w:p w14:paraId="5557F2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 w14:paraId="718769F4">
      <w:pPr>
        <w:tabs>
          <w:tab w:val="left" w:pos="934"/>
        </w:tabs>
        <w:bidi w:val="0"/>
        <w:jc w:val="left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</w:p>
    <w:p w14:paraId="5A507CC6">
      <w:pPr>
        <w:pStyle w:val="3"/>
        <w:numPr>
          <w:ilvl w:val="0"/>
          <w:numId w:val="0"/>
        </w:numPr>
        <w:ind w:left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7A520A6A">
      <w:pPr>
        <w:pStyle w:val="3"/>
        <w:numPr>
          <w:ilvl w:val="0"/>
          <w:numId w:val="0"/>
        </w:numPr>
        <w:ind w:left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揭阳市骨灰生态安葬补贴申请表</w:t>
      </w:r>
    </w:p>
    <w:tbl>
      <w:tblPr>
        <w:tblStyle w:val="15"/>
        <w:tblpPr w:leftFromText="180" w:rightFromText="180" w:vertAnchor="text" w:horzAnchor="page" w:tblpX="1496" w:tblpY="690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165"/>
        <w:gridCol w:w="1082"/>
        <w:gridCol w:w="1382"/>
        <w:gridCol w:w="1638"/>
        <w:gridCol w:w="2834"/>
      </w:tblGrid>
      <w:tr w14:paraId="61E54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528" w:type="pct"/>
            <w:vMerge w:val="restart"/>
            <w:noWrap w:val="0"/>
            <w:textDirection w:val="tbRlV"/>
            <w:vAlign w:val="center"/>
          </w:tcPr>
          <w:p w14:paraId="4FF26E66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基   本   情   况</w:t>
            </w:r>
          </w:p>
        </w:tc>
        <w:tc>
          <w:tcPr>
            <w:tcW w:w="4471" w:type="pct"/>
            <w:gridSpan w:val="5"/>
            <w:noWrap w:val="0"/>
            <w:vAlign w:val="center"/>
          </w:tcPr>
          <w:p w14:paraId="0034E8A3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第 ____ 次海葬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树葬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活动</w:t>
            </w:r>
          </w:p>
        </w:tc>
      </w:tr>
      <w:tr w14:paraId="5DF62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1798F7A2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268" w:leftChars="85" w:firstLine="117" w:firstLineChars="57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43" w:type="pct"/>
            <w:vMerge w:val="restart"/>
            <w:noWrap w:val="0"/>
            <w:textDirection w:val="tbRlV"/>
            <w:vAlign w:val="center"/>
          </w:tcPr>
          <w:p w14:paraId="27350C6D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167" w:leftChars="5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逝  者  情  况</w:t>
            </w:r>
          </w:p>
        </w:tc>
        <w:tc>
          <w:tcPr>
            <w:tcW w:w="597" w:type="pct"/>
            <w:noWrap w:val="0"/>
            <w:vAlign w:val="center"/>
          </w:tcPr>
          <w:p w14:paraId="3247FA5D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姓    名</w:t>
            </w:r>
          </w:p>
        </w:tc>
        <w:tc>
          <w:tcPr>
            <w:tcW w:w="763" w:type="pct"/>
            <w:noWrap w:val="0"/>
            <w:vAlign w:val="center"/>
          </w:tcPr>
          <w:p w14:paraId="2F2270FD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04" w:type="pct"/>
            <w:noWrap w:val="0"/>
            <w:vAlign w:val="center"/>
          </w:tcPr>
          <w:p w14:paraId="40001100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118" w:hanging="101" w:hanging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户籍所在地</w:t>
            </w:r>
          </w:p>
        </w:tc>
        <w:tc>
          <w:tcPr>
            <w:tcW w:w="1564" w:type="pct"/>
            <w:noWrap w:val="0"/>
            <w:vAlign w:val="center"/>
          </w:tcPr>
          <w:p w14:paraId="25695C28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4F333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562B783F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268" w:leftChars="85" w:firstLine="117" w:firstLineChars="57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43" w:type="pct"/>
            <w:vMerge w:val="continue"/>
            <w:noWrap w:val="0"/>
            <w:textDirection w:val="tbRlV"/>
            <w:vAlign w:val="center"/>
          </w:tcPr>
          <w:p w14:paraId="12594FB7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268" w:leftChars="85" w:right="113" w:firstLine="117" w:firstLineChars="57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97" w:type="pct"/>
            <w:noWrap w:val="0"/>
            <w:vAlign w:val="center"/>
          </w:tcPr>
          <w:p w14:paraId="58C31D5A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性    别</w:t>
            </w:r>
          </w:p>
        </w:tc>
        <w:tc>
          <w:tcPr>
            <w:tcW w:w="763" w:type="pct"/>
            <w:noWrap w:val="0"/>
            <w:vAlign w:val="center"/>
          </w:tcPr>
          <w:p w14:paraId="122970CE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04" w:type="pct"/>
            <w:noWrap w:val="0"/>
            <w:vAlign w:val="center"/>
          </w:tcPr>
          <w:p w14:paraId="363F3CD8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死亡时间</w:t>
            </w:r>
          </w:p>
        </w:tc>
        <w:tc>
          <w:tcPr>
            <w:tcW w:w="1564" w:type="pct"/>
            <w:noWrap w:val="0"/>
            <w:vAlign w:val="center"/>
          </w:tcPr>
          <w:p w14:paraId="2D96C7D0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3EFC8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5DC548EF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268" w:leftChars="85" w:firstLine="117" w:firstLineChars="57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43" w:type="pct"/>
            <w:vMerge w:val="continue"/>
            <w:noWrap w:val="0"/>
            <w:textDirection w:val="tbRlV"/>
            <w:vAlign w:val="center"/>
          </w:tcPr>
          <w:p w14:paraId="29B32371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268" w:leftChars="85" w:right="113" w:firstLine="117" w:firstLineChars="57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97" w:type="pct"/>
            <w:noWrap w:val="0"/>
            <w:vAlign w:val="center"/>
          </w:tcPr>
          <w:p w14:paraId="3E8277A1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身份证号</w:t>
            </w:r>
          </w:p>
        </w:tc>
        <w:tc>
          <w:tcPr>
            <w:tcW w:w="3231" w:type="pct"/>
            <w:gridSpan w:val="3"/>
            <w:noWrap w:val="0"/>
            <w:vAlign w:val="center"/>
          </w:tcPr>
          <w:p w14:paraId="79893D21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17718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380221E5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268" w:leftChars="85" w:firstLine="117" w:firstLineChars="57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43" w:type="pct"/>
            <w:vMerge w:val="continue"/>
            <w:noWrap w:val="0"/>
            <w:textDirection w:val="tbRlV"/>
            <w:vAlign w:val="center"/>
          </w:tcPr>
          <w:p w14:paraId="6207CC94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268" w:leftChars="85" w:right="113" w:firstLine="117" w:firstLineChars="57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97" w:type="pct"/>
            <w:noWrap w:val="0"/>
            <w:vAlign w:val="center"/>
          </w:tcPr>
          <w:p w14:paraId="2BCD1644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骨 灰 原</w:t>
            </w:r>
          </w:p>
          <w:p w14:paraId="2FFE5153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存 放 点</w:t>
            </w:r>
          </w:p>
        </w:tc>
        <w:tc>
          <w:tcPr>
            <w:tcW w:w="3231" w:type="pct"/>
            <w:gridSpan w:val="3"/>
            <w:noWrap w:val="0"/>
            <w:vAlign w:val="center"/>
          </w:tcPr>
          <w:p w14:paraId="36387706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7352B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5BF01F70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268" w:leftChars="85" w:firstLine="117" w:firstLineChars="57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43" w:type="pct"/>
            <w:vMerge w:val="restart"/>
            <w:noWrap w:val="0"/>
            <w:textDirection w:val="tbRlV"/>
            <w:vAlign w:val="center"/>
          </w:tcPr>
          <w:p w14:paraId="774F9063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167" w:leftChars="5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申  请  人  情  况</w:t>
            </w:r>
          </w:p>
        </w:tc>
        <w:tc>
          <w:tcPr>
            <w:tcW w:w="597" w:type="pct"/>
            <w:noWrap w:val="0"/>
            <w:vAlign w:val="center"/>
          </w:tcPr>
          <w:p w14:paraId="54DFA9DD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姓    名</w:t>
            </w:r>
          </w:p>
        </w:tc>
        <w:tc>
          <w:tcPr>
            <w:tcW w:w="763" w:type="pct"/>
            <w:noWrap w:val="0"/>
            <w:vAlign w:val="center"/>
          </w:tcPr>
          <w:p w14:paraId="49026F06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04" w:type="pct"/>
            <w:noWrap w:val="0"/>
            <w:vAlign w:val="center"/>
          </w:tcPr>
          <w:p w14:paraId="648F3ED7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与逝者关系</w:t>
            </w:r>
          </w:p>
        </w:tc>
        <w:tc>
          <w:tcPr>
            <w:tcW w:w="1564" w:type="pct"/>
            <w:noWrap w:val="0"/>
            <w:vAlign w:val="center"/>
          </w:tcPr>
          <w:p w14:paraId="75AA77A5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32DB4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2100B6A1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268" w:leftChars="85" w:firstLine="117" w:firstLineChars="57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43" w:type="pct"/>
            <w:vMerge w:val="continue"/>
            <w:noWrap w:val="0"/>
            <w:textDirection w:val="tbRlV"/>
            <w:vAlign w:val="center"/>
          </w:tcPr>
          <w:p w14:paraId="1528EAB6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268" w:leftChars="85" w:right="113" w:firstLine="117" w:firstLineChars="57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97" w:type="pct"/>
            <w:noWrap w:val="0"/>
            <w:vAlign w:val="center"/>
          </w:tcPr>
          <w:p w14:paraId="579DED58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性    别</w:t>
            </w:r>
          </w:p>
        </w:tc>
        <w:tc>
          <w:tcPr>
            <w:tcW w:w="763" w:type="pct"/>
            <w:noWrap w:val="0"/>
            <w:vAlign w:val="center"/>
          </w:tcPr>
          <w:p w14:paraId="1CFDB314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04" w:type="pct"/>
            <w:noWrap w:val="0"/>
            <w:vAlign w:val="center"/>
          </w:tcPr>
          <w:p w14:paraId="03EC3F2F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联系电话</w:t>
            </w:r>
          </w:p>
        </w:tc>
        <w:tc>
          <w:tcPr>
            <w:tcW w:w="1564" w:type="pct"/>
            <w:noWrap w:val="0"/>
            <w:vAlign w:val="center"/>
          </w:tcPr>
          <w:p w14:paraId="71DB66DF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59442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3D25C434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268" w:leftChars="85" w:firstLine="117" w:firstLineChars="57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43" w:type="pct"/>
            <w:vMerge w:val="continue"/>
            <w:noWrap w:val="0"/>
            <w:textDirection w:val="tbRlV"/>
            <w:vAlign w:val="center"/>
          </w:tcPr>
          <w:p w14:paraId="2B1A631C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268" w:leftChars="85" w:right="113" w:firstLine="117" w:firstLineChars="57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97" w:type="pct"/>
            <w:noWrap w:val="0"/>
            <w:vAlign w:val="center"/>
          </w:tcPr>
          <w:p w14:paraId="2A67E07B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身份证号</w:t>
            </w:r>
          </w:p>
        </w:tc>
        <w:tc>
          <w:tcPr>
            <w:tcW w:w="3231" w:type="pct"/>
            <w:gridSpan w:val="3"/>
            <w:noWrap w:val="0"/>
            <w:vAlign w:val="center"/>
          </w:tcPr>
          <w:p w14:paraId="5D547DD3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3C8C4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35ED4DDC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268" w:leftChars="85" w:firstLine="117" w:firstLineChars="57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43" w:type="pct"/>
            <w:vMerge w:val="continue"/>
            <w:noWrap w:val="0"/>
            <w:textDirection w:val="tbRlV"/>
            <w:vAlign w:val="center"/>
          </w:tcPr>
          <w:p w14:paraId="49633AAE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268" w:leftChars="85" w:right="113" w:firstLine="117" w:firstLineChars="57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97" w:type="pct"/>
            <w:noWrap w:val="0"/>
            <w:vAlign w:val="center"/>
          </w:tcPr>
          <w:p w14:paraId="5C190D09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住    址</w:t>
            </w:r>
          </w:p>
        </w:tc>
        <w:tc>
          <w:tcPr>
            <w:tcW w:w="3231" w:type="pct"/>
            <w:gridSpan w:val="3"/>
            <w:noWrap w:val="0"/>
            <w:vAlign w:val="center"/>
          </w:tcPr>
          <w:p w14:paraId="572D2ED9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47022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1528C3F7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268" w:leftChars="85" w:firstLine="117" w:firstLineChars="57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43" w:type="pct"/>
            <w:vMerge w:val="continue"/>
            <w:noWrap w:val="0"/>
            <w:textDirection w:val="tbRlV"/>
            <w:vAlign w:val="center"/>
          </w:tcPr>
          <w:p w14:paraId="646A81C7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268" w:leftChars="85" w:right="113" w:firstLine="117" w:firstLineChars="57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97" w:type="pct"/>
            <w:noWrap w:val="0"/>
            <w:vAlign w:val="center"/>
          </w:tcPr>
          <w:p w14:paraId="61A48395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eastAsia="zh-CN"/>
              </w:rPr>
              <w:t>银行账号</w:t>
            </w:r>
          </w:p>
        </w:tc>
        <w:tc>
          <w:tcPr>
            <w:tcW w:w="3231" w:type="pct"/>
            <w:gridSpan w:val="3"/>
            <w:noWrap w:val="0"/>
            <w:vAlign w:val="center"/>
          </w:tcPr>
          <w:p w14:paraId="25C3099E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1D1CF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1227F76D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268" w:leftChars="85" w:firstLine="117" w:firstLineChars="57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43" w:type="pct"/>
            <w:vMerge w:val="continue"/>
            <w:noWrap w:val="0"/>
            <w:textDirection w:val="tbRlV"/>
            <w:vAlign w:val="center"/>
          </w:tcPr>
          <w:p w14:paraId="7EEA48BE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268" w:leftChars="85" w:right="113" w:firstLine="117" w:firstLineChars="57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3828" w:type="pct"/>
            <w:gridSpan w:val="4"/>
            <w:noWrap w:val="0"/>
            <w:vAlign w:val="center"/>
          </w:tcPr>
          <w:p w14:paraId="6957FB74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申请人声明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：</w:t>
            </w:r>
          </w:p>
          <w:p w14:paraId="1909BE7D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firstLine="404" w:firstLineChars="196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本人承诺所提交材料全部属实。逝者所有直系亲属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法定监护人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对参与本次活动无异议。</w:t>
            </w:r>
          </w:p>
          <w:p w14:paraId="4FB08A7E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firstLine="404" w:firstLineChars="196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33420ED1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            签名：        日期：     年   月   日</w:t>
            </w:r>
          </w:p>
        </w:tc>
      </w:tr>
      <w:tr w14:paraId="004C1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528" w:type="pct"/>
            <w:vMerge w:val="restart"/>
            <w:noWrap w:val="0"/>
            <w:vAlign w:val="center"/>
          </w:tcPr>
          <w:p w14:paraId="7469F0A2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167" w:leftChars="53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审核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审批意见</w:t>
            </w:r>
          </w:p>
        </w:tc>
        <w:tc>
          <w:tcPr>
            <w:tcW w:w="643" w:type="pct"/>
            <w:shd w:val="clear" w:color="auto" w:fill="auto"/>
            <w:noWrap w:val="0"/>
            <w:vAlign w:val="center"/>
          </w:tcPr>
          <w:p w14:paraId="3F6CC16B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4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2"/>
                <w:sz w:val="21"/>
                <w:szCs w:val="21"/>
                <w:lang w:eastAsia="zh-CN"/>
              </w:rPr>
              <w:t>乡镇（街道）党群服务中心审核意见</w:t>
            </w:r>
          </w:p>
          <w:p w14:paraId="171CEB9E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4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8" w:type="pct"/>
            <w:gridSpan w:val="4"/>
            <w:shd w:val="clear" w:color="auto" w:fill="auto"/>
            <w:noWrap w:val="0"/>
            <w:vAlign w:val="center"/>
          </w:tcPr>
          <w:p w14:paraId="0B82F490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 </w:t>
            </w:r>
          </w:p>
          <w:p w14:paraId="0B1F406A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 </w:t>
            </w:r>
          </w:p>
          <w:p w14:paraId="4677FFBD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 </w:t>
            </w:r>
          </w:p>
          <w:p w14:paraId="52450075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 </w:t>
            </w:r>
          </w:p>
          <w:p w14:paraId="26E364BA">
            <w:pPr>
              <w:rPr>
                <w:rFonts w:hint="default" w:ascii="Times New Roman" w:hAnsi="Times New Roman" w:eastAsia="仿宋_GB2312" w:cs="Times New Roman"/>
              </w:rPr>
            </w:pPr>
          </w:p>
          <w:p w14:paraId="47539F45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268" w:leftChars="85" w:firstLine="117" w:firstLineChars="57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（盖  章）</w:t>
            </w:r>
          </w:p>
          <w:p w14:paraId="52EE53EA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268" w:leftChars="85" w:firstLine="117" w:firstLineChars="57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                      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  年   月   日</w:t>
            </w:r>
          </w:p>
        </w:tc>
      </w:tr>
      <w:tr w14:paraId="5556A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7D527136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268" w:leftChars="85" w:firstLine="117" w:firstLineChars="57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643" w:type="pct"/>
            <w:shd w:val="clear" w:color="auto" w:fill="auto"/>
            <w:noWrap w:val="0"/>
            <w:vAlign w:val="center"/>
          </w:tcPr>
          <w:p w14:paraId="4B3B05DE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167" w:leftChars="53" w:right="113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县（市、区）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民政局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审批意见</w:t>
            </w:r>
          </w:p>
          <w:p w14:paraId="637B72B1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167" w:leftChars="53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8" w:type="pct"/>
            <w:gridSpan w:val="4"/>
            <w:shd w:val="clear" w:color="auto" w:fill="auto"/>
            <w:noWrap w:val="0"/>
            <w:vAlign w:val="center"/>
          </w:tcPr>
          <w:p w14:paraId="35659024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 </w:t>
            </w:r>
          </w:p>
          <w:p w14:paraId="00D26AF8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 </w:t>
            </w:r>
          </w:p>
          <w:p w14:paraId="00609C32">
            <w:pPr>
              <w:pStyle w:val="3"/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仿宋_GB2312" w:cs="Times New Roman"/>
              </w:rPr>
            </w:pPr>
          </w:p>
          <w:p w14:paraId="0608C5FD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 </w:t>
            </w:r>
          </w:p>
          <w:p w14:paraId="12502154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268" w:leftChars="85" w:firstLine="117" w:firstLineChars="57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                       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（盖  章）</w:t>
            </w:r>
          </w:p>
          <w:p w14:paraId="5B96A715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268" w:leftChars="85" w:firstLine="117" w:firstLineChars="57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                       年   月   日</w:t>
            </w:r>
          </w:p>
        </w:tc>
      </w:tr>
    </w:tbl>
    <w:p w14:paraId="32E0F11D">
      <w:pPr>
        <w:rPr>
          <w:rFonts w:hint="default"/>
          <w:lang w:val="en-US" w:eastAsia="zh-CN"/>
        </w:rPr>
      </w:pPr>
    </w:p>
    <w:sectPr>
      <w:footerReference r:id="rId5" w:type="default"/>
      <w:footerReference r:id="rId6" w:type="even"/>
      <w:pgSz w:w="11906" w:h="16838"/>
      <w:pgMar w:top="2098" w:right="1474" w:bottom="1984" w:left="1587" w:header="851" w:footer="1417" w:gutter="0"/>
      <w:pgNumType w:fmt="numberInDash"/>
      <w:cols w:space="0" w:num="1"/>
      <w:titlePg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44F0F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431D5B">
                          <w:pPr>
                            <w:pStyle w:val="11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431D5B">
                    <w:pPr>
                      <w:pStyle w:val="11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FD5E6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B67547">
                          <w:pPr>
                            <w:pStyle w:val="11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B67547">
                    <w:pPr>
                      <w:pStyle w:val="11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390FF6"/>
    <w:multiLevelType w:val="singleLevel"/>
    <w:tmpl w:val="5D390FF6"/>
    <w:lvl w:ilvl="0" w:tentative="0">
      <w:start w:val="3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53D5F"/>
    <w:rsid w:val="00913B82"/>
    <w:rsid w:val="01177872"/>
    <w:rsid w:val="014A00BE"/>
    <w:rsid w:val="021415FE"/>
    <w:rsid w:val="027A5940"/>
    <w:rsid w:val="03563CB7"/>
    <w:rsid w:val="0420709F"/>
    <w:rsid w:val="06DD649D"/>
    <w:rsid w:val="07CC279A"/>
    <w:rsid w:val="07D80E59"/>
    <w:rsid w:val="09774987"/>
    <w:rsid w:val="098F7F23"/>
    <w:rsid w:val="0A0B623A"/>
    <w:rsid w:val="0B321FBE"/>
    <w:rsid w:val="0DD048C4"/>
    <w:rsid w:val="0E9E0AA0"/>
    <w:rsid w:val="10833C11"/>
    <w:rsid w:val="10871ED2"/>
    <w:rsid w:val="123E5365"/>
    <w:rsid w:val="12FB3F33"/>
    <w:rsid w:val="1505030B"/>
    <w:rsid w:val="156712A9"/>
    <w:rsid w:val="15961DF8"/>
    <w:rsid w:val="1671732D"/>
    <w:rsid w:val="19026B60"/>
    <w:rsid w:val="195D4924"/>
    <w:rsid w:val="1B3D2370"/>
    <w:rsid w:val="1B9667BC"/>
    <w:rsid w:val="1C6014C4"/>
    <w:rsid w:val="1CC6543A"/>
    <w:rsid w:val="1D64056B"/>
    <w:rsid w:val="1EB31B66"/>
    <w:rsid w:val="1EE6018D"/>
    <w:rsid w:val="1F374545"/>
    <w:rsid w:val="2080016D"/>
    <w:rsid w:val="20AD4C4C"/>
    <w:rsid w:val="21516E67"/>
    <w:rsid w:val="219A172E"/>
    <w:rsid w:val="222774F3"/>
    <w:rsid w:val="22C154D5"/>
    <w:rsid w:val="24FE505A"/>
    <w:rsid w:val="255C5704"/>
    <w:rsid w:val="25F31795"/>
    <w:rsid w:val="26457AF3"/>
    <w:rsid w:val="265A5438"/>
    <w:rsid w:val="266418B8"/>
    <w:rsid w:val="273D2914"/>
    <w:rsid w:val="27C46B92"/>
    <w:rsid w:val="2A7B715C"/>
    <w:rsid w:val="2AA67AA4"/>
    <w:rsid w:val="2C7E7C5B"/>
    <w:rsid w:val="2EE63891"/>
    <w:rsid w:val="2F295644"/>
    <w:rsid w:val="2F71615B"/>
    <w:rsid w:val="31A521C2"/>
    <w:rsid w:val="31C3466C"/>
    <w:rsid w:val="32AB26B5"/>
    <w:rsid w:val="35F90E99"/>
    <w:rsid w:val="380F6006"/>
    <w:rsid w:val="38A547BD"/>
    <w:rsid w:val="3A284350"/>
    <w:rsid w:val="3B6100E4"/>
    <w:rsid w:val="3C311B74"/>
    <w:rsid w:val="3E5B0414"/>
    <w:rsid w:val="410E671D"/>
    <w:rsid w:val="41A40141"/>
    <w:rsid w:val="42442BDA"/>
    <w:rsid w:val="444E2B67"/>
    <w:rsid w:val="44C514BB"/>
    <w:rsid w:val="45603F46"/>
    <w:rsid w:val="461D5993"/>
    <w:rsid w:val="470536E9"/>
    <w:rsid w:val="47801FFD"/>
    <w:rsid w:val="47C60B63"/>
    <w:rsid w:val="4A6727A9"/>
    <w:rsid w:val="4B262DD7"/>
    <w:rsid w:val="4BEB307C"/>
    <w:rsid w:val="4E1C3E7E"/>
    <w:rsid w:val="4EAA25F0"/>
    <w:rsid w:val="4F3022AB"/>
    <w:rsid w:val="502214AB"/>
    <w:rsid w:val="52024FD1"/>
    <w:rsid w:val="522760D9"/>
    <w:rsid w:val="53195734"/>
    <w:rsid w:val="55DE7214"/>
    <w:rsid w:val="571526B6"/>
    <w:rsid w:val="592A2E13"/>
    <w:rsid w:val="593908DE"/>
    <w:rsid w:val="59536374"/>
    <w:rsid w:val="59C60E91"/>
    <w:rsid w:val="5AD92379"/>
    <w:rsid w:val="5DA44981"/>
    <w:rsid w:val="5E9E1693"/>
    <w:rsid w:val="61D545FA"/>
    <w:rsid w:val="62083543"/>
    <w:rsid w:val="65D5198E"/>
    <w:rsid w:val="65DB2E22"/>
    <w:rsid w:val="66B26720"/>
    <w:rsid w:val="679C6C08"/>
    <w:rsid w:val="6857387A"/>
    <w:rsid w:val="6A233D95"/>
    <w:rsid w:val="6A503CD9"/>
    <w:rsid w:val="6AD51554"/>
    <w:rsid w:val="6BFF2D18"/>
    <w:rsid w:val="6D31582E"/>
    <w:rsid w:val="6DA900CB"/>
    <w:rsid w:val="6FAD572A"/>
    <w:rsid w:val="711C318C"/>
    <w:rsid w:val="71C07997"/>
    <w:rsid w:val="71E77E15"/>
    <w:rsid w:val="737309D4"/>
    <w:rsid w:val="743C6F80"/>
    <w:rsid w:val="75394C61"/>
    <w:rsid w:val="781F4CEB"/>
    <w:rsid w:val="79E92040"/>
    <w:rsid w:val="7B452056"/>
    <w:rsid w:val="7E451C55"/>
    <w:rsid w:val="7F1D3298"/>
    <w:rsid w:val="7FA5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jc w:val="center"/>
      <w:outlineLvl w:val="0"/>
    </w:pPr>
    <w:rPr>
      <w:rFonts w:eastAsia="方正小标宋_GBK" w:asciiTheme="minorAscii" w:hAnsiTheme="minorAscii"/>
      <w:kern w:val="44"/>
      <w:sz w:val="44"/>
    </w:rPr>
  </w:style>
  <w:style w:type="paragraph" w:styleId="3">
    <w:name w:val="heading 2"/>
    <w:basedOn w:val="1"/>
    <w:next w:val="4"/>
    <w:link w:val="18"/>
    <w:unhideWhenUsed/>
    <w:qFormat/>
    <w:uiPriority w:val="0"/>
    <w:pPr>
      <w:ind w:firstLine="872" w:firstLineChars="200"/>
      <w:outlineLvl w:val="1"/>
    </w:pPr>
    <w:rPr>
      <w:rFonts w:eastAsia="黑体" w:asciiTheme="minorAscii" w:hAnsiTheme="minorAscii"/>
    </w:rPr>
  </w:style>
  <w:style w:type="paragraph" w:styleId="6">
    <w:name w:val="heading 3"/>
    <w:basedOn w:val="1"/>
    <w:next w:val="1"/>
    <w:link w:val="19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72" w:firstLineChars="200"/>
      <w:outlineLvl w:val="2"/>
    </w:pPr>
    <w:rPr>
      <w:rFonts w:eastAsia="楷体_GB2312" w:asciiTheme="minorAscii" w:hAnsiTheme="minorAscii"/>
      <w:b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72" w:firstLineChars="200"/>
      <w:outlineLvl w:val="3"/>
    </w:pPr>
    <w:rPr>
      <w:rFonts w:ascii="Arial" w:hAnsi="Arial"/>
      <w:b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next w:val="5"/>
    <w:unhideWhenUsed/>
    <w:qFormat/>
    <w:uiPriority w:val="99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33"/>
      <w:szCs w:val="33"/>
      <w:lang w:val="en-US" w:eastAsia="zh-CN" w:bidi="ar-SA"/>
    </w:rPr>
  </w:style>
  <w:style w:type="paragraph" w:styleId="5">
    <w:name w:val="toc 4"/>
    <w:next w:val="1"/>
    <w:unhideWhenUsed/>
    <w:qFormat/>
    <w:uiPriority w:val="39"/>
    <w:pPr>
      <w:widowControl w:val="0"/>
      <w:ind w:left="1260" w:leftChars="6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8">
    <w:name w:val="table of authorities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9">
    <w:name w:val="Body Text"/>
    <w:basedOn w:val="1"/>
    <w:qFormat/>
    <w:uiPriority w:val="0"/>
    <w:pPr>
      <w:spacing w:after="120" w:afterLines="0" w:afterAutospacing="0"/>
    </w:pPr>
  </w:style>
  <w:style w:type="paragraph" w:styleId="10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Times New Roman" w:hAnsi="Times New Roman" w:eastAsia="宋体" w:cs="Times New Roman"/>
      <w:sz w:val="30"/>
      <w:szCs w:val="22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4">
    <w:name w:val="Body Text First Indent 2"/>
    <w:basedOn w:val="10"/>
    <w:next w:val="1"/>
    <w:unhideWhenUsed/>
    <w:qFormat/>
    <w:uiPriority w:val="99"/>
    <w:pPr>
      <w:ind w:firstLine="420" w:firstLineChars="200"/>
    </w:pPr>
  </w:style>
  <w:style w:type="character" w:styleId="17">
    <w:name w:val="Emphasis"/>
    <w:basedOn w:val="16"/>
    <w:qFormat/>
    <w:uiPriority w:val="0"/>
    <w:rPr>
      <w:i/>
    </w:rPr>
  </w:style>
  <w:style w:type="character" w:customStyle="1" w:styleId="18">
    <w:name w:val="标题 2 Char"/>
    <w:link w:val="3"/>
    <w:qFormat/>
    <w:uiPriority w:val="0"/>
    <w:rPr>
      <w:rFonts w:eastAsia="黑体" w:asciiTheme="minorAscii" w:hAnsiTheme="minorAscii"/>
    </w:rPr>
  </w:style>
  <w:style w:type="character" w:customStyle="1" w:styleId="19">
    <w:name w:val="标题 3 Char"/>
    <w:link w:val="6"/>
    <w:qFormat/>
    <w:uiPriority w:val="0"/>
    <w:rPr>
      <w:rFonts w:eastAsia="楷体_GB2312" w:asciiTheme="minorAscii" w:hAnsiTheme="minorAscii"/>
      <w:b/>
    </w:rPr>
  </w:style>
  <w:style w:type="paragraph" w:customStyle="1" w:styleId="20">
    <w:name w:val="Plain Text"/>
    <w:basedOn w:val="1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1741</Words>
  <Characters>1791</Characters>
  <Lines>0</Lines>
  <Paragraphs>0</Paragraphs>
  <TotalTime>22</TotalTime>
  <ScaleCrop>false</ScaleCrop>
  <LinksUpToDate>false</LinksUpToDate>
  <CharactersWithSpaces>2122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2024-09-30T11:14:00Z</dcterms:created>
  <dc:creator>xiaoluozi</dc:creator>
  <cp:lastModifiedBy>玲</cp:lastModifiedBy>
  <cp:lastPrinted>2025-11-05T02:58:00Z</cp:lastPrinted>
  <dcterms:modified xsi:type="dcterms:W3CDTF">2025-11-12T01:56:32Z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0EF29776DF274D52B394DC3C8151E6CE_13</vt:lpwstr>
  </property>
  <property fmtid="{D5CDD505-2E9C-101B-9397-08002B2CF9AE}" pid="4" name="KSOTemplateDocerSaveRecord">
    <vt:lpwstr>eyJoZGlkIjoiM2I2OTdhNTQxY2EyYjgwYjQ2NTYzMzJkOWIzMzIzMWIiLCJ1c2VySWQiOiI1NTQyMTg1MjcifQ==</vt:lpwstr>
  </property>
</Properties>
</file>