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B3169E">
      <w:pPr>
        <w:spacing w:line="560" w:lineRule="exact"/>
        <w:rPr>
          <w:rFonts w:ascii="黑体" w:hAnsi="黑体" w:eastAsia="黑体" w:cs="黑体"/>
          <w:sz w:val="28"/>
          <w:szCs w:val="28"/>
        </w:rPr>
      </w:pPr>
      <w:r>
        <w:rPr>
          <w:rFonts w:hint="eastAsia" w:ascii="黑体" w:hAnsi="黑体" w:eastAsia="黑体" w:cs="黑体"/>
          <w:sz w:val="28"/>
          <w:szCs w:val="28"/>
        </w:rPr>
        <w:t>附件2</w:t>
      </w:r>
    </w:p>
    <w:p w14:paraId="161A0F8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揭阳市政府网站与政务新媒体考评指标及评分细则</w:t>
      </w:r>
    </w:p>
    <w:p w14:paraId="56983A0A">
      <w:pPr>
        <w:spacing w:line="560" w:lineRule="exact"/>
        <w:jc w:val="center"/>
        <w:rPr>
          <w:rFonts w:ascii="方正小标宋简体" w:hAnsi="方正小标宋简体" w:eastAsia="方正小标宋简体" w:cs="方正小标宋简体"/>
          <w:sz w:val="44"/>
          <w:szCs w:val="44"/>
        </w:rPr>
      </w:pPr>
    </w:p>
    <w:p w14:paraId="05709B2C">
      <w:pPr>
        <w:spacing w:line="560" w:lineRule="exact"/>
        <w:rPr>
          <w:rFonts w:ascii="黑体" w:hAnsi="黑体" w:eastAsia="黑体" w:cs="黑体"/>
          <w:sz w:val="32"/>
          <w:szCs w:val="32"/>
        </w:rPr>
      </w:pPr>
      <w:r>
        <w:rPr>
          <w:rFonts w:hint="eastAsia" w:ascii="黑体" w:hAnsi="黑体" w:eastAsia="黑体" w:cs="黑体"/>
          <w:sz w:val="32"/>
          <w:szCs w:val="32"/>
        </w:rPr>
        <w:t>指标说明：</w:t>
      </w:r>
    </w:p>
    <w:p w14:paraId="7555CB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指标分为三部分，第一部分为单项否决指标；第二部分为基础性指标，分值为100分；第三部分为引导性指标，分值为25分。对政府网站与政务新媒体检查时，如出现单项否决指标中的任意一种情形，即判定为不合格，不再对其他指标进行评分。如网站（频道）不存在单项否决问题，则对基础性指标和引导性指标进行评分。其中，采用扣分方式评分的，单项指标扣分之和不超过本项指标总分值。对于没有对外服务职能或未开设政务新媒体的市有关单位，不检查其网站（频道）涉及办事或政务新媒体服务指标，对基础性指标评分时以85分为满分，结果乘以100/85为第二部分得分。既没有对外服务职能又未开设政务新媒体的市有关单位基础性指标评分时以70分为满分，结果乘以100/70为第二部分得分。</w:t>
      </w:r>
    </w:p>
    <w:p w14:paraId="4759D628">
      <w:pPr>
        <w:spacing w:line="560" w:lineRule="exact"/>
        <w:rPr>
          <w:rFonts w:ascii="仿宋_GB2312" w:hAnsi="仿宋_GB2312" w:eastAsia="仿宋_GB2312" w:cs="仿宋_GB2312"/>
          <w:sz w:val="32"/>
          <w:szCs w:val="32"/>
        </w:rPr>
      </w:pPr>
    </w:p>
    <w:p w14:paraId="5F2E1767">
      <w:pPr>
        <w:spacing w:line="560" w:lineRule="exact"/>
        <w:rPr>
          <w:rFonts w:ascii="仿宋_GB2312" w:hAnsi="仿宋_GB2312" w:eastAsia="仿宋_GB2312" w:cs="仿宋_GB2312"/>
          <w:sz w:val="32"/>
          <w:szCs w:val="32"/>
        </w:rPr>
      </w:pPr>
    </w:p>
    <w:p w14:paraId="6E6CF915">
      <w:pPr>
        <w:spacing w:line="560" w:lineRule="exact"/>
        <w:rPr>
          <w:rFonts w:ascii="黑体" w:hAnsi="黑体" w:eastAsia="黑体" w:cs="黑体"/>
          <w:sz w:val="28"/>
          <w:szCs w:val="28"/>
        </w:rPr>
      </w:pPr>
      <w:r>
        <w:rPr>
          <w:rFonts w:hint="eastAsia" w:ascii="黑体" w:hAnsi="黑体" w:eastAsia="黑体" w:cs="黑体"/>
          <w:sz w:val="28"/>
          <w:szCs w:val="28"/>
        </w:rPr>
        <w:t>一、单项否决指标</w:t>
      </w:r>
    </w:p>
    <w:tbl>
      <w:tblPr>
        <w:tblStyle w:val="10"/>
        <w:tblW w:w="13948" w:type="dxa"/>
        <w:tblInd w:w="0" w:type="dxa"/>
        <w:tblLayout w:type="fixed"/>
        <w:tblCellMar>
          <w:top w:w="0" w:type="dxa"/>
          <w:left w:w="108" w:type="dxa"/>
          <w:bottom w:w="0" w:type="dxa"/>
          <w:right w:w="108" w:type="dxa"/>
        </w:tblCellMar>
      </w:tblPr>
      <w:tblGrid>
        <w:gridCol w:w="1710"/>
        <w:gridCol w:w="1684"/>
        <w:gridCol w:w="10554"/>
      </w:tblGrid>
      <w:tr w14:paraId="0C834C7C">
        <w:tblPrEx>
          <w:tblCellMar>
            <w:top w:w="0" w:type="dxa"/>
            <w:left w:w="108" w:type="dxa"/>
            <w:bottom w:w="0" w:type="dxa"/>
            <w:right w:w="108" w:type="dxa"/>
          </w:tblCellMar>
        </w:tblPrEx>
        <w:trPr>
          <w:trHeight w:val="276" w:hRule="atLeast"/>
          <w:tblHeader/>
        </w:trPr>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AA9C7">
            <w:pPr>
              <w:spacing w:line="560" w:lineRule="exact"/>
              <w:jc w:val="center"/>
              <w:rPr>
                <w:rFonts w:ascii="黑体" w:hAnsi="黑体" w:eastAsia="黑体" w:cs="黑体"/>
                <w:sz w:val="28"/>
                <w:szCs w:val="28"/>
              </w:rPr>
            </w:pPr>
            <w:r>
              <w:rPr>
                <w:rFonts w:hint="eastAsia" w:ascii="黑体" w:hAnsi="黑体" w:eastAsia="黑体" w:cs="黑体"/>
                <w:sz w:val="28"/>
                <w:szCs w:val="28"/>
              </w:rPr>
              <w:t>检查对象</w:t>
            </w: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11A1714D">
            <w:pPr>
              <w:spacing w:line="560" w:lineRule="exact"/>
              <w:jc w:val="center"/>
              <w:rPr>
                <w:rFonts w:ascii="黑体" w:hAnsi="黑体" w:eastAsia="黑体" w:cs="黑体"/>
                <w:sz w:val="28"/>
                <w:szCs w:val="28"/>
              </w:rPr>
            </w:pPr>
            <w:r>
              <w:rPr>
                <w:rFonts w:hint="eastAsia" w:ascii="黑体" w:hAnsi="黑体" w:eastAsia="黑体" w:cs="黑体"/>
                <w:sz w:val="28"/>
                <w:szCs w:val="28"/>
              </w:rPr>
              <w:t>指标</w:t>
            </w:r>
          </w:p>
        </w:tc>
        <w:tc>
          <w:tcPr>
            <w:tcW w:w="10554" w:type="dxa"/>
            <w:tcBorders>
              <w:top w:val="single" w:color="auto" w:sz="4" w:space="0"/>
              <w:left w:val="nil"/>
              <w:bottom w:val="single" w:color="auto" w:sz="4" w:space="0"/>
              <w:right w:val="single" w:color="auto" w:sz="4" w:space="0"/>
            </w:tcBorders>
            <w:shd w:val="clear" w:color="auto" w:fill="auto"/>
            <w:vAlign w:val="center"/>
          </w:tcPr>
          <w:p w14:paraId="4490C989">
            <w:pPr>
              <w:spacing w:line="560" w:lineRule="exact"/>
              <w:jc w:val="center"/>
              <w:rPr>
                <w:rFonts w:ascii="黑体" w:hAnsi="黑体" w:eastAsia="黑体" w:cs="黑体"/>
                <w:sz w:val="28"/>
                <w:szCs w:val="28"/>
              </w:rPr>
            </w:pPr>
            <w:r>
              <w:rPr>
                <w:rFonts w:hint="eastAsia" w:ascii="黑体" w:hAnsi="黑体" w:eastAsia="黑体" w:cs="黑体"/>
                <w:sz w:val="28"/>
                <w:szCs w:val="28"/>
              </w:rPr>
              <w:t>评分细则</w:t>
            </w:r>
          </w:p>
        </w:tc>
      </w:tr>
      <w:tr w14:paraId="799DE883">
        <w:tblPrEx>
          <w:tblCellMar>
            <w:top w:w="0" w:type="dxa"/>
            <w:left w:w="108" w:type="dxa"/>
            <w:bottom w:w="0" w:type="dxa"/>
            <w:right w:w="108" w:type="dxa"/>
          </w:tblCellMar>
        </w:tblPrEx>
        <w:trPr>
          <w:trHeight w:val="1932" w:hRule="atLeast"/>
        </w:trPr>
        <w:tc>
          <w:tcPr>
            <w:tcW w:w="1710" w:type="dxa"/>
            <w:vMerge w:val="restart"/>
            <w:tcBorders>
              <w:top w:val="nil"/>
              <w:left w:val="single" w:color="auto" w:sz="4" w:space="0"/>
              <w:bottom w:val="single" w:color="000000" w:sz="4" w:space="0"/>
              <w:right w:val="single" w:color="auto" w:sz="4" w:space="0"/>
            </w:tcBorders>
            <w:shd w:val="clear" w:color="auto" w:fill="auto"/>
            <w:noWrap/>
            <w:vAlign w:val="center"/>
          </w:tcPr>
          <w:p w14:paraId="59C4904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政府网站（频道）</w:t>
            </w:r>
          </w:p>
        </w:tc>
        <w:tc>
          <w:tcPr>
            <w:tcW w:w="1684" w:type="dxa"/>
            <w:tcBorders>
              <w:top w:val="nil"/>
              <w:left w:val="nil"/>
              <w:bottom w:val="single" w:color="auto" w:sz="4" w:space="0"/>
              <w:right w:val="single" w:color="auto" w:sz="4" w:space="0"/>
            </w:tcBorders>
            <w:shd w:val="clear" w:color="auto" w:fill="auto"/>
            <w:noWrap/>
            <w:vAlign w:val="center"/>
          </w:tcPr>
          <w:p w14:paraId="295CD79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安全、泄密事故等严重问题</w:t>
            </w:r>
          </w:p>
        </w:tc>
        <w:tc>
          <w:tcPr>
            <w:tcW w:w="10554" w:type="dxa"/>
            <w:tcBorders>
              <w:top w:val="nil"/>
              <w:left w:val="nil"/>
              <w:bottom w:val="single" w:color="auto" w:sz="4" w:space="0"/>
              <w:right w:val="single" w:color="auto" w:sz="4" w:space="0"/>
            </w:tcBorders>
            <w:shd w:val="clear" w:color="auto" w:fill="auto"/>
            <w:vAlign w:val="bottom"/>
          </w:tcPr>
          <w:p w14:paraId="12D74A1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1.出现严重表述错误；</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2.泄露国家秘密；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3.发布或链接反动、暴力、色情等内容；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4.对安全攻击（如页面被挂马、内容被篡改等）没有及时有效处置造成严重安全事故；</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5.存在弄虚作假行为（如伪造发稿日期等）；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6.因网站建设管理工作不当引发严重负面舆情。</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p>
        </w:tc>
      </w:tr>
      <w:tr w14:paraId="3432F55D">
        <w:tblPrEx>
          <w:tblCellMar>
            <w:top w:w="0" w:type="dxa"/>
            <w:left w:w="108" w:type="dxa"/>
            <w:bottom w:w="0" w:type="dxa"/>
            <w:right w:w="108" w:type="dxa"/>
          </w:tblCellMar>
        </w:tblPrEx>
        <w:trPr>
          <w:trHeight w:val="552" w:hRule="atLeast"/>
        </w:trPr>
        <w:tc>
          <w:tcPr>
            <w:tcW w:w="1710" w:type="dxa"/>
            <w:vMerge w:val="continue"/>
            <w:tcBorders>
              <w:top w:val="nil"/>
              <w:left w:val="single" w:color="auto" w:sz="4" w:space="0"/>
              <w:bottom w:val="single" w:color="000000" w:sz="4" w:space="0"/>
              <w:right w:val="single" w:color="auto" w:sz="4" w:space="0"/>
            </w:tcBorders>
            <w:vAlign w:val="center"/>
          </w:tcPr>
          <w:p w14:paraId="136FC288">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4910394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站点无法访问</w:t>
            </w:r>
          </w:p>
        </w:tc>
        <w:tc>
          <w:tcPr>
            <w:tcW w:w="10554" w:type="dxa"/>
            <w:tcBorders>
              <w:top w:val="nil"/>
              <w:left w:val="nil"/>
              <w:bottom w:val="single" w:color="auto" w:sz="4" w:space="0"/>
              <w:right w:val="single" w:color="auto" w:sz="4" w:space="0"/>
            </w:tcBorders>
            <w:shd w:val="clear" w:color="auto" w:fill="auto"/>
            <w:vAlign w:val="bottom"/>
          </w:tcPr>
          <w:p w14:paraId="7EC1C4E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监测1周，每天间隔性访问20次以上，超过（含）15秒网站（频道）仍打不开的次数累计占比超过（含）5%，即单项否决。</w:t>
            </w:r>
          </w:p>
        </w:tc>
      </w:tr>
      <w:tr w14:paraId="77E5531B">
        <w:tblPrEx>
          <w:tblCellMar>
            <w:top w:w="0" w:type="dxa"/>
            <w:left w:w="108" w:type="dxa"/>
            <w:bottom w:w="0" w:type="dxa"/>
            <w:right w:w="108" w:type="dxa"/>
          </w:tblCellMar>
        </w:tblPrEx>
        <w:trPr>
          <w:trHeight w:val="828" w:hRule="atLeast"/>
        </w:trPr>
        <w:tc>
          <w:tcPr>
            <w:tcW w:w="1710" w:type="dxa"/>
            <w:vMerge w:val="continue"/>
            <w:tcBorders>
              <w:top w:val="nil"/>
              <w:left w:val="single" w:color="auto" w:sz="4" w:space="0"/>
              <w:bottom w:val="single" w:color="000000" w:sz="4" w:space="0"/>
              <w:right w:val="single" w:color="auto" w:sz="4" w:space="0"/>
            </w:tcBorders>
            <w:vAlign w:val="center"/>
          </w:tcPr>
          <w:p w14:paraId="67120F23">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4127A82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首页不更新</w:t>
            </w:r>
          </w:p>
        </w:tc>
        <w:tc>
          <w:tcPr>
            <w:tcW w:w="10554" w:type="dxa"/>
            <w:tcBorders>
              <w:top w:val="nil"/>
              <w:left w:val="nil"/>
              <w:bottom w:val="single" w:color="auto" w:sz="4" w:space="0"/>
              <w:right w:val="single" w:color="auto" w:sz="4" w:space="0"/>
            </w:tcBorders>
            <w:shd w:val="clear" w:color="auto" w:fill="auto"/>
            <w:vAlign w:val="bottom"/>
          </w:tcPr>
          <w:p w14:paraId="528C6F8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监测2周，网站（频道）首页无信息更新的，即单项否决。</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注：稿件发布页未注明发布时间的视为不更新，下同。</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如首页仅为网站栏目导航入口，所有二级页面无信息更新的，即单项否决。</w:t>
            </w:r>
          </w:p>
        </w:tc>
      </w:tr>
      <w:tr w14:paraId="300595EF">
        <w:tblPrEx>
          <w:tblCellMar>
            <w:top w:w="0" w:type="dxa"/>
            <w:left w:w="108" w:type="dxa"/>
            <w:bottom w:w="0" w:type="dxa"/>
            <w:right w:w="108" w:type="dxa"/>
          </w:tblCellMar>
        </w:tblPrEx>
        <w:trPr>
          <w:trHeight w:val="1380" w:hRule="atLeast"/>
        </w:trPr>
        <w:tc>
          <w:tcPr>
            <w:tcW w:w="1710" w:type="dxa"/>
            <w:vMerge w:val="continue"/>
            <w:tcBorders>
              <w:top w:val="nil"/>
              <w:left w:val="single" w:color="auto" w:sz="4" w:space="0"/>
              <w:bottom w:val="single" w:color="000000" w:sz="4" w:space="0"/>
              <w:right w:val="single" w:color="auto" w:sz="4" w:space="0"/>
            </w:tcBorders>
            <w:vAlign w:val="center"/>
          </w:tcPr>
          <w:p w14:paraId="035B28A1">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60BD136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栏目不更新</w:t>
            </w:r>
          </w:p>
        </w:tc>
        <w:tc>
          <w:tcPr>
            <w:tcW w:w="10554" w:type="dxa"/>
            <w:tcBorders>
              <w:top w:val="nil"/>
              <w:left w:val="nil"/>
              <w:bottom w:val="single" w:color="auto" w:sz="4" w:space="0"/>
              <w:right w:val="single" w:color="auto" w:sz="4" w:space="0"/>
            </w:tcBorders>
            <w:shd w:val="clear" w:color="auto" w:fill="auto"/>
            <w:vAlign w:val="bottom"/>
          </w:tcPr>
          <w:p w14:paraId="1990EC8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1.监测时间点前2周内的动态、要闻类栏目，以及监测时间点前6个月内的通知公告、政策文件类一级栏目，累计超过（含）5个未更新；</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2.应更新但长期未更新的栏目数量超过（含）10个；</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3.空白栏目数量超过（含）5个。</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p>
        </w:tc>
      </w:tr>
      <w:tr w14:paraId="2ED09BA2">
        <w:tblPrEx>
          <w:tblCellMar>
            <w:top w:w="0" w:type="dxa"/>
            <w:left w:w="108" w:type="dxa"/>
            <w:bottom w:w="0" w:type="dxa"/>
            <w:right w:w="108" w:type="dxa"/>
          </w:tblCellMar>
        </w:tblPrEx>
        <w:trPr>
          <w:trHeight w:val="1104" w:hRule="atLeast"/>
        </w:trPr>
        <w:tc>
          <w:tcPr>
            <w:tcW w:w="1710" w:type="dxa"/>
            <w:vMerge w:val="continue"/>
            <w:tcBorders>
              <w:top w:val="nil"/>
              <w:left w:val="single" w:color="auto" w:sz="4" w:space="0"/>
              <w:bottom w:val="single" w:color="000000" w:sz="4" w:space="0"/>
              <w:right w:val="single" w:color="auto" w:sz="4" w:space="0"/>
            </w:tcBorders>
            <w:vAlign w:val="center"/>
          </w:tcPr>
          <w:p w14:paraId="54E4FCE0">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4BC2577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互动回应差</w:t>
            </w:r>
          </w:p>
        </w:tc>
        <w:tc>
          <w:tcPr>
            <w:tcW w:w="10554" w:type="dxa"/>
            <w:tcBorders>
              <w:top w:val="nil"/>
              <w:left w:val="nil"/>
              <w:bottom w:val="single" w:color="auto" w:sz="4" w:space="0"/>
              <w:right w:val="single" w:color="auto" w:sz="4" w:space="0"/>
            </w:tcBorders>
            <w:shd w:val="clear" w:color="auto" w:fill="auto"/>
            <w:vAlign w:val="bottom"/>
          </w:tcPr>
          <w:p w14:paraId="477D677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1.未提供网上有效咨询建言渠道（网上信访、纪检举报等专门渠道除外，频道不考核该指标）；</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2.监测时间点前1年内，对网民留言应及时答复处理的政务咨询类栏目（在线访谈、调查征集、网上信访、纪检举报类栏目除外）存在超过3个月未回应有效留言的现象。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p>
        </w:tc>
      </w:tr>
      <w:tr w14:paraId="5CCA0E69">
        <w:tblPrEx>
          <w:tblCellMar>
            <w:top w:w="0" w:type="dxa"/>
            <w:left w:w="108" w:type="dxa"/>
            <w:bottom w:w="0" w:type="dxa"/>
            <w:right w:w="108" w:type="dxa"/>
          </w:tblCellMar>
        </w:tblPrEx>
        <w:trPr>
          <w:trHeight w:val="1932" w:hRule="atLeast"/>
        </w:trPr>
        <w:tc>
          <w:tcPr>
            <w:tcW w:w="1710" w:type="dxa"/>
            <w:vMerge w:val="continue"/>
            <w:tcBorders>
              <w:top w:val="nil"/>
              <w:left w:val="single" w:color="auto" w:sz="4" w:space="0"/>
              <w:bottom w:val="single" w:color="000000" w:sz="4" w:space="0"/>
              <w:right w:val="single" w:color="auto" w:sz="4" w:space="0"/>
            </w:tcBorders>
            <w:vAlign w:val="center"/>
          </w:tcPr>
          <w:p w14:paraId="55CC4387">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58666CD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服务不实用</w:t>
            </w:r>
          </w:p>
        </w:tc>
        <w:tc>
          <w:tcPr>
            <w:tcW w:w="10554" w:type="dxa"/>
            <w:tcBorders>
              <w:top w:val="nil"/>
              <w:left w:val="nil"/>
              <w:bottom w:val="single" w:color="auto" w:sz="4" w:space="0"/>
              <w:right w:val="single" w:color="auto" w:sz="4" w:space="0"/>
            </w:tcBorders>
            <w:shd w:val="clear" w:color="auto" w:fill="auto"/>
            <w:vAlign w:val="bottom"/>
          </w:tcPr>
          <w:p w14:paraId="039099B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1.未提供办事服务；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2.办事指南重点要素类别（包括事项名称、设定依据、申请条件、办理材料、办理地点、办理机构、收费标准、办理时间、联系电话、办理流程）缺失4类及以上的事项数量超过（含）5个；</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3.事项总数不足5个的，每个事项办事指南重点要素类别（包括事项名称、设定依据、申请条件、办理材料、办理地点、办理机构、收费标准、办理时间、联系电话、办理流程）均缺失4类及以上。</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注：对不承担对外服务职能的市有关单位，不检查其网站（频道）该项指标。</w:t>
            </w:r>
          </w:p>
        </w:tc>
      </w:tr>
      <w:tr w14:paraId="6036DCDB">
        <w:tblPrEx>
          <w:tblCellMar>
            <w:top w:w="0" w:type="dxa"/>
            <w:left w:w="108" w:type="dxa"/>
            <w:bottom w:w="0" w:type="dxa"/>
            <w:right w:w="108" w:type="dxa"/>
          </w:tblCellMar>
        </w:tblPrEx>
        <w:trPr>
          <w:trHeight w:val="1656" w:hRule="atLeast"/>
        </w:trPr>
        <w:tc>
          <w:tcPr>
            <w:tcW w:w="1710" w:type="dxa"/>
            <w:vMerge w:val="restart"/>
            <w:tcBorders>
              <w:top w:val="nil"/>
              <w:left w:val="single" w:color="auto" w:sz="4" w:space="0"/>
              <w:bottom w:val="single" w:color="auto" w:sz="4" w:space="0"/>
              <w:right w:val="single" w:color="auto" w:sz="4" w:space="0"/>
            </w:tcBorders>
            <w:shd w:val="clear" w:color="auto" w:fill="auto"/>
            <w:noWrap/>
            <w:vAlign w:val="center"/>
          </w:tcPr>
          <w:p w14:paraId="0B13F01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政务新媒体</w:t>
            </w:r>
          </w:p>
        </w:tc>
        <w:tc>
          <w:tcPr>
            <w:tcW w:w="1684" w:type="dxa"/>
            <w:tcBorders>
              <w:top w:val="nil"/>
              <w:left w:val="nil"/>
              <w:bottom w:val="single" w:color="auto" w:sz="4" w:space="0"/>
              <w:right w:val="single" w:color="auto" w:sz="4" w:space="0"/>
            </w:tcBorders>
            <w:shd w:val="clear" w:color="auto" w:fill="auto"/>
            <w:noWrap/>
            <w:vAlign w:val="center"/>
          </w:tcPr>
          <w:p w14:paraId="5628ACC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安全、泄密事故等严重问题</w:t>
            </w:r>
          </w:p>
        </w:tc>
        <w:tc>
          <w:tcPr>
            <w:tcW w:w="10554" w:type="dxa"/>
            <w:tcBorders>
              <w:top w:val="nil"/>
              <w:left w:val="nil"/>
              <w:bottom w:val="single" w:color="auto" w:sz="4" w:space="0"/>
              <w:right w:val="single" w:color="auto" w:sz="4" w:space="0"/>
            </w:tcBorders>
            <w:shd w:val="clear" w:color="auto" w:fill="auto"/>
            <w:vAlign w:val="center"/>
          </w:tcPr>
          <w:p w14:paraId="7CEDF23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1.出现严重表述错误；</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2.泄露国家秘密；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3.发布或链接反动、暴力、色情、迷信等内容；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4.因发布内容不当引发严重负面舆情。</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p>
        </w:tc>
      </w:tr>
      <w:tr w14:paraId="687FE0D3">
        <w:tblPrEx>
          <w:tblCellMar>
            <w:top w:w="0" w:type="dxa"/>
            <w:left w:w="108" w:type="dxa"/>
            <w:bottom w:w="0" w:type="dxa"/>
            <w:right w:w="108" w:type="dxa"/>
          </w:tblCellMar>
        </w:tblPrEx>
        <w:trPr>
          <w:trHeight w:val="828" w:hRule="atLeast"/>
        </w:trPr>
        <w:tc>
          <w:tcPr>
            <w:tcW w:w="1710" w:type="dxa"/>
            <w:vMerge w:val="continue"/>
            <w:tcBorders>
              <w:top w:val="nil"/>
              <w:left w:val="single" w:color="auto" w:sz="4" w:space="0"/>
              <w:bottom w:val="single" w:color="auto" w:sz="4" w:space="0"/>
              <w:right w:val="single" w:color="auto" w:sz="4" w:space="0"/>
            </w:tcBorders>
            <w:vAlign w:val="center"/>
          </w:tcPr>
          <w:p w14:paraId="7B6AD97C">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2A3B8FA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内容不更新</w:t>
            </w:r>
          </w:p>
        </w:tc>
        <w:tc>
          <w:tcPr>
            <w:tcW w:w="10554" w:type="dxa"/>
            <w:tcBorders>
              <w:top w:val="nil"/>
              <w:left w:val="nil"/>
              <w:bottom w:val="single" w:color="auto" w:sz="4" w:space="0"/>
              <w:right w:val="single" w:color="auto" w:sz="4" w:space="0"/>
            </w:tcBorders>
            <w:shd w:val="clear" w:color="auto" w:fill="auto"/>
            <w:vAlign w:val="center"/>
          </w:tcPr>
          <w:p w14:paraId="0BB7D70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1.监测时间点前2周内无更新；</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2.移动客户端（APP）无法下载或使用，发生“僵尸”“睡眠”情况；</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p>
        </w:tc>
      </w:tr>
      <w:tr w14:paraId="24149127">
        <w:tblPrEx>
          <w:tblCellMar>
            <w:top w:w="0" w:type="dxa"/>
            <w:left w:w="108" w:type="dxa"/>
            <w:bottom w:w="0" w:type="dxa"/>
            <w:right w:w="108" w:type="dxa"/>
          </w:tblCellMar>
        </w:tblPrEx>
        <w:trPr>
          <w:trHeight w:val="828" w:hRule="atLeast"/>
        </w:trPr>
        <w:tc>
          <w:tcPr>
            <w:tcW w:w="1710" w:type="dxa"/>
            <w:vMerge w:val="continue"/>
            <w:tcBorders>
              <w:top w:val="nil"/>
              <w:left w:val="single" w:color="auto" w:sz="4" w:space="0"/>
              <w:bottom w:val="single" w:color="auto" w:sz="4" w:space="0"/>
              <w:right w:val="single" w:color="auto" w:sz="4" w:space="0"/>
            </w:tcBorders>
            <w:vAlign w:val="center"/>
          </w:tcPr>
          <w:p w14:paraId="43E6BCE9">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2A87525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互动回应差</w:t>
            </w:r>
          </w:p>
        </w:tc>
        <w:tc>
          <w:tcPr>
            <w:tcW w:w="10554" w:type="dxa"/>
            <w:tcBorders>
              <w:top w:val="nil"/>
              <w:left w:val="nil"/>
              <w:bottom w:val="single" w:color="auto" w:sz="4" w:space="0"/>
              <w:right w:val="single" w:color="auto" w:sz="4" w:space="0"/>
            </w:tcBorders>
            <w:shd w:val="clear" w:color="auto" w:fill="auto"/>
            <w:vAlign w:val="center"/>
          </w:tcPr>
          <w:p w14:paraId="0B5427C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1.未提供有效互动功能；</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2.存在购买“粉丝”、强制要求群众点赞等弄虚作假行为。</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上述情况出现任意一种，即单项否决。</w:t>
            </w:r>
          </w:p>
        </w:tc>
      </w:tr>
    </w:tbl>
    <w:p w14:paraId="4332DF2B">
      <w:pPr>
        <w:spacing w:line="560" w:lineRule="exact"/>
        <w:rPr>
          <w:rFonts w:ascii="黑体" w:hAnsi="黑体" w:eastAsia="黑体" w:cs="黑体"/>
          <w:sz w:val="28"/>
          <w:szCs w:val="28"/>
        </w:rPr>
      </w:pPr>
    </w:p>
    <w:p w14:paraId="77BC42C4">
      <w:pPr>
        <w:spacing w:line="560" w:lineRule="exact"/>
        <w:rPr>
          <w:rFonts w:ascii="黑体" w:hAnsi="黑体" w:eastAsia="黑体" w:cs="黑体"/>
          <w:sz w:val="28"/>
          <w:szCs w:val="28"/>
        </w:rPr>
      </w:pPr>
      <w:r>
        <w:rPr>
          <w:rFonts w:hint="eastAsia" w:ascii="黑体" w:hAnsi="黑体" w:eastAsia="黑体" w:cs="黑体"/>
          <w:sz w:val="28"/>
          <w:szCs w:val="28"/>
        </w:rPr>
        <w:t>二、基础性指标（100分）</w:t>
      </w:r>
    </w:p>
    <w:tbl>
      <w:tblPr>
        <w:tblStyle w:val="1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708"/>
        <w:gridCol w:w="9743"/>
        <w:gridCol w:w="799"/>
      </w:tblGrid>
      <w:tr w14:paraId="595A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1698" w:type="dxa"/>
            <w:shd w:val="clear" w:color="auto" w:fill="FFFFFF" w:themeFill="background1"/>
            <w:noWrap/>
            <w:vAlign w:val="center"/>
          </w:tcPr>
          <w:p w14:paraId="3666E868">
            <w:pPr>
              <w:spacing w:line="560" w:lineRule="exact"/>
              <w:jc w:val="center"/>
              <w:rPr>
                <w:rFonts w:ascii="黑体" w:hAnsi="黑体" w:eastAsia="黑体" w:cs="黑体"/>
                <w:sz w:val="28"/>
                <w:szCs w:val="28"/>
              </w:rPr>
            </w:pPr>
            <w:r>
              <w:rPr>
                <w:rFonts w:hint="eastAsia" w:ascii="黑体" w:hAnsi="黑体" w:eastAsia="黑体" w:cs="黑体"/>
                <w:sz w:val="28"/>
                <w:szCs w:val="28"/>
              </w:rPr>
              <w:t>一级指标</w:t>
            </w:r>
          </w:p>
        </w:tc>
        <w:tc>
          <w:tcPr>
            <w:tcW w:w="1708" w:type="dxa"/>
            <w:shd w:val="clear" w:color="auto" w:fill="FFFFFF" w:themeFill="background1"/>
            <w:noWrap/>
            <w:vAlign w:val="center"/>
          </w:tcPr>
          <w:p w14:paraId="2C2A37D4">
            <w:pPr>
              <w:spacing w:line="560" w:lineRule="exact"/>
              <w:jc w:val="center"/>
              <w:rPr>
                <w:rFonts w:ascii="黑体" w:hAnsi="黑体" w:eastAsia="黑体" w:cs="黑体"/>
                <w:sz w:val="28"/>
                <w:szCs w:val="28"/>
              </w:rPr>
            </w:pPr>
            <w:r>
              <w:rPr>
                <w:rFonts w:hint="eastAsia" w:ascii="黑体" w:hAnsi="黑体" w:eastAsia="黑体" w:cs="黑体"/>
                <w:sz w:val="28"/>
                <w:szCs w:val="28"/>
              </w:rPr>
              <w:t>二级指标</w:t>
            </w:r>
          </w:p>
        </w:tc>
        <w:tc>
          <w:tcPr>
            <w:tcW w:w="9743" w:type="dxa"/>
            <w:shd w:val="clear" w:color="auto" w:fill="FFFFFF" w:themeFill="background1"/>
            <w:vAlign w:val="center"/>
          </w:tcPr>
          <w:p w14:paraId="29C16160">
            <w:pPr>
              <w:spacing w:line="560" w:lineRule="exact"/>
              <w:jc w:val="center"/>
              <w:rPr>
                <w:rFonts w:ascii="黑体" w:hAnsi="黑体" w:eastAsia="黑体" w:cs="黑体"/>
                <w:sz w:val="28"/>
                <w:szCs w:val="28"/>
              </w:rPr>
            </w:pPr>
            <w:r>
              <w:rPr>
                <w:rFonts w:hint="eastAsia" w:ascii="黑体" w:hAnsi="黑体" w:eastAsia="黑体" w:cs="黑体"/>
                <w:sz w:val="28"/>
                <w:szCs w:val="28"/>
              </w:rPr>
              <w:t>评分细则</w:t>
            </w:r>
          </w:p>
        </w:tc>
        <w:tc>
          <w:tcPr>
            <w:tcW w:w="799" w:type="dxa"/>
            <w:shd w:val="clear" w:color="auto" w:fill="FFFFFF" w:themeFill="background1"/>
            <w:noWrap/>
            <w:vAlign w:val="center"/>
          </w:tcPr>
          <w:p w14:paraId="0441541A">
            <w:pPr>
              <w:spacing w:line="560" w:lineRule="exact"/>
              <w:rPr>
                <w:rFonts w:ascii="黑体" w:hAnsi="黑体" w:eastAsia="黑体" w:cs="黑体"/>
                <w:sz w:val="28"/>
                <w:szCs w:val="28"/>
              </w:rPr>
            </w:pPr>
            <w:r>
              <w:rPr>
                <w:rFonts w:hint="eastAsia" w:ascii="黑体" w:hAnsi="黑体" w:eastAsia="黑体" w:cs="黑体"/>
                <w:sz w:val="28"/>
                <w:szCs w:val="28"/>
              </w:rPr>
              <w:t>分值</w:t>
            </w:r>
          </w:p>
        </w:tc>
      </w:tr>
      <w:tr w14:paraId="01B0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98" w:type="dxa"/>
            <w:vMerge w:val="restart"/>
            <w:shd w:val="clear" w:color="auto" w:fill="auto"/>
            <w:vAlign w:val="center"/>
          </w:tcPr>
          <w:p w14:paraId="72E96D6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健康情况</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（20分）</w:t>
            </w:r>
          </w:p>
        </w:tc>
        <w:tc>
          <w:tcPr>
            <w:tcW w:w="1708" w:type="dxa"/>
            <w:shd w:val="clear" w:color="auto" w:fill="auto"/>
            <w:noWrap/>
            <w:vAlign w:val="center"/>
          </w:tcPr>
          <w:p w14:paraId="774E19F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常态化监管</w:t>
            </w:r>
          </w:p>
        </w:tc>
        <w:tc>
          <w:tcPr>
            <w:tcW w:w="9743" w:type="dxa"/>
            <w:shd w:val="clear" w:color="auto" w:fill="auto"/>
            <w:vAlign w:val="center"/>
          </w:tcPr>
          <w:p w14:paraId="03D0634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参照国办普查评分要求（国办发﹝2015﹞15号）及《政府网站与政务新媒体检查指标》和《政府网站与政务新媒体监管工作年度考核指标》（国办秘函﹝2019﹞19号）要求，每季度对各单位网站（频道）与政务新媒体健康情况进行检查，根据各季度检查扣分情况按比重扣分；</w:t>
            </w:r>
          </w:p>
          <w:p w14:paraId="6F9AEF1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2.未及时对季度检查发现的问题进行整改或整改不到位的，每出现一次扣1分，扣完为止。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注：网站（频道）与政务新媒体任一季度监测结果不合格的，每次扣3分，扣完为止。</w:t>
            </w:r>
          </w:p>
        </w:tc>
        <w:tc>
          <w:tcPr>
            <w:tcW w:w="799" w:type="dxa"/>
            <w:shd w:val="clear" w:color="auto" w:fill="auto"/>
            <w:noWrap/>
            <w:vAlign w:val="center"/>
          </w:tcPr>
          <w:p w14:paraId="26D46E1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r>
      <w:tr w14:paraId="1637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0AFFA609">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3B595C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内容安全</w:t>
            </w:r>
          </w:p>
        </w:tc>
        <w:tc>
          <w:tcPr>
            <w:tcW w:w="9743" w:type="dxa"/>
            <w:shd w:val="clear" w:color="auto" w:fill="auto"/>
            <w:vAlign w:val="center"/>
          </w:tcPr>
          <w:p w14:paraId="74E5C2B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1.网站（频道）与政务新媒体日常监测存在严重错敏字情况的，每条扣0.5分，扣完为止；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2.网站（频道）与政务新媒体日常监测出现不良链接情况的，每次扣0.5分，扣完为止。</w:t>
            </w:r>
          </w:p>
        </w:tc>
        <w:tc>
          <w:tcPr>
            <w:tcW w:w="799" w:type="dxa"/>
            <w:shd w:val="clear" w:color="auto" w:fill="auto"/>
            <w:noWrap/>
            <w:vAlign w:val="center"/>
          </w:tcPr>
          <w:p w14:paraId="0B7CED0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71AE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7A0B9CAB">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C576AC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问题地图</w:t>
            </w:r>
          </w:p>
        </w:tc>
        <w:tc>
          <w:tcPr>
            <w:tcW w:w="9743" w:type="dxa"/>
            <w:shd w:val="clear" w:color="auto" w:fill="auto"/>
            <w:vAlign w:val="center"/>
          </w:tcPr>
          <w:p w14:paraId="50642BC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存在漏绘钓鱼岛、赤尾屿、南海诸岛等重要岛屿，错误表示台湾省、错绘藏南地区和阿克赛钦地区国界线等问题的，此项不得分。</w:t>
            </w:r>
          </w:p>
        </w:tc>
        <w:tc>
          <w:tcPr>
            <w:tcW w:w="799" w:type="dxa"/>
            <w:shd w:val="clear" w:color="auto" w:fill="auto"/>
            <w:noWrap/>
            <w:vAlign w:val="center"/>
          </w:tcPr>
          <w:p w14:paraId="0F05121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28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0393BC52">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D73048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可用性</w:t>
            </w:r>
          </w:p>
        </w:tc>
        <w:tc>
          <w:tcPr>
            <w:tcW w:w="9743" w:type="dxa"/>
            <w:shd w:val="clear" w:color="auto" w:fill="auto"/>
            <w:vAlign w:val="center"/>
          </w:tcPr>
          <w:p w14:paraId="3B031D6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1.首页上的链接（包括图片、附件、外部链接等）打不开或错误的，每发现一处扣0.2分，扣完为止；如首页仅为网站栏目导航入口，则检查所有二级页面上的链接；</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2.其他页面上的链接（包括图片、附件、外部链接等）打不开或错误的，每发现一处扣0.1分，扣完为止；</w:t>
            </w:r>
          </w:p>
        </w:tc>
        <w:tc>
          <w:tcPr>
            <w:tcW w:w="799" w:type="dxa"/>
            <w:shd w:val="clear" w:color="auto" w:fill="auto"/>
            <w:noWrap/>
            <w:vAlign w:val="center"/>
          </w:tcPr>
          <w:p w14:paraId="0751C99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2FF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restart"/>
            <w:shd w:val="clear" w:color="auto" w:fill="auto"/>
            <w:vAlign w:val="center"/>
          </w:tcPr>
          <w:p w14:paraId="1A145982">
            <w:pPr>
              <w:spacing w:line="560" w:lineRule="exact"/>
              <w:rPr>
                <w:rFonts w:ascii="仿宋_GB2312" w:hAnsi="仿宋_GB2312" w:eastAsia="仿宋_GB2312" w:cs="仿宋_GB2312"/>
                <w:sz w:val="28"/>
                <w:szCs w:val="28"/>
              </w:rPr>
            </w:pPr>
            <w:bookmarkStart w:id="0" w:name="RANGE!B9"/>
            <w:r>
              <w:rPr>
                <w:rFonts w:hint="eastAsia" w:ascii="仿宋_GB2312" w:hAnsi="仿宋_GB2312" w:eastAsia="仿宋_GB2312" w:cs="仿宋_GB2312"/>
                <w:sz w:val="28"/>
                <w:szCs w:val="28"/>
              </w:rPr>
              <w:t>发布解读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（20分）</w:t>
            </w:r>
            <w:bookmarkEnd w:id="0"/>
          </w:p>
        </w:tc>
        <w:tc>
          <w:tcPr>
            <w:tcW w:w="1708" w:type="dxa"/>
            <w:shd w:val="clear" w:color="auto" w:fill="auto"/>
            <w:vAlign w:val="center"/>
          </w:tcPr>
          <w:p w14:paraId="77622E7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概况信息</w:t>
            </w:r>
          </w:p>
        </w:tc>
        <w:tc>
          <w:tcPr>
            <w:tcW w:w="9743" w:type="dxa"/>
            <w:shd w:val="clear" w:color="auto" w:fill="auto"/>
            <w:vAlign w:val="center"/>
          </w:tcPr>
          <w:p w14:paraId="3BB3EE2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1.未开设概况信息类栏目的，此项不得分；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2.概况信息更新不及时或不准确的，每发现一处扣0.5分，扣完为止。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注：市直部门不考核概况信息，权重转移至“年报报表”指标。</w:t>
            </w:r>
          </w:p>
        </w:tc>
        <w:tc>
          <w:tcPr>
            <w:tcW w:w="799" w:type="dxa"/>
            <w:shd w:val="clear" w:color="auto" w:fill="auto"/>
            <w:noWrap/>
            <w:vAlign w:val="center"/>
          </w:tcPr>
          <w:p w14:paraId="4DDDFD0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5082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41234215">
            <w:pPr>
              <w:spacing w:line="560" w:lineRule="exact"/>
              <w:rPr>
                <w:rFonts w:ascii="仿宋_GB2312" w:hAnsi="仿宋_GB2312" w:eastAsia="仿宋_GB2312" w:cs="仿宋_GB2312"/>
                <w:sz w:val="28"/>
                <w:szCs w:val="28"/>
              </w:rPr>
            </w:pPr>
          </w:p>
        </w:tc>
        <w:tc>
          <w:tcPr>
            <w:tcW w:w="1708" w:type="dxa"/>
            <w:shd w:val="clear" w:color="auto" w:fill="auto"/>
            <w:vAlign w:val="center"/>
          </w:tcPr>
          <w:p w14:paraId="3F02081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机构职能</w:t>
            </w:r>
          </w:p>
        </w:tc>
        <w:tc>
          <w:tcPr>
            <w:tcW w:w="9743" w:type="dxa"/>
            <w:shd w:val="clear" w:color="auto" w:fill="auto"/>
            <w:vAlign w:val="center"/>
          </w:tcPr>
          <w:p w14:paraId="5F67B0D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1.未开设机构职能类栏目的，此项不得分。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2.机构职能信息不准确的，每发现一处扣0.5分，扣完为止。</w:t>
            </w:r>
          </w:p>
        </w:tc>
        <w:tc>
          <w:tcPr>
            <w:tcW w:w="799" w:type="dxa"/>
            <w:shd w:val="clear" w:color="auto" w:fill="auto"/>
            <w:noWrap/>
            <w:vAlign w:val="center"/>
          </w:tcPr>
          <w:p w14:paraId="1772C4D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687C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7A5DBFA1">
            <w:pPr>
              <w:spacing w:line="560" w:lineRule="exact"/>
              <w:rPr>
                <w:rFonts w:ascii="仿宋_GB2312" w:hAnsi="仿宋_GB2312" w:eastAsia="仿宋_GB2312" w:cs="仿宋_GB2312"/>
                <w:sz w:val="28"/>
                <w:szCs w:val="28"/>
              </w:rPr>
            </w:pPr>
          </w:p>
        </w:tc>
        <w:tc>
          <w:tcPr>
            <w:tcW w:w="1708" w:type="dxa"/>
            <w:shd w:val="clear" w:color="auto" w:fill="auto"/>
            <w:vAlign w:val="center"/>
          </w:tcPr>
          <w:p w14:paraId="4C2A877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领导信息</w:t>
            </w:r>
          </w:p>
        </w:tc>
        <w:tc>
          <w:tcPr>
            <w:tcW w:w="9743" w:type="dxa"/>
            <w:shd w:val="clear" w:color="auto" w:fill="auto"/>
            <w:vAlign w:val="center"/>
          </w:tcPr>
          <w:p w14:paraId="454A7AD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1.未开设领导信息类栏目的，此项不得分；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2.领导姓名、简历、照片、分管工作信息缺失或不准确的，每发现一处扣0.5分，扣完为止。</w:t>
            </w:r>
          </w:p>
        </w:tc>
        <w:tc>
          <w:tcPr>
            <w:tcW w:w="799" w:type="dxa"/>
            <w:shd w:val="clear" w:color="auto" w:fill="auto"/>
            <w:noWrap/>
            <w:vAlign w:val="center"/>
          </w:tcPr>
          <w:p w14:paraId="7BCA2BE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3DD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13D28B1D">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5319FD3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动态要闻</w:t>
            </w:r>
          </w:p>
        </w:tc>
        <w:tc>
          <w:tcPr>
            <w:tcW w:w="9743" w:type="dxa"/>
            <w:shd w:val="clear" w:color="auto" w:fill="auto"/>
            <w:vAlign w:val="center"/>
          </w:tcPr>
          <w:p w14:paraId="27D3BB3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1.未开设动态要闻类栏目的，此项不得分；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2.监测时间点前2周内未更新的，此项不得分。</w:t>
            </w:r>
          </w:p>
        </w:tc>
        <w:tc>
          <w:tcPr>
            <w:tcW w:w="799" w:type="dxa"/>
            <w:shd w:val="clear" w:color="auto" w:fill="auto"/>
            <w:noWrap/>
            <w:vAlign w:val="center"/>
          </w:tcPr>
          <w:p w14:paraId="7BF2AE3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2A86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6C2167BE">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7D90AC6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通知公告</w:t>
            </w:r>
          </w:p>
        </w:tc>
        <w:tc>
          <w:tcPr>
            <w:tcW w:w="9743" w:type="dxa"/>
            <w:shd w:val="clear" w:color="auto" w:fill="auto"/>
            <w:vAlign w:val="center"/>
          </w:tcPr>
          <w:p w14:paraId="19479DB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1.未开设通知公告类栏目的，此项不得分；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2.监测时间点前6个月内未更新的，此项不得分。</w:t>
            </w:r>
          </w:p>
        </w:tc>
        <w:tc>
          <w:tcPr>
            <w:tcW w:w="799" w:type="dxa"/>
            <w:shd w:val="clear" w:color="auto" w:fill="auto"/>
            <w:noWrap/>
            <w:vAlign w:val="center"/>
          </w:tcPr>
          <w:p w14:paraId="7347D88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780E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152D2A0B">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B831B8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政策文件</w:t>
            </w:r>
          </w:p>
        </w:tc>
        <w:tc>
          <w:tcPr>
            <w:tcW w:w="9743" w:type="dxa"/>
            <w:shd w:val="clear" w:color="auto" w:fill="auto"/>
            <w:vAlign w:val="center"/>
          </w:tcPr>
          <w:p w14:paraId="5AF55F2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1.未开设政策文件类栏目的，此项不得分；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2.监测时间点前6个月内政策文件类一级栏目未更新的，此项不得分。</w:t>
            </w:r>
          </w:p>
          <w:p w14:paraId="3D3687F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注：市直部门网站（频道）无政策文件栏目则本指标权重平均转移至“机构职能”和“领导信息”指标。</w:t>
            </w:r>
          </w:p>
        </w:tc>
        <w:tc>
          <w:tcPr>
            <w:tcW w:w="799" w:type="dxa"/>
            <w:shd w:val="clear" w:color="auto" w:fill="auto"/>
            <w:noWrap/>
            <w:vAlign w:val="center"/>
          </w:tcPr>
          <w:p w14:paraId="41B89BD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2063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3158D691">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5D14649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政策解读</w:t>
            </w:r>
          </w:p>
        </w:tc>
        <w:tc>
          <w:tcPr>
            <w:tcW w:w="9743" w:type="dxa"/>
            <w:shd w:val="clear" w:color="auto" w:fill="auto"/>
            <w:vAlign w:val="center"/>
          </w:tcPr>
          <w:p w14:paraId="642D744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1.未开设政策解读类栏目的，此项不得分；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2.监测时间点前6个月内政策解读类一级栏目未更新的，此项不得分；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3.仅通过文字进行解读的，扣1分。</w:t>
            </w:r>
          </w:p>
          <w:p w14:paraId="5FB0816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注：市直部门网站（频道）无政策文件栏目则本指标权重平均转移至“动态要闻”和“通知公告”指标。</w:t>
            </w:r>
          </w:p>
        </w:tc>
        <w:tc>
          <w:tcPr>
            <w:tcW w:w="799" w:type="dxa"/>
            <w:shd w:val="clear" w:color="auto" w:fill="auto"/>
            <w:noWrap/>
            <w:vAlign w:val="center"/>
          </w:tcPr>
          <w:p w14:paraId="7BA33AE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0286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6D86761C">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42D3FD4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解读比例</w:t>
            </w:r>
          </w:p>
        </w:tc>
        <w:tc>
          <w:tcPr>
            <w:tcW w:w="9743" w:type="dxa"/>
            <w:shd w:val="clear" w:color="auto" w:fill="auto"/>
            <w:vAlign w:val="center"/>
          </w:tcPr>
          <w:p w14:paraId="237F32A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随机抽查网站已发布的2个以本地区/本部门名义印发的政策文件，被解读的文件数量每少一个，扣0.5分。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注：不足2个的则检查全部文件，并按比例进行扣分；市直部门网站（频道）无政策文件栏目则本指标权重转移至“重点领域与其他栏目”指标。</w:t>
            </w:r>
          </w:p>
        </w:tc>
        <w:tc>
          <w:tcPr>
            <w:tcW w:w="799" w:type="dxa"/>
            <w:shd w:val="clear" w:color="auto" w:fill="auto"/>
            <w:noWrap/>
            <w:vAlign w:val="center"/>
          </w:tcPr>
          <w:p w14:paraId="6B32BBA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EAF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6C106625">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81CFEB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解读关联</w:t>
            </w:r>
          </w:p>
        </w:tc>
        <w:tc>
          <w:tcPr>
            <w:tcW w:w="9743" w:type="dxa"/>
            <w:shd w:val="clear" w:color="auto" w:fill="auto"/>
            <w:vAlign w:val="center"/>
          </w:tcPr>
          <w:p w14:paraId="1A86029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随机抽查网站已发布的2个解读稿：未与被解读的政策文件相关联的，每发现一处，扣0.25分；该政策文件未与被抽查解读稿相关联的，每发现一处，扣0.25分。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注：不足2个的则检查全部解读稿，并按比例进行扣分；市直部门网站（频道）无政策文件栏目则本指标权重转移至“重点领域与其他栏目”指标。</w:t>
            </w:r>
          </w:p>
        </w:tc>
        <w:tc>
          <w:tcPr>
            <w:tcW w:w="799" w:type="dxa"/>
            <w:shd w:val="clear" w:color="auto" w:fill="auto"/>
            <w:noWrap/>
            <w:vAlign w:val="center"/>
          </w:tcPr>
          <w:p w14:paraId="380E7EA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0.5</w:t>
            </w:r>
          </w:p>
        </w:tc>
      </w:tr>
      <w:tr w14:paraId="6334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698" w:type="dxa"/>
            <w:vMerge w:val="continue"/>
            <w:vAlign w:val="center"/>
          </w:tcPr>
          <w:p w14:paraId="72D8A8EE">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3AB04B6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数据发布</w:t>
            </w:r>
          </w:p>
        </w:tc>
        <w:tc>
          <w:tcPr>
            <w:tcW w:w="9743" w:type="dxa"/>
            <w:shd w:val="clear" w:color="auto" w:fill="auto"/>
            <w:vAlign w:val="center"/>
          </w:tcPr>
          <w:p w14:paraId="0E06775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1.未开设数据发布类栏目或开设后存在应更新未及时更新情形的，此项不得分；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2.未对数据进行解读，或仅通过文字形式解读的，扣1分；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3.少量通过数字化、图表图解、音视频、动漫等形式解读数据的，扣0.5分；</w:t>
            </w:r>
          </w:p>
          <w:p w14:paraId="1F671F9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4.本地区/本部门在省“开放广东”平台揭阳区域中数据集或数据接口开放及更新保障工作，若年度内开放数据集或数据接口合计少于10个或出现更新不及时的，扣1分。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注：市直部门网站（频道）无数据发布栏目则仅考核第4点。</w:t>
            </w:r>
          </w:p>
        </w:tc>
        <w:tc>
          <w:tcPr>
            <w:tcW w:w="799" w:type="dxa"/>
            <w:shd w:val="clear" w:color="auto" w:fill="auto"/>
            <w:noWrap/>
            <w:vAlign w:val="center"/>
          </w:tcPr>
          <w:p w14:paraId="35F3622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7BF4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4825F554">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5791547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年报报表</w:t>
            </w:r>
          </w:p>
        </w:tc>
        <w:tc>
          <w:tcPr>
            <w:tcW w:w="9743" w:type="dxa"/>
            <w:shd w:val="clear" w:color="auto" w:fill="auto"/>
            <w:vAlign w:val="center"/>
          </w:tcPr>
          <w:p w14:paraId="23486D3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1.未公开或超时公开政府网站工作年度报表及未在网站首页显著位置发布，此项不得分（频道栏目不考核此点）；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2.未公开或超时公开政府信息公开工作年度报告的，此项不得分。</w:t>
            </w:r>
          </w:p>
        </w:tc>
        <w:tc>
          <w:tcPr>
            <w:tcW w:w="799" w:type="dxa"/>
            <w:shd w:val="clear" w:color="auto" w:fill="auto"/>
            <w:noWrap/>
            <w:vAlign w:val="center"/>
          </w:tcPr>
          <w:p w14:paraId="4510BCD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6A72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698" w:type="dxa"/>
            <w:vMerge w:val="continue"/>
            <w:vAlign w:val="center"/>
          </w:tcPr>
          <w:p w14:paraId="4EABC812">
            <w:pPr>
              <w:spacing w:line="560" w:lineRule="exact"/>
              <w:rPr>
                <w:rFonts w:ascii="仿宋_GB2312" w:hAnsi="仿宋_GB2312" w:eastAsia="仿宋_GB2312" w:cs="仿宋_GB2312"/>
                <w:sz w:val="28"/>
                <w:szCs w:val="28"/>
              </w:rPr>
            </w:pPr>
          </w:p>
        </w:tc>
        <w:tc>
          <w:tcPr>
            <w:tcW w:w="1708" w:type="dxa"/>
            <w:shd w:val="clear" w:color="auto" w:fill="auto"/>
            <w:vAlign w:val="center"/>
          </w:tcPr>
          <w:p w14:paraId="0812436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重点领域与其他栏目</w:t>
            </w:r>
          </w:p>
        </w:tc>
        <w:tc>
          <w:tcPr>
            <w:tcW w:w="9743" w:type="dxa"/>
            <w:shd w:val="clear" w:color="auto" w:fill="auto"/>
            <w:vAlign w:val="center"/>
          </w:tcPr>
          <w:p w14:paraId="26BE5E4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根据揭府办〔2016〕60号、粤办函〔2016〕474号及国办发〔2019〕14号文件对重点领域信息公开专栏建设规范及深化重点领域信息公开相关要求，每发现一个领域未公开或建设不规范、应更新未更新的，扣1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2.网站（频道）其他栏目存在空白或应更新未更新的，每发现一个扣1分，扣完为止。</w:t>
            </w:r>
          </w:p>
          <w:p w14:paraId="18DEC46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地区网站部分重点领域客观受限无法建设保障的，需自评提供上级主管单位同意佐证材料，否则正常考评处理；无涉及市门户重点领域分工保障的市有关单位，本项指标得分按第2点细则考核；已按上述其他指标扣分的，本指标项不重复扣分。</w:t>
            </w:r>
          </w:p>
        </w:tc>
        <w:tc>
          <w:tcPr>
            <w:tcW w:w="799" w:type="dxa"/>
            <w:shd w:val="clear" w:color="auto" w:fill="auto"/>
            <w:noWrap/>
            <w:vAlign w:val="center"/>
          </w:tcPr>
          <w:p w14:paraId="4BB62CE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r>
      <w:tr w14:paraId="39E0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restart"/>
            <w:shd w:val="clear" w:color="auto" w:fill="auto"/>
            <w:vAlign w:val="center"/>
          </w:tcPr>
          <w:p w14:paraId="263B456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办事服务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（15分）</w:t>
            </w:r>
          </w:p>
        </w:tc>
        <w:tc>
          <w:tcPr>
            <w:tcW w:w="1708" w:type="dxa"/>
            <w:shd w:val="clear" w:color="auto" w:fill="auto"/>
            <w:vAlign w:val="center"/>
          </w:tcPr>
          <w:p w14:paraId="5A7CB8C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事项公开</w:t>
            </w:r>
          </w:p>
        </w:tc>
        <w:tc>
          <w:tcPr>
            <w:tcW w:w="9743" w:type="dxa"/>
            <w:shd w:val="clear" w:color="auto" w:fill="auto"/>
            <w:vAlign w:val="center"/>
          </w:tcPr>
          <w:p w14:paraId="4B333D5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未对办事服务事项集中分类展示的，此项不得分。</w:t>
            </w:r>
          </w:p>
        </w:tc>
        <w:tc>
          <w:tcPr>
            <w:tcW w:w="799" w:type="dxa"/>
            <w:shd w:val="clear" w:color="auto" w:fill="auto"/>
            <w:noWrap/>
            <w:vAlign w:val="center"/>
          </w:tcPr>
          <w:p w14:paraId="08E933B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0.5</w:t>
            </w:r>
          </w:p>
        </w:tc>
      </w:tr>
      <w:tr w14:paraId="1D6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6782FE18">
            <w:pPr>
              <w:spacing w:line="560" w:lineRule="exact"/>
              <w:rPr>
                <w:rFonts w:ascii="仿宋_GB2312" w:hAnsi="仿宋_GB2312" w:eastAsia="仿宋_GB2312" w:cs="仿宋_GB2312"/>
                <w:sz w:val="28"/>
                <w:szCs w:val="28"/>
              </w:rPr>
            </w:pPr>
          </w:p>
        </w:tc>
        <w:tc>
          <w:tcPr>
            <w:tcW w:w="1708" w:type="dxa"/>
            <w:shd w:val="clear" w:color="auto" w:fill="auto"/>
            <w:vAlign w:val="center"/>
          </w:tcPr>
          <w:p w14:paraId="5359AEC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办事统计</w:t>
            </w:r>
          </w:p>
        </w:tc>
        <w:tc>
          <w:tcPr>
            <w:tcW w:w="9743" w:type="dxa"/>
            <w:shd w:val="clear" w:color="auto" w:fill="auto"/>
            <w:vAlign w:val="center"/>
          </w:tcPr>
          <w:p w14:paraId="3E593CE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1.未公开办事统计数据的，此项不得分；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2.监测时间点前1个月内未更新的，扣0.5分；3个月内未更新的，此项不得分。</w:t>
            </w:r>
          </w:p>
        </w:tc>
        <w:tc>
          <w:tcPr>
            <w:tcW w:w="799" w:type="dxa"/>
            <w:shd w:val="clear" w:color="auto" w:fill="auto"/>
            <w:noWrap/>
            <w:vAlign w:val="center"/>
          </w:tcPr>
          <w:p w14:paraId="10B2220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0.5</w:t>
            </w:r>
          </w:p>
        </w:tc>
      </w:tr>
      <w:tr w14:paraId="3E98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1589B057">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31CD6B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要素全面性</w:t>
            </w:r>
          </w:p>
        </w:tc>
        <w:tc>
          <w:tcPr>
            <w:tcW w:w="9743" w:type="dxa"/>
            <w:shd w:val="clear" w:color="auto" w:fill="auto"/>
            <w:vAlign w:val="center"/>
          </w:tcPr>
          <w:p w14:paraId="242C1FA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4个办事服务事项，存在办事指南要素（包括事项名称、设定依据、申请条件、办理流程、办理时限、收费标准、办理材料、办理地点、办理机构、联系方式等）缺失的情形，每发现一处扣1分，扣完为止。</w:t>
            </w:r>
          </w:p>
        </w:tc>
        <w:tc>
          <w:tcPr>
            <w:tcW w:w="799" w:type="dxa"/>
            <w:shd w:val="clear" w:color="auto" w:fill="auto"/>
            <w:noWrap/>
            <w:vAlign w:val="center"/>
          </w:tcPr>
          <w:p w14:paraId="3567EDD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6248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27D28E94">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3908F0F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内容准确性</w:t>
            </w:r>
          </w:p>
        </w:tc>
        <w:tc>
          <w:tcPr>
            <w:tcW w:w="9743" w:type="dxa"/>
            <w:shd w:val="clear" w:color="auto" w:fill="auto"/>
            <w:vAlign w:val="center"/>
          </w:tcPr>
          <w:p w14:paraId="24E5B76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随机抽查4个办事服务事项，办事指南信息存在错误，或与线下实际办事情况不一致，每发现一处扣1分，扣完为止。</w:t>
            </w:r>
          </w:p>
        </w:tc>
        <w:tc>
          <w:tcPr>
            <w:tcW w:w="799" w:type="dxa"/>
            <w:shd w:val="clear" w:color="auto" w:fill="auto"/>
            <w:noWrap/>
            <w:vAlign w:val="center"/>
          </w:tcPr>
          <w:p w14:paraId="6EF5BA6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47CE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4C3261D5">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319B6F0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流程清晰度</w:t>
            </w:r>
          </w:p>
        </w:tc>
        <w:tc>
          <w:tcPr>
            <w:tcW w:w="9743" w:type="dxa"/>
            <w:shd w:val="clear" w:color="auto" w:fill="auto"/>
            <w:vAlign w:val="center"/>
          </w:tcPr>
          <w:p w14:paraId="1898ACB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随机抽查2个办事服务事项，存在仅提供办理环节名称（如：申请、受理、审查、决定等），而未明确说明各环节具体内容，每发现一处扣1分，扣完为止。</w:t>
            </w:r>
          </w:p>
        </w:tc>
        <w:tc>
          <w:tcPr>
            <w:tcW w:w="799" w:type="dxa"/>
            <w:shd w:val="clear" w:color="auto" w:fill="auto"/>
            <w:noWrap/>
            <w:vAlign w:val="center"/>
          </w:tcPr>
          <w:p w14:paraId="3477462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446A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46A81A66">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0E35A7D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材料明确性</w:t>
            </w:r>
          </w:p>
        </w:tc>
        <w:tc>
          <w:tcPr>
            <w:tcW w:w="9743" w:type="dxa"/>
            <w:shd w:val="clear" w:color="auto" w:fill="auto"/>
            <w:vAlign w:val="center"/>
          </w:tcPr>
          <w:p w14:paraId="52CE1EA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2个办事服务事项，未明确的办理材料格式要求（如：原件/复印件、纸质版/电子版、份数等），或存在表述含糊不清的情形（如：根据有关法律法规规定应提交的其他材料等），每发现一处扣1分，扣完为止。</w:t>
            </w:r>
          </w:p>
        </w:tc>
        <w:tc>
          <w:tcPr>
            <w:tcW w:w="799" w:type="dxa"/>
            <w:shd w:val="clear" w:color="auto" w:fill="auto"/>
            <w:noWrap/>
            <w:vAlign w:val="center"/>
          </w:tcPr>
          <w:p w14:paraId="54FF357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0670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79D1D45B">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17B6643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附件实用性</w:t>
            </w:r>
          </w:p>
        </w:tc>
        <w:tc>
          <w:tcPr>
            <w:tcW w:w="9743" w:type="dxa"/>
            <w:shd w:val="clear" w:color="auto" w:fill="auto"/>
            <w:vAlign w:val="center"/>
          </w:tcPr>
          <w:p w14:paraId="20A2695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随机抽查2个办事服务事项，办事指南中要求提供申请表、申请书等表单的，但未提供规范表格的获取渠道、填写说明或示范文本，每发现一处，扣1分，扣完为止。</w:t>
            </w:r>
          </w:p>
        </w:tc>
        <w:tc>
          <w:tcPr>
            <w:tcW w:w="799" w:type="dxa"/>
            <w:shd w:val="clear" w:color="auto" w:fill="auto"/>
            <w:noWrap/>
            <w:vAlign w:val="center"/>
          </w:tcPr>
          <w:p w14:paraId="4310E40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7472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restart"/>
            <w:shd w:val="clear" w:color="auto" w:fill="auto"/>
            <w:vAlign w:val="center"/>
          </w:tcPr>
          <w:p w14:paraId="3171779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互动交流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（10分）</w:t>
            </w:r>
          </w:p>
        </w:tc>
        <w:tc>
          <w:tcPr>
            <w:tcW w:w="1708" w:type="dxa"/>
            <w:shd w:val="clear" w:color="auto" w:fill="auto"/>
            <w:noWrap/>
            <w:vAlign w:val="center"/>
          </w:tcPr>
          <w:p w14:paraId="23B1EF2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信息提交</w:t>
            </w:r>
          </w:p>
        </w:tc>
        <w:tc>
          <w:tcPr>
            <w:tcW w:w="9743" w:type="dxa"/>
            <w:shd w:val="clear" w:color="auto" w:fill="auto"/>
            <w:vAlign w:val="center"/>
          </w:tcPr>
          <w:p w14:paraId="3D34EC9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存在网民（含异地用户）无法使用网站互动交流功能提交信息问题的，此项不得分。</w:t>
            </w:r>
          </w:p>
        </w:tc>
        <w:tc>
          <w:tcPr>
            <w:tcW w:w="799" w:type="dxa"/>
            <w:shd w:val="clear" w:color="auto" w:fill="auto"/>
            <w:noWrap/>
            <w:vAlign w:val="center"/>
          </w:tcPr>
          <w:p w14:paraId="3A286F9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5426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698" w:type="dxa"/>
            <w:vMerge w:val="continue"/>
            <w:vAlign w:val="center"/>
          </w:tcPr>
          <w:p w14:paraId="289BF098">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5279B55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留言公开</w:t>
            </w:r>
          </w:p>
        </w:tc>
        <w:tc>
          <w:tcPr>
            <w:tcW w:w="9743" w:type="dxa"/>
            <w:shd w:val="clear" w:color="auto" w:fill="auto"/>
            <w:vAlign w:val="center"/>
          </w:tcPr>
          <w:p w14:paraId="0F06D0A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1.咨询建言类栏目（网上信访、纪检举报等专门渠道除外）对所有网民留言都未公开的，此项不得分；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2.随机抽查5条已公开的网民留言，未公开留言时间、答复时间、答复单位、答复内容的，每发现一处，扣1分；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3.监测时间点前2个月内未更新的，扣2分；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4.未公开留言受理反馈情况统计数据的，扣1分；</w:t>
            </w:r>
          </w:p>
          <w:p w14:paraId="43BCE74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5.市直部门年度内省集约化平台网民留言答复时间超过5个工作日的，出现一次扣1分，扣完为止。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注：不足5条的则检查全部留言；市直部门频道仅考核第5点，县区不考核第5点。</w:t>
            </w:r>
          </w:p>
        </w:tc>
        <w:tc>
          <w:tcPr>
            <w:tcW w:w="799" w:type="dxa"/>
            <w:shd w:val="clear" w:color="auto" w:fill="auto"/>
            <w:noWrap/>
            <w:vAlign w:val="center"/>
          </w:tcPr>
          <w:p w14:paraId="69AC5AF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55FA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7DCB6020">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04B12A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咨询答复</w:t>
            </w:r>
          </w:p>
        </w:tc>
        <w:tc>
          <w:tcPr>
            <w:tcW w:w="9743" w:type="dxa"/>
            <w:shd w:val="clear" w:color="auto" w:fill="auto"/>
            <w:vAlign w:val="center"/>
          </w:tcPr>
          <w:p w14:paraId="242F722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模拟用户进行1次简单常见问题咨询：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1.未在5个工作日内收到网上答复意见的，每发现一次，此项不得分；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2.答复内容质量不高，有推诿、敷衍等现象的，每发现一次，此项不得分。</w:t>
            </w:r>
          </w:p>
        </w:tc>
        <w:tc>
          <w:tcPr>
            <w:tcW w:w="799" w:type="dxa"/>
            <w:shd w:val="clear" w:color="auto" w:fill="auto"/>
            <w:noWrap/>
            <w:vAlign w:val="center"/>
          </w:tcPr>
          <w:p w14:paraId="4C5DE7C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D7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698" w:type="dxa"/>
            <w:vMerge w:val="continue"/>
            <w:vAlign w:val="center"/>
          </w:tcPr>
          <w:p w14:paraId="58329ED0">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06A145B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知识库</w:t>
            </w:r>
          </w:p>
        </w:tc>
        <w:tc>
          <w:tcPr>
            <w:tcW w:w="9743" w:type="dxa"/>
            <w:shd w:val="clear" w:color="auto" w:fill="auto"/>
            <w:vAlign w:val="center"/>
          </w:tcPr>
          <w:p w14:paraId="2FC86F3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1.未编制常见问题知识库的，此项不得分；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2.未按照业务进行合理分类的，扣0.5分；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3.每发现知识库一个主题超过一个月未更新的，扣0.5分。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注：市直部门网站（频道）无自主知识库则考核向市门户知识库提供的信息保障，两者均无则该项不得分。</w:t>
            </w:r>
          </w:p>
        </w:tc>
        <w:tc>
          <w:tcPr>
            <w:tcW w:w="799" w:type="dxa"/>
            <w:shd w:val="clear" w:color="auto" w:fill="auto"/>
            <w:noWrap/>
            <w:vAlign w:val="center"/>
          </w:tcPr>
          <w:p w14:paraId="2420443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2A05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698" w:type="dxa"/>
            <w:vMerge w:val="continue"/>
            <w:vAlign w:val="center"/>
          </w:tcPr>
          <w:p w14:paraId="5CCAD0A2">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7D3F7D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在线访谈</w:t>
            </w:r>
          </w:p>
        </w:tc>
        <w:tc>
          <w:tcPr>
            <w:tcW w:w="9743" w:type="dxa"/>
            <w:shd w:val="clear" w:color="auto" w:fill="auto"/>
            <w:vAlign w:val="center"/>
          </w:tcPr>
          <w:p w14:paraId="5041940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1.未提供在线访谈渠道的，本项不得分；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2.2021年开展活动未超过（含）6次的，本项不得分；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3.未规范整理访谈中网民提问及回复的，扣0.5分；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4.未通过文字、图片或音视频等多种形式发布访谈内容的，扣0.5分。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注：市直部门网站（频道）该项指标为1年内开展活动不少于1次（含参加市“行风热线”直播栏目），未参加市“行风热线”直播栏目则权重转移至“咨询答复”指标。</w:t>
            </w:r>
          </w:p>
        </w:tc>
        <w:tc>
          <w:tcPr>
            <w:tcW w:w="799" w:type="dxa"/>
            <w:shd w:val="clear" w:color="auto" w:fill="auto"/>
            <w:noWrap/>
            <w:vAlign w:val="center"/>
          </w:tcPr>
          <w:p w14:paraId="1BBA3F8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21E4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698" w:type="dxa"/>
            <w:vMerge w:val="continue"/>
            <w:vAlign w:val="center"/>
          </w:tcPr>
          <w:p w14:paraId="2C966EE3">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3BB371B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调查征集</w:t>
            </w:r>
          </w:p>
        </w:tc>
        <w:tc>
          <w:tcPr>
            <w:tcW w:w="9743" w:type="dxa"/>
            <w:shd w:val="clear" w:color="auto" w:fill="auto"/>
            <w:vAlign w:val="center"/>
          </w:tcPr>
          <w:p w14:paraId="512ABA8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1.未提供在线调查征集渠道（不含电子邮件形式）的，本项不得分；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2.年度内开展活动未超过（含）6次（市有关单位3次），本项不得分；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3.年度内开展的调查征集活动未规范公开反馈结果的，每发现一次，扣1分，扣完为止。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注：市直部门频道未开设征集调查栏目则考核向市门户调查征集栏目报送调查征集主题不少于3个，少一个扣0.5分。</w:t>
            </w:r>
          </w:p>
        </w:tc>
        <w:tc>
          <w:tcPr>
            <w:tcW w:w="799" w:type="dxa"/>
            <w:shd w:val="clear" w:color="auto" w:fill="auto"/>
            <w:noWrap/>
            <w:vAlign w:val="center"/>
          </w:tcPr>
          <w:p w14:paraId="07D870D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14:paraId="616F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restart"/>
            <w:shd w:val="clear" w:color="auto" w:fill="auto"/>
            <w:vAlign w:val="center"/>
          </w:tcPr>
          <w:p w14:paraId="7A4945A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功能设计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（10分）</w:t>
            </w:r>
          </w:p>
        </w:tc>
        <w:tc>
          <w:tcPr>
            <w:tcW w:w="1708" w:type="dxa"/>
            <w:shd w:val="clear" w:color="auto" w:fill="auto"/>
            <w:vAlign w:val="center"/>
          </w:tcPr>
          <w:p w14:paraId="6F3333F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域名名称</w:t>
            </w:r>
          </w:p>
        </w:tc>
        <w:tc>
          <w:tcPr>
            <w:tcW w:w="9743" w:type="dxa"/>
            <w:shd w:val="clear" w:color="auto" w:fill="auto"/>
            <w:vAlign w:val="center"/>
          </w:tcPr>
          <w:p w14:paraId="2AEF9D1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1.网站（频道）域名和名称未按国办发〔2017〕47号及国办函〔2018〕55号要求规范设置的，此项不得分；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2.未在网站首页或其他页面头部标识区域显著展示网站（频道）全称的，此项不得分。</w:t>
            </w:r>
          </w:p>
        </w:tc>
        <w:tc>
          <w:tcPr>
            <w:tcW w:w="799" w:type="dxa"/>
            <w:shd w:val="clear" w:color="auto" w:fill="auto"/>
            <w:noWrap/>
            <w:vAlign w:val="center"/>
          </w:tcPr>
          <w:p w14:paraId="0378C73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5EEF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438331A2">
            <w:pPr>
              <w:spacing w:line="560" w:lineRule="exact"/>
              <w:rPr>
                <w:rFonts w:ascii="仿宋_GB2312" w:hAnsi="仿宋_GB2312" w:eastAsia="仿宋_GB2312" w:cs="仿宋_GB2312"/>
                <w:sz w:val="28"/>
                <w:szCs w:val="28"/>
              </w:rPr>
            </w:pPr>
          </w:p>
        </w:tc>
        <w:tc>
          <w:tcPr>
            <w:tcW w:w="1708" w:type="dxa"/>
            <w:shd w:val="clear" w:color="auto" w:fill="auto"/>
            <w:vAlign w:val="center"/>
          </w:tcPr>
          <w:p w14:paraId="2E8ABE1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网站标识</w:t>
            </w:r>
          </w:p>
        </w:tc>
        <w:tc>
          <w:tcPr>
            <w:tcW w:w="9743" w:type="dxa"/>
            <w:shd w:val="clear" w:color="auto" w:fill="auto"/>
            <w:vAlign w:val="center"/>
          </w:tcPr>
          <w:p w14:paraId="57C101D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1.未在全站页面底部功能区清晰列明党政机关网站标识、网站标识码、ICP备案编号、公安机关备案标识、网站主办单位、联系方式的，此项不得分；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2.底部功能区列明内容信息与本单位网站实际信息不一致的，此项不得分。</w:t>
            </w:r>
          </w:p>
        </w:tc>
        <w:tc>
          <w:tcPr>
            <w:tcW w:w="799" w:type="dxa"/>
            <w:shd w:val="clear" w:color="auto" w:fill="auto"/>
            <w:noWrap/>
            <w:vAlign w:val="center"/>
          </w:tcPr>
          <w:p w14:paraId="58D446A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3FD5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08FD8195">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43212DB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站内搜索</w:t>
            </w:r>
          </w:p>
        </w:tc>
        <w:tc>
          <w:tcPr>
            <w:tcW w:w="9743" w:type="dxa"/>
            <w:shd w:val="clear" w:color="auto" w:fill="auto"/>
            <w:vAlign w:val="center"/>
          </w:tcPr>
          <w:p w14:paraId="3F4D37F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1.未提供全站站内搜索功能或功能不可用的，此项不得分；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2.随机选取4条网站已发布的信息或服务的标题进行测试，在搜索结果第一页无法找到该内容的，每条扣0.5分；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3.未对搜索结果进行分类展现的（如按照政策文件、办事指南等进行分类），扣1分。</w:t>
            </w:r>
          </w:p>
        </w:tc>
        <w:tc>
          <w:tcPr>
            <w:tcW w:w="799" w:type="dxa"/>
            <w:shd w:val="clear" w:color="auto" w:fill="auto"/>
            <w:noWrap/>
            <w:vAlign w:val="center"/>
          </w:tcPr>
          <w:p w14:paraId="5DA2023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5082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59FACC74">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7A86FE8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页面标签</w:t>
            </w:r>
          </w:p>
        </w:tc>
        <w:tc>
          <w:tcPr>
            <w:tcW w:w="9743" w:type="dxa"/>
            <w:shd w:val="clear" w:color="auto" w:fill="auto"/>
            <w:vAlign w:val="center"/>
          </w:tcPr>
          <w:p w14:paraId="577CECA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1.随机抽查2个内容页面，无站点标签或内容标签的，每个扣0.5分，扣完为止；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2.随机抽查2个栏目页面，无站点标签或栏目标签的，每个扣0.5分，扣完为止。</w:t>
            </w:r>
          </w:p>
        </w:tc>
        <w:tc>
          <w:tcPr>
            <w:tcW w:w="799" w:type="dxa"/>
            <w:shd w:val="clear" w:color="auto" w:fill="auto"/>
            <w:noWrap/>
            <w:vAlign w:val="center"/>
          </w:tcPr>
          <w:p w14:paraId="294DB70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0558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1DE70CC9">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185D9D0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站点地图</w:t>
            </w:r>
          </w:p>
        </w:tc>
        <w:tc>
          <w:tcPr>
            <w:tcW w:w="9743" w:type="dxa"/>
            <w:shd w:val="clear" w:color="auto" w:fill="auto"/>
            <w:vAlign w:val="center"/>
          </w:tcPr>
          <w:p w14:paraId="5127E61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1.未提供站点地图对各栏目进行快速导航的，此项不得分；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2.发现链接不能跳转或不准确的，每发现一处扣0.5分，扣完为止。</w:t>
            </w:r>
          </w:p>
        </w:tc>
        <w:tc>
          <w:tcPr>
            <w:tcW w:w="799" w:type="dxa"/>
            <w:shd w:val="clear" w:color="auto" w:fill="auto"/>
            <w:noWrap/>
            <w:vAlign w:val="center"/>
          </w:tcPr>
          <w:p w14:paraId="37FE630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5676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8" w:type="dxa"/>
            <w:vMerge w:val="continue"/>
            <w:vAlign w:val="center"/>
          </w:tcPr>
          <w:p w14:paraId="62CE41BA">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C92FA0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“我为政府网站找错”</w:t>
            </w:r>
          </w:p>
        </w:tc>
        <w:tc>
          <w:tcPr>
            <w:tcW w:w="9743" w:type="dxa"/>
            <w:shd w:val="clear" w:color="auto" w:fill="auto"/>
            <w:vAlign w:val="center"/>
          </w:tcPr>
          <w:p w14:paraId="655D2CC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1.未在首页底部功能区规范添加“我为政府网站找错”入口的，扣2分；未在其他页面底部功能区规范添加“我为政府网站找错”入口的，每发现一处扣0.5分，扣完为止；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2.网民留言存在超过2个工作日未办结的或网民留言存在答复内容质量不高，有推诿、敷衍等现象的，每发现一条扣1分，扣完为止。</w:t>
            </w:r>
          </w:p>
        </w:tc>
        <w:tc>
          <w:tcPr>
            <w:tcW w:w="799" w:type="dxa"/>
            <w:shd w:val="clear" w:color="auto" w:fill="auto"/>
            <w:noWrap/>
            <w:vAlign w:val="center"/>
          </w:tcPr>
          <w:p w14:paraId="0F97062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650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5E0CDDA4">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D0A337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转载分享</w:t>
            </w:r>
          </w:p>
        </w:tc>
        <w:tc>
          <w:tcPr>
            <w:tcW w:w="9743" w:type="dxa"/>
            <w:shd w:val="clear" w:color="auto" w:fill="auto"/>
            <w:vAlign w:val="center"/>
          </w:tcPr>
          <w:p w14:paraId="5F2E674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随机抽查发布稿件，发现未具备转载分享功能或分享功能使用异常，此项不得分。</w:t>
            </w:r>
          </w:p>
        </w:tc>
        <w:tc>
          <w:tcPr>
            <w:tcW w:w="799" w:type="dxa"/>
            <w:shd w:val="clear" w:color="auto" w:fill="auto"/>
            <w:noWrap/>
            <w:vAlign w:val="center"/>
          </w:tcPr>
          <w:p w14:paraId="0B0218D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0.5</w:t>
            </w:r>
          </w:p>
        </w:tc>
      </w:tr>
      <w:tr w14:paraId="1C98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616CC656">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9053EF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兼容性</w:t>
            </w:r>
          </w:p>
        </w:tc>
        <w:tc>
          <w:tcPr>
            <w:tcW w:w="9743" w:type="dxa"/>
            <w:shd w:val="clear" w:color="auto" w:fill="auto"/>
            <w:vAlign w:val="center"/>
          </w:tcPr>
          <w:p w14:paraId="277A64E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通过主流浏览器访问随机测试（含国产浏览器Uos），出现页面显示异常（拉伸、变形、错位等情况），此项不得分。</w:t>
            </w:r>
          </w:p>
        </w:tc>
        <w:tc>
          <w:tcPr>
            <w:tcW w:w="799" w:type="dxa"/>
            <w:shd w:val="clear" w:color="auto" w:fill="auto"/>
            <w:noWrap/>
            <w:vAlign w:val="center"/>
          </w:tcPr>
          <w:p w14:paraId="387B0B8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0.5</w:t>
            </w:r>
          </w:p>
        </w:tc>
      </w:tr>
      <w:tr w14:paraId="52D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030D2CE0">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36CB939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IPV6</w:t>
            </w:r>
          </w:p>
        </w:tc>
        <w:tc>
          <w:tcPr>
            <w:tcW w:w="9743" w:type="dxa"/>
            <w:shd w:val="clear" w:color="auto" w:fill="auto"/>
            <w:vAlign w:val="center"/>
          </w:tcPr>
          <w:p w14:paraId="14BD4BC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未按照要求完成IPv6改造的，此项不得分。</w:t>
            </w:r>
          </w:p>
        </w:tc>
        <w:tc>
          <w:tcPr>
            <w:tcW w:w="799" w:type="dxa"/>
            <w:shd w:val="clear" w:color="auto" w:fill="auto"/>
            <w:noWrap/>
            <w:vAlign w:val="center"/>
          </w:tcPr>
          <w:p w14:paraId="00185D8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3BC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restart"/>
            <w:shd w:val="clear" w:color="auto" w:fill="auto"/>
            <w:vAlign w:val="center"/>
          </w:tcPr>
          <w:p w14:paraId="11D6F459">
            <w:pPr>
              <w:spacing w:line="560" w:lineRule="exact"/>
              <w:rPr>
                <w:rFonts w:ascii="仿宋_GB2312" w:hAnsi="仿宋_GB2312" w:eastAsia="仿宋_GB2312" w:cs="仿宋_GB2312"/>
                <w:sz w:val="28"/>
                <w:szCs w:val="28"/>
              </w:rPr>
            </w:pPr>
            <w:bookmarkStart w:id="1" w:name="RANGE!B43"/>
            <w:r>
              <w:rPr>
                <w:rFonts w:hint="eastAsia" w:ascii="仿宋_GB2312" w:hAnsi="仿宋_GB2312" w:eastAsia="仿宋_GB2312" w:cs="仿宋_GB2312"/>
                <w:sz w:val="28"/>
                <w:szCs w:val="28"/>
              </w:rPr>
              <w:t>政务新媒体</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（15分）</w:t>
            </w:r>
            <w:bookmarkEnd w:id="1"/>
          </w:p>
        </w:tc>
        <w:tc>
          <w:tcPr>
            <w:tcW w:w="1708" w:type="dxa"/>
            <w:shd w:val="clear" w:color="auto" w:fill="auto"/>
            <w:noWrap/>
            <w:vAlign w:val="center"/>
          </w:tcPr>
          <w:p w14:paraId="0D81231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开设规范</w:t>
            </w:r>
          </w:p>
        </w:tc>
        <w:tc>
          <w:tcPr>
            <w:tcW w:w="9743" w:type="dxa"/>
            <w:shd w:val="clear" w:color="auto" w:fill="auto"/>
            <w:vAlign w:val="center"/>
          </w:tcPr>
          <w:p w14:paraId="05FD1B9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1.单位在同一平台原则上只开设一个政务新媒体账号，未经市主管单位批准擅自超量开设的，此项不得分；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2.单位及内设机构出现未经市主管单位批准擅自开设政务新媒体的，此项不得分。</w:t>
            </w:r>
          </w:p>
        </w:tc>
        <w:tc>
          <w:tcPr>
            <w:tcW w:w="799" w:type="dxa"/>
            <w:shd w:val="clear" w:color="auto" w:fill="auto"/>
            <w:noWrap/>
            <w:vAlign w:val="center"/>
          </w:tcPr>
          <w:p w14:paraId="0C9D96A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0564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2BEFFA7F">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7F5EFFF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填报规范</w:t>
            </w:r>
          </w:p>
        </w:tc>
        <w:tc>
          <w:tcPr>
            <w:tcW w:w="9743" w:type="dxa"/>
            <w:shd w:val="clear" w:color="auto" w:fill="auto"/>
            <w:vAlign w:val="center"/>
          </w:tcPr>
          <w:p w14:paraId="4C2B12E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单位出现未及时动态更新维护政务新媒体报送系统信息（如上线、注销、联系人信息）的，此项不得分。</w:t>
            </w:r>
          </w:p>
        </w:tc>
        <w:tc>
          <w:tcPr>
            <w:tcW w:w="799" w:type="dxa"/>
            <w:shd w:val="clear" w:color="auto" w:fill="auto"/>
            <w:noWrap/>
            <w:vAlign w:val="center"/>
          </w:tcPr>
          <w:p w14:paraId="0B83A26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6000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52E066A0">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216B135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名称规范</w:t>
            </w:r>
          </w:p>
        </w:tc>
        <w:tc>
          <w:tcPr>
            <w:tcW w:w="9743" w:type="dxa"/>
            <w:shd w:val="clear" w:color="auto" w:fill="auto"/>
            <w:vAlign w:val="center"/>
          </w:tcPr>
          <w:p w14:paraId="6CB9C36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单位任一政务新媒体名称与主办单位工作职责不关联，此项不得分。</w:t>
            </w:r>
          </w:p>
        </w:tc>
        <w:tc>
          <w:tcPr>
            <w:tcW w:w="799" w:type="dxa"/>
            <w:shd w:val="clear" w:color="auto" w:fill="auto"/>
            <w:noWrap/>
            <w:vAlign w:val="center"/>
          </w:tcPr>
          <w:p w14:paraId="2D6EB73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17C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7C2E62C0">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492CEE2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认证规范</w:t>
            </w:r>
          </w:p>
        </w:tc>
        <w:tc>
          <w:tcPr>
            <w:tcW w:w="9743" w:type="dxa"/>
            <w:shd w:val="clear" w:color="auto" w:fill="auto"/>
            <w:vAlign w:val="center"/>
          </w:tcPr>
          <w:p w14:paraId="6015CB2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单位任一政务新媒体在公开认证信息中未标明主办单位名称，此项不得分。</w:t>
            </w:r>
          </w:p>
        </w:tc>
        <w:tc>
          <w:tcPr>
            <w:tcW w:w="799" w:type="dxa"/>
            <w:shd w:val="clear" w:color="auto" w:fill="auto"/>
            <w:noWrap/>
            <w:vAlign w:val="center"/>
          </w:tcPr>
          <w:p w14:paraId="595A2A3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0B1E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98" w:type="dxa"/>
            <w:vMerge w:val="continue"/>
            <w:vAlign w:val="center"/>
          </w:tcPr>
          <w:p w14:paraId="1F45AF98">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1E57797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内容更新</w:t>
            </w:r>
          </w:p>
        </w:tc>
        <w:tc>
          <w:tcPr>
            <w:tcW w:w="9743" w:type="dxa"/>
            <w:shd w:val="clear" w:color="auto" w:fill="auto"/>
            <w:vAlign w:val="center"/>
          </w:tcPr>
          <w:p w14:paraId="2BBE50D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随机抽查本单位政务新媒体更新情况，政务新媒体每周更新内容少于1次，每发现一次扣1分，扣完为止（服务号不考核该指标）。</w:t>
            </w:r>
          </w:p>
        </w:tc>
        <w:tc>
          <w:tcPr>
            <w:tcW w:w="799" w:type="dxa"/>
            <w:shd w:val="clear" w:color="auto" w:fill="auto"/>
            <w:noWrap/>
            <w:vAlign w:val="center"/>
          </w:tcPr>
          <w:p w14:paraId="22AD227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5DFC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0AA76083">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41A9C54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内容发布</w:t>
            </w:r>
          </w:p>
        </w:tc>
        <w:tc>
          <w:tcPr>
            <w:tcW w:w="9743" w:type="dxa"/>
            <w:shd w:val="clear" w:color="auto" w:fill="auto"/>
            <w:vAlign w:val="center"/>
          </w:tcPr>
          <w:p w14:paraId="52C08B3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随机抽查本单位政务新媒体的发布内容，发布“雷人雷语”、“娱乐追星”、失真信息、商业广告等不当内容或随意转帖等，此项不得分。</w:t>
            </w:r>
          </w:p>
        </w:tc>
        <w:tc>
          <w:tcPr>
            <w:tcW w:w="799" w:type="dxa"/>
            <w:shd w:val="clear" w:color="auto" w:fill="auto"/>
            <w:noWrap/>
            <w:vAlign w:val="center"/>
          </w:tcPr>
          <w:p w14:paraId="28BFADE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4157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2F75F407">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7C03858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留言审查</w:t>
            </w:r>
          </w:p>
        </w:tc>
        <w:tc>
          <w:tcPr>
            <w:tcW w:w="9743" w:type="dxa"/>
            <w:shd w:val="clear" w:color="auto" w:fill="auto"/>
            <w:vAlign w:val="center"/>
          </w:tcPr>
          <w:p w14:paraId="6FFE473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随机抽查本单位政务新媒体的互动留言区，存在未做好公众留言审查发布工作，留言区出现不当言论的，发现则此项不得分。</w:t>
            </w:r>
          </w:p>
        </w:tc>
        <w:tc>
          <w:tcPr>
            <w:tcW w:w="799" w:type="dxa"/>
            <w:shd w:val="clear" w:color="auto" w:fill="auto"/>
            <w:noWrap/>
            <w:vAlign w:val="center"/>
          </w:tcPr>
          <w:p w14:paraId="4BAF435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3C2D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0A77E5D7">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219C4D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互动回应</w:t>
            </w:r>
          </w:p>
        </w:tc>
        <w:tc>
          <w:tcPr>
            <w:tcW w:w="9743" w:type="dxa"/>
            <w:shd w:val="clear" w:color="auto" w:fill="auto"/>
            <w:vAlign w:val="center"/>
          </w:tcPr>
          <w:p w14:paraId="4D94755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随机抽查本单位政务新媒体的互动留言区，出现主观泄愤、回怼网民或回复出现专业性错误等情况的，发现则此项不得分。</w:t>
            </w:r>
          </w:p>
        </w:tc>
        <w:tc>
          <w:tcPr>
            <w:tcW w:w="799" w:type="dxa"/>
            <w:shd w:val="clear" w:color="auto" w:fill="auto"/>
            <w:noWrap/>
            <w:vAlign w:val="center"/>
          </w:tcPr>
          <w:p w14:paraId="552542B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47C5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4567D6BF">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74627FF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关注对象</w:t>
            </w:r>
          </w:p>
        </w:tc>
        <w:tc>
          <w:tcPr>
            <w:tcW w:w="9743" w:type="dxa"/>
            <w:shd w:val="clear" w:color="auto" w:fill="auto"/>
            <w:vAlign w:val="center"/>
          </w:tcPr>
          <w:p w14:paraId="2F88FF1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随机抽查本单位政务新媒体的关注对象，存在关注娱乐明星、商业财经等政务工作无关类别对象，发现则此项不得分。</w:t>
            </w:r>
          </w:p>
        </w:tc>
        <w:tc>
          <w:tcPr>
            <w:tcW w:w="799" w:type="dxa"/>
            <w:shd w:val="clear" w:color="auto" w:fill="auto"/>
            <w:noWrap/>
            <w:vAlign w:val="center"/>
          </w:tcPr>
          <w:p w14:paraId="38708CB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158F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98" w:type="dxa"/>
            <w:vMerge w:val="continue"/>
            <w:vAlign w:val="center"/>
          </w:tcPr>
          <w:p w14:paraId="07C77ED0">
            <w:pPr>
              <w:spacing w:line="560" w:lineRule="exact"/>
              <w:rPr>
                <w:rFonts w:ascii="仿宋_GB2312" w:hAnsi="仿宋_GB2312" w:eastAsia="仿宋_GB2312" w:cs="仿宋_GB2312"/>
                <w:sz w:val="28"/>
                <w:szCs w:val="28"/>
              </w:rPr>
            </w:pPr>
          </w:p>
        </w:tc>
        <w:tc>
          <w:tcPr>
            <w:tcW w:w="1708" w:type="dxa"/>
            <w:shd w:val="clear" w:color="auto" w:fill="auto"/>
            <w:noWrap/>
            <w:vAlign w:val="center"/>
          </w:tcPr>
          <w:p w14:paraId="66F2341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功能可用性</w:t>
            </w:r>
          </w:p>
        </w:tc>
        <w:tc>
          <w:tcPr>
            <w:tcW w:w="9743" w:type="dxa"/>
            <w:shd w:val="clear" w:color="auto" w:fill="auto"/>
            <w:vAlign w:val="center"/>
          </w:tcPr>
          <w:p w14:paraId="078D7AB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政务新媒体存在子栏目内容更新不及时、提供系统链接或栏目链接失效的，发现则此项不得分。</w:t>
            </w:r>
          </w:p>
        </w:tc>
        <w:tc>
          <w:tcPr>
            <w:tcW w:w="799" w:type="dxa"/>
            <w:shd w:val="clear" w:color="auto" w:fill="auto"/>
            <w:noWrap/>
            <w:vAlign w:val="center"/>
          </w:tcPr>
          <w:p w14:paraId="132BC18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63CD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698" w:type="dxa"/>
            <w:shd w:val="clear" w:color="auto" w:fill="auto"/>
            <w:vAlign w:val="center"/>
          </w:tcPr>
          <w:p w14:paraId="5BDEC70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运维保障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（10分）</w:t>
            </w:r>
          </w:p>
        </w:tc>
        <w:tc>
          <w:tcPr>
            <w:tcW w:w="1708" w:type="dxa"/>
            <w:shd w:val="clear" w:color="auto" w:fill="auto"/>
            <w:noWrap/>
            <w:vAlign w:val="center"/>
          </w:tcPr>
          <w:p w14:paraId="0277367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规范运维</w:t>
            </w:r>
          </w:p>
        </w:tc>
        <w:tc>
          <w:tcPr>
            <w:tcW w:w="9743" w:type="dxa"/>
            <w:shd w:val="clear" w:color="auto" w:fill="auto"/>
            <w:vAlign w:val="center"/>
          </w:tcPr>
          <w:p w14:paraId="5CC01D3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1.在国办开展的抽查中，本单位政府网站（频道）或政务新媒体出现不合格（突出问题）情况通报，此项不得分；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2.在省府办开展的抽查中，本单位政府网站（频道）或政务新媒体出现不合格（突出问题）情况通报，每发现一次扣5分，扣完为止；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3.存在不合格政府网站（频道）或政务新媒体通报公开之日起1周内未对问题进行整改，或整改不到位的，每发现一次扣2.5分，扣完为止；</w:t>
            </w:r>
          </w:p>
          <w:p w14:paraId="7B79DB1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4.单位分工保障不力导致2020年省考评指标市门户网站存在扣分的，扣2.5分；</w:t>
            </w:r>
          </w:p>
          <w:p w14:paraId="3244CA6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本年度出现（业务系统等）网络安全问题或未及时反馈整改情况、市门户分工保障不到位（如：未向市门户“走进揭阳”版块报送行业信息等）或上级（国办、省府办和市政务服务数据管理局）安排政府网站政务新媒体有关任务（如信息转载和上报等）未落实完成的，每出现一次扣1.5分。</w:t>
            </w:r>
          </w:p>
          <w:p w14:paraId="61C7EDD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注：以上5项可重复扣分，扣完为止。</w:t>
            </w:r>
          </w:p>
        </w:tc>
        <w:tc>
          <w:tcPr>
            <w:tcW w:w="799" w:type="dxa"/>
            <w:shd w:val="clear" w:color="auto" w:fill="auto"/>
            <w:noWrap/>
            <w:vAlign w:val="center"/>
          </w:tcPr>
          <w:p w14:paraId="4F5C8EA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bl>
    <w:p w14:paraId="0C5F6478">
      <w:pPr>
        <w:spacing w:line="560" w:lineRule="exact"/>
        <w:rPr>
          <w:rFonts w:ascii="黑体" w:hAnsi="黑体" w:eastAsia="黑体" w:cs="黑体"/>
          <w:sz w:val="28"/>
          <w:szCs w:val="28"/>
        </w:rPr>
      </w:pPr>
    </w:p>
    <w:p w14:paraId="232245B1">
      <w:pPr>
        <w:spacing w:line="560" w:lineRule="exact"/>
        <w:rPr>
          <w:rFonts w:ascii="黑体" w:hAnsi="黑体" w:eastAsia="黑体" w:cs="黑体"/>
          <w:sz w:val="28"/>
          <w:szCs w:val="28"/>
        </w:rPr>
      </w:pPr>
      <w:r>
        <w:rPr>
          <w:rFonts w:hint="eastAsia" w:ascii="黑体" w:hAnsi="黑体" w:eastAsia="黑体" w:cs="黑体"/>
          <w:sz w:val="28"/>
          <w:szCs w:val="28"/>
        </w:rPr>
        <w:t>三、引导性指标（25分）</w:t>
      </w:r>
    </w:p>
    <w:tbl>
      <w:tblPr>
        <w:tblStyle w:val="10"/>
        <w:tblW w:w="13950" w:type="dxa"/>
        <w:tblInd w:w="0" w:type="dxa"/>
        <w:tblLayout w:type="fixed"/>
        <w:tblCellMar>
          <w:top w:w="0" w:type="dxa"/>
          <w:left w:w="108" w:type="dxa"/>
          <w:bottom w:w="0" w:type="dxa"/>
          <w:right w:w="108" w:type="dxa"/>
        </w:tblCellMar>
      </w:tblPr>
      <w:tblGrid>
        <w:gridCol w:w="1537"/>
        <w:gridCol w:w="1684"/>
        <w:gridCol w:w="9928"/>
        <w:gridCol w:w="801"/>
      </w:tblGrid>
      <w:tr w14:paraId="469FB70E">
        <w:tblPrEx>
          <w:tblCellMar>
            <w:top w:w="0" w:type="dxa"/>
            <w:left w:w="108" w:type="dxa"/>
            <w:bottom w:w="0" w:type="dxa"/>
            <w:right w:w="108" w:type="dxa"/>
          </w:tblCellMar>
        </w:tblPrEx>
        <w:trPr>
          <w:trHeight w:val="276" w:hRule="atLeast"/>
        </w:trPr>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ACCC7">
            <w:pPr>
              <w:spacing w:line="560" w:lineRule="exact"/>
              <w:rPr>
                <w:rFonts w:ascii="黑体" w:hAnsi="黑体" w:eastAsia="黑体" w:cs="黑体"/>
                <w:sz w:val="28"/>
                <w:szCs w:val="28"/>
              </w:rPr>
            </w:pPr>
            <w:r>
              <w:rPr>
                <w:rFonts w:hint="eastAsia" w:ascii="黑体" w:hAnsi="黑体" w:eastAsia="黑体" w:cs="黑体"/>
                <w:sz w:val="28"/>
                <w:szCs w:val="28"/>
              </w:rPr>
              <w:t>一级指标</w:t>
            </w: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664AB848">
            <w:pPr>
              <w:spacing w:line="560" w:lineRule="exact"/>
              <w:rPr>
                <w:rFonts w:ascii="黑体" w:hAnsi="黑体" w:eastAsia="黑体" w:cs="黑体"/>
                <w:sz w:val="28"/>
                <w:szCs w:val="28"/>
              </w:rPr>
            </w:pPr>
            <w:r>
              <w:rPr>
                <w:rFonts w:hint="eastAsia" w:ascii="黑体" w:hAnsi="黑体" w:eastAsia="黑体" w:cs="黑体"/>
                <w:sz w:val="28"/>
                <w:szCs w:val="28"/>
              </w:rPr>
              <w:t>二级指标</w:t>
            </w:r>
          </w:p>
        </w:tc>
        <w:tc>
          <w:tcPr>
            <w:tcW w:w="9928" w:type="dxa"/>
            <w:tcBorders>
              <w:top w:val="single" w:color="auto" w:sz="4" w:space="0"/>
              <w:left w:val="nil"/>
              <w:bottom w:val="single" w:color="auto" w:sz="4" w:space="0"/>
              <w:right w:val="single" w:color="auto" w:sz="4" w:space="0"/>
            </w:tcBorders>
            <w:shd w:val="clear" w:color="auto" w:fill="auto"/>
            <w:vAlign w:val="center"/>
          </w:tcPr>
          <w:p w14:paraId="5105E820">
            <w:pPr>
              <w:spacing w:line="560" w:lineRule="exact"/>
              <w:rPr>
                <w:rFonts w:ascii="黑体" w:hAnsi="黑体" w:eastAsia="黑体" w:cs="黑体"/>
                <w:sz w:val="28"/>
                <w:szCs w:val="28"/>
              </w:rPr>
            </w:pPr>
            <w:r>
              <w:rPr>
                <w:rFonts w:hint="eastAsia" w:ascii="黑体" w:hAnsi="黑体" w:eastAsia="黑体" w:cs="黑体"/>
                <w:sz w:val="28"/>
                <w:szCs w:val="28"/>
              </w:rPr>
              <w:t>评分细则</w:t>
            </w:r>
          </w:p>
        </w:tc>
        <w:tc>
          <w:tcPr>
            <w:tcW w:w="801" w:type="dxa"/>
            <w:tcBorders>
              <w:top w:val="single" w:color="auto" w:sz="4" w:space="0"/>
              <w:left w:val="nil"/>
              <w:bottom w:val="single" w:color="auto" w:sz="4" w:space="0"/>
              <w:right w:val="single" w:color="auto" w:sz="4" w:space="0"/>
            </w:tcBorders>
            <w:shd w:val="clear" w:color="auto" w:fill="auto"/>
            <w:noWrap/>
            <w:vAlign w:val="center"/>
          </w:tcPr>
          <w:p w14:paraId="2BE982DC">
            <w:pPr>
              <w:spacing w:line="560" w:lineRule="exact"/>
              <w:rPr>
                <w:rFonts w:ascii="黑体" w:hAnsi="黑体" w:eastAsia="黑体" w:cs="黑体"/>
                <w:sz w:val="28"/>
                <w:szCs w:val="28"/>
              </w:rPr>
            </w:pPr>
            <w:r>
              <w:rPr>
                <w:rFonts w:hint="eastAsia" w:ascii="黑体" w:hAnsi="黑体" w:eastAsia="黑体" w:cs="黑体"/>
                <w:sz w:val="28"/>
                <w:szCs w:val="28"/>
              </w:rPr>
              <w:t>分值</w:t>
            </w:r>
          </w:p>
        </w:tc>
      </w:tr>
      <w:tr w14:paraId="62E8D98A">
        <w:tblPrEx>
          <w:tblCellMar>
            <w:top w:w="0" w:type="dxa"/>
            <w:left w:w="108" w:type="dxa"/>
            <w:bottom w:w="0" w:type="dxa"/>
            <w:right w:w="108" w:type="dxa"/>
          </w:tblCellMar>
        </w:tblPrEx>
        <w:trPr>
          <w:trHeight w:val="552" w:hRule="atLeast"/>
        </w:trPr>
        <w:tc>
          <w:tcPr>
            <w:tcW w:w="1537" w:type="dxa"/>
            <w:vMerge w:val="restart"/>
            <w:tcBorders>
              <w:top w:val="nil"/>
              <w:left w:val="single" w:color="auto" w:sz="4" w:space="0"/>
              <w:bottom w:val="single" w:color="auto" w:sz="4" w:space="0"/>
              <w:right w:val="single" w:color="auto" w:sz="4" w:space="0"/>
            </w:tcBorders>
            <w:shd w:val="clear" w:color="auto" w:fill="auto"/>
            <w:vAlign w:val="center"/>
          </w:tcPr>
          <w:p w14:paraId="76FC2891">
            <w:pPr>
              <w:spacing w:line="560" w:lineRule="exact"/>
              <w:rPr>
                <w:rFonts w:ascii="仿宋_GB2312" w:hAnsi="仿宋_GB2312" w:eastAsia="仿宋_GB2312" w:cs="仿宋_GB2312"/>
                <w:sz w:val="28"/>
                <w:szCs w:val="28"/>
              </w:rPr>
            </w:pPr>
            <w:bookmarkStart w:id="2" w:name="RANGE!C4"/>
            <w:r>
              <w:rPr>
                <w:rFonts w:hint="eastAsia" w:ascii="仿宋_GB2312" w:hAnsi="仿宋_GB2312" w:eastAsia="仿宋_GB2312" w:cs="仿宋_GB2312"/>
                <w:sz w:val="28"/>
                <w:szCs w:val="28"/>
              </w:rPr>
              <w:t>运维保障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（8分）</w:t>
            </w:r>
            <w:bookmarkEnd w:id="2"/>
          </w:p>
        </w:tc>
        <w:tc>
          <w:tcPr>
            <w:tcW w:w="1684" w:type="dxa"/>
            <w:tcBorders>
              <w:top w:val="nil"/>
              <w:left w:val="nil"/>
              <w:bottom w:val="single" w:color="auto" w:sz="4" w:space="0"/>
              <w:right w:val="single" w:color="auto" w:sz="4" w:space="0"/>
            </w:tcBorders>
            <w:shd w:val="clear" w:color="auto" w:fill="auto"/>
            <w:noWrap/>
            <w:vAlign w:val="center"/>
          </w:tcPr>
          <w:p w14:paraId="01B3F74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内容安全</w:t>
            </w:r>
          </w:p>
        </w:tc>
        <w:tc>
          <w:tcPr>
            <w:tcW w:w="9928" w:type="dxa"/>
            <w:tcBorders>
              <w:top w:val="nil"/>
              <w:left w:val="nil"/>
              <w:bottom w:val="single" w:color="auto" w:sz="4" w:space="0"/>
              <w:right w:val="single" w:color="auto" w:sz="4" w:space="0"/>
            </w:tcBorders>
            <w:shd w:val="clear" w:color="auto" w:fill="auto"/>
            <w:vAlign w:val="center"/>
          </w:tcPr>
          <w:p w14:paraId="2259F82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1.网站（频道）与政务新媒体年度内未出现错敏字情况的，加2分；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2.网站（频道）与政务新媒体年度内未出现不良外链情况的，加2分。</w:t>
            </w:r>
          </w:p>
        </w:tc>
        <w:tc>
          <w:tcPr>
            <w:tcW w:w="801" w:type="dxa"/>
            <w:tcBorders>
              <w:top w:val="nil"/>
              <w:left w:val="nil"/>
              <w:bottom w:val="single" w:color="auto" w:sz="4" w:space="0"/>
              <w:right w:val="single" w:color="auto" w:sz="4" w:space="0"/>
            </w:tcBorders>
            <w:shd w:val="clear" w:color="auto" w:fill="auto"/>
            <w:noWrap/>
            <w:vAlign w:val="center"/>
          </w:tcPr>
          <w:p w14:paraId="3BAF709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27DBEE52">
        <w:tblPrEx>
          <w:tblCellMar>
            <w:top w:w="0" w:type="dxa"/>
            <w:left w:w="108" w:type="dxa"/>
            <w:bottom w:w="0" w:type="dxa"/>
            <w:right w:w="108" w:type="dxa"/>
          </w:tblCellMar>
        </w:tblPrEx>
        <w:trPr>
          <w:trHeight w:val="276" w:hRule="atLeast"/>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55B9B82F">
            <w:pPr>
              <w:spacing w:line="560" w:lineRule="exact"/>
              <w:rPr>
                <w:rFonts w:ascii="仿宋_GB2312" w:hAnsi="仿宋_GB2312" w:eastAsia="仿宋_GB2312" w:cs="仿宋_GB2312"/>
                <w:sz w:val="28"/>
                <w:szCs w:val="28"/>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24BB938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上级通报</w:t>
            </w:r>
          </w:p>
        </w:tc>
        <w:tc>
          <w:tcPr>
            <w:tcW w:w="9928" w:type="dxa"/>
            <w:tcBorders>
              <w:top w:val="single" w:color="auto" w:sz="4" w:space="0"/>
              <w:left w:val="nil"/>
              <w:bottom w:val="single" w:color="auto" w:sz="4" w:space="0"/>
              <w:right w:val="single" w:color="auto" w:sz="4" w:space="0"/>
            </w:tcBorders>
            <w:shd w:val="clear" w:color="auto" w:fill="auto"/>
            <w:vAlign w:val="center"/>
          </w:tcPr>
          <w:p w14:paraId="3A024F1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1.网站（频道）与政务新媒体年度内在国办、省府办和市政务服务数据管理局开展的抽查工作中未出现涉及通报情况的，加2分；</w:t>
            </w:r>
          </w:p>
          <w:p w14:paraId="4DD7780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政务新媒体年度内在市政务服务数据管理局检查周报工作中未出现涉及超时更新情况的，加2分。</w:t>
            </w:r>
          </w:p>
        </w:tc>
        <w:tc>
          <w:tcPr>
            <w:tcW w:w="801" w:type="dxa"/>
            <w:tcBorders>
              <w:top w:val="single" w:color="auto" w:sz="4" w:space="0"/>
              <w:left w:val="nil"/>
              <w:bottom w:val="single" w:color="auto" w:sz="4" w:space="0"/>
              <w:right w:val="single" w:color="auto" w:sz="4" w:space="0"/>
            </w:tcBorders>
            <w:shd w:val="clear" w:color="auto" w:fill="auto"/>
            <w:noWrap/>
            <w:vAlign w:val="center"/>
          </w:tcPr>
          <w:p w14:paraId="0137976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174CD8A1">
        <w:tblPrEx>
          <w:tblCellMar>
            <w:top w:w="0" w:type="dxa"/>
            <w:left w:w="108" w:type="dxa"/>
            <w:bottom w:w="0" w:type="dxa"/>
            <w:right w:w="108" w:type="dxa"/>
          </w:tblCellMar>
        </w:tblPrEx>
        <w:trPr>
          <w:trHeight w:val="552" w:hRule="atLeast"/>
        </w:trPr>
        <w:tc>
          <w:tcPr>
            <w:tcW w:w="15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6BCE3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功能设计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（4分）</w:t>
            </w: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460EEEB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智能搜索</w:t>
            </w:r>
          </w:p>
        </w:tc>
        <w:tc>
          <w:tcPr>
            <w:tcW w:w="9928" w:type="dxa"/>
            <w:tcBorders>
              <w:top w:val="single" w:color="auto" w:sz="4" w:space="0"/>
              <w:left w:val="nil"/>
              <w:bottom w:val="single" w:color="auto" w:sz="4" w:space="0"/>
              <w:right w:val="single" w:color="auto" w:sz="4" w:space="0"/>
            </w:tcBorders>
            <w:shd w:val="clear" w:color="auto" w:fill="auto"/>
            <w:vAlign w:val="center"/>
          </w:tcPr>
          <w:p w14:paraId="56F3249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1.提供关键词模糊搜索功能的，加1分；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2.根据搜索关键词聚合相关信息和服务功能，实现“搜索即服务”的，加1分。</w:t>
            </w:r>
          </w:p>
        </w:tc>
        <w:tc>
          <w:tcPr>
            <w:tcW w:w="801" w:type="dxa"/>
            <w:tcBorders>
              <w:top w:val="single" w:color="auto" w:sz="4" w:space="0"/>
              <w:left w:val="nil"/>
              <w:bottom w:val="single" w:color="auto" w:sz="4" w:space="0"/>
              <w:right w:val="single" w:color="auto" w:sz="4" w:space="0"/>
            </w:tcBorders>
            <w:shd w:val="clear" w:color="auto" w:fill="auto"/>
            <w:noWrap/>
            <w:vAlign w:val="center"/>
          </w:tcPr>
          <w:p w14:paraId="65AD8E0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7ECFF94A">
        <w:tblPrEx>
          <w:tblCellMar>
            <w:top w:w="0" w:type="dxa"/>
            <w:left w:w="108" w:type="dxa"/>
            <w:bottom w:w="0" w:type="dxa"/>
            <w:right w:w="108" w:type="dxa"/>
          </w:tblCellMar>
        </w:tblPrEx>
        <w:trPr>
          <w:trHeight w:val="552" w:hRule="atLeast"/>
        </w:trPr>
        <w:tc>
          <w:tcPr>
            <w:tcW w:w="1537" w:type="dxa"/>
            <w:vMerge w:val="continue"/>
            <w:tcBorders>
              <w:top w:val="nil"/>
              <w:left w:val="single" w:color="auto" w:sz="4" w:space="0"/>
              <w:bottom w:val="single" w:color="000000" w:sz="4" w:space="0"/>
              <w:right w:val="single" w:color="auto" w:sz="4" w:space="0"/>
            </w:tcBorders>
            <w:vAlign w:val="center"/>
          </w:tcPr>
          <w:p w14:paraId="5AC69C89">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543011D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数据与服务</w:t>
            </w:r>
          </w:p>
        </w:tc>
        <w:tc>
          <w:tcPr>
            <w:tcW w:w="9928" w:type="dxa"/>
            <w:tcBorders>
              <w:top w:val="nil"/>
              <w:left w:val="nil"/>
              <w:bottom w:val="single" w:color="auto" w:sz="4" w:space="0"/>
              <w:right w:val="single" w:color="auto" w:sz="4" w:space="0"/>
            </w:tcBorders>
            <w:shd w:val="clear" w:color="auto" w:fill="auto"/>
            <w:vAlign w:val="center"/>
          </w:tcPr>
          <w:p w14:paraId="2EE3DE2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1.省“开放广东”平台揭阳区域中本单位数据集或数据接口新增数量年度内大于10个的，加2分；</w:t>
            </w:r>
          </w:p>
          <w:p w14:paraId="63A14B4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2.针对重点服务事项，整合相关资源，细化办理对象、条件、流程等，提供专题或集成服务，提供3项及以上的，加2分；提供1至2项的，加1分。</w:t>
            </w:r>
          </w:p>
        </w:tc>
        <w:tc>
          <w:tcPr>
            <w:tcW w:w="801" w:type="dxa"/>
            <w:tcBorders>
              <w:top w:val="nil"/>
              <w:left w:val="nil"/>
              <w:bottom w:val="single" w:color="auto" w:sz="4" w:space="0"/>
              <w:right w:val="single" w:color="auto" w:sz="4" w:space="0"/>
            </w:tcBorders>
            <w:shd w:val="clear" w:color="auto" w:fill="auto"/>
            <w:noWrap/>
            <w:vAlign w:val="center"/>
          </w:tcPr>
          <w:p w14:paraId="60E460B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39CF7413">
        <w:tblPrEx>
          <w:tblCellMar>
            <w:top w:w="0" w:type="dxa"/>
            <w:left w:w="108" w:type="dxa"/>
            <w:bottom w:w="0" w:type="dxa"/>
            <w:right w:w="108" w:type="dxa"/>
          </w:tblCellMar>
        </w:tblPrEx>
        <w:trPr>
          <w:trHeight w:val="454" w:hRule="atLeast"/>
        </w:trPr>
        <w:tc>
          <w:tcPr>
            <w:tcW w:w="1537" w:type="dxa"/>
            <w:tcBorders>
              <w:top w:val="nil"/>
              <w:left w:val="single" w:color="auto" w:sz="4" w:space="0"/>
              <w:bottom w:val="nil"/>
              <w:right w:val="single" w:color="auto" w:sz="4" w:space="0"/>
            </w:tcBorders>
            <w:shd w:val="clear" w:color="auto" w:fill="auto"/>
            <w:vAlign w:val="center"/>
          </w:tcPr>
          <w:p w14:paraId="74AFF6F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互动交流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（3分）</w:t>
            </w:r>
          </w:p>
        </w:tc>
        <w:tc>
          <w:tcPr>
            <w:tcW w:w="1684" w:type="dxa"/>
            <w:tcBorders>
              <w:top w:val="nil"/>
              <w:left w:val="nil"/>
              <w:bottom w:val="single" w:color="auto" w:sz="4" w:space="0"/>
              <w:right w:val="single" w:color="auto" w:sz="4" w:space="0"/>
            </w:tcBorders>
            <w:shd w:val="clear" w:color="auto" w:fill="auto"/>
            <w:noWrap/>
            <w:vAlign w:val="center"/>
          </w:tcPr>
          <w:p w14:paraId="3B6B090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实时互动</w:t>
            </w:r>
          </w:p>
        </w:tc>
        <w:tc>
          <w:tcPr>
            <w:tcW w:w="9928" w:type="dxa"/>
            <w:tcBorders>
              <w:top w:val="nil"/>
              <w:left w:val="nil"/>
              <w:bottom w:val="single" w:color="auto" w:sz="4" w:space="0"/>
              <w:right w:val="single" w:color="auto" w:sz="4" w:space="0"/>
            </w:tcBorders>
            <w:shd w:val="clear" w:color="auto" w:fill="auto"/>
            <w:vAlign w:val="center"/>
          </w:tcPr>
          <w:p w14:paraId="6116919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模拟用户进行1次简单常见问题咨询：咨询后一个工作日内答复且内容准确的，得2分；提供实时智能答问功能且内容准确的，加1分。</w:t>
            </w:r>
          </w:p>
        </w:tc>
        <w:tc>
          <w:tcPr>
            <w:tcW w:w="801" w:type="dxa"/>
            <w:tcBorders>
              <w:top w:val="nil"/>
              <w:left w:val="nil"/>
              <w:bottom w:val="single" w:color="auto" w:sz="4" w:space="0"/>
              <w:right w:val="single" w:color="auto" w:sz="4" w:space="0"/>
            </w:tcBorders>
            <w:shd w:val="clear" w:color="auto" w:fill="auto"/>
            <w:noWrap/>
            <w:vAlign w:val="center"/>
          </w:tcPr>
          <w:p w14:paraId="1CF5FB1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1E3C17BD">
        <w:tblPrEx>
          <w:tblCellMar>
            <w:top w:w="0" w:type="dxa"/>
            <w:left w:w="108" w:type="dxa"/>
            <w:bottom w:w="0" w:type="dxa"/>
            <w:right w:w="108" w:type="dxa"/>
          </w:tblCellMar>
        </w:tblPrEx>
        <w:trPr>
          <w:trHeight w:val="340" w:hRule="atLeast"/>
        </w:trPr>
        <w:tc>
          <w:tcPr>
            <w:tcW w:w="1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2E50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创新发展</w:t>
            </w:r>
          </w:p>
          <w:p w14:paraId="7936B71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（10分）</w:t>
            </w:r>
          </w:p>
        </w:tc>
        <w:tc>
          <w:tcPr>
            <w:tcW w:w="1684" w:type="dxa"/>
            <w:tcBorders>
              <w:top w:val="nil"/>
              <w:left w:val="nil"/>
              <w:bottom w:val="single" w:color="auto" w:sz="4" w:space="0"/>
              <w:right w:val="single" w:color="auto" w:sz="4" w:space="0"/>
            </w:tcBorders>
            <w:shd w:val="clear" w:color="auto" w:fill="auto"/>
            <w:noWrap/>
            <w:vAlign w:val="center"/>
          </w:tcPr>
          <w:p w14:paraId="616888E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个性化服务</w:t>
            </w:r>
          </w:p>
        </w:tc>
        <w:tc>
          <w:tcPr>
            <w:tcW w:w="9928" w:type="dxa"/>
            <w:tcBorders>
              <w:top w:val="nil"/>
              <w:left w:val="nil"/>
              <w:bottom w:val="single" w:color="auto" w:sz="4" w:space="0"/>
              <w:right w:val="single" w:color="auto" w:sz="4" w:space="0"/>
            </w:tcBorders>
            <w:shd w:val="clear" w:color="auto" w:fill="auto"/>
            <w:vAlign w:val="center"/>
          </w:tcPr>
          <w:p w14:paraId="58665BF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按要求提供个人主页、多语言版本、无障碍服务、智能问答等个性化服务，有其中两项即可加2分。</w:t>
            </w:r>
          </w:p>
        </w:tc>
        <w:tc>
          <w:tcPr>
            <w:tcW w:w="801" w:type="dxa"/>
            <w:tcBorders>
              <w:top w:val="nil"/>
              <w:left w:val="nil"/>
              <w:bottom w:val="single" w:color="auto" w:sz="4" w:space="0"/>
              <w:right w:val="single" w:color="auto" w:sz="4" w:space="0"/>
            </w:tcBorders>
            <w:shd w:val="clear" w:color="auto" w:fill="auto"/>
            <w:noWrap/>
            <w:vAlign w:val="center"/>
          </w:tcPr>
          <w:p w14:paraId="3420EC1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5E8AC8A4">
        <w:tblPrEx>
          <w:tblCellMar>
            <w:top w:w="0" w:type="dxa"/>
            <w:left w:w="108" w:type="dxa"/>
            <w:bottom w:w="0" w:type="dxa"/>
            <w:right w:w="108" w:type="dxa"/>
          </w:tblCellMar>
        </w:tblPrEx>
        <w:trPr>
          <w:trHeight w:val="340" w:hRule="atLeast"/>
        </w:trPr>
        <w:tc>
          <w:tcPr>
            <w:tcW w:w="1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DE3B9">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30305A3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适老化服务</w:t>
            </w:r>
          </w:p>
        </w:tc>
        <w:tc>
          <w:tcPr>
            <w:tcW w:w="9928" w:type="dxa"/>
            <w:tcBorders>
              <w:top w:val="nil"/>
              <w:left w:val="nil"/>
              <w:bottom w:val="single" w:color="auto" w:sz="4" w:space="0"/>
              <w:right w:val="single" w:color="auto" w:sz="4" w:space="0"/>
            </w:tcBorders>
            <w:shd w:val="clear" w:color="auto" w:fill="auto"/>
            <w:vAlign w:val="center"/>
          </w:tcPr>
          <w:p w14:paraId="570E990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按要求提供网站适老化服务的加2分。</w:t>
            </w:r>
          </w:p>
        </w:tc>
        <w:tc>
          <w:tcPr>
            <w:tcW w:w="801" w:type="dxa"/>
            <w:tcBorders>
              <w:top w:val="nil"/>
              <w:left w:val="nil"/>
              <w:bottom w:val="single" w:color="auto" w:sz="4" w:space="0"/>
              <w:right w:val="single" w:color="auto" w:sz="4" w:space="0"/>
            </w:tcBorders>
            <w:shd w:val="clear" w:color="auto" w:fill="auto"/>
            <w:noWrap/>
            <w:vAlign w:val="center"/>
          </w:tcPr>
          <w:p w14:paraId="73FF55B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3CA7025A">
        <w:tblPrEx>
          <w:tblCellMar>
            <w:top w:w="0" w:type="dxa"/>
            <w:left w:w="108" w:type="dxa"/>
            <w:bottom w:w="0" w:type="dxa"/>
            <w:right w:w="108" w:type="dxa"/>
          </w:tblCellMar>
        </w:tblPrEx>
        <w:trPr>
          <w:trHeight w:val="1134" w:hRule="atLeast"/>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2E442769">
            <w:pPr>
              <w:spacing w:line="560" w:lineRule="exact"/>
              <w:rPr>
                <w:rFonts w:ascii="仿宋_GB2312" w:hAnsi="仿宋_GB2312" w:eastAsia="仿宋_GB2312" w:cs="仿宋_GB2312"/>
                <w:sz w:val="28"/>
                <w:szCs w:val="28"/>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68E7361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智能化应用</w:t>
            </w:r>
          </w:p>
        </w:tc>
        <w:tc>
          <w:tcPr>
            <w:tcW w:w="9928" w:type="dxa"/>
            <w:tcBorders>
              <w:top w:val="single" w:color="auto" w:sz="4" w:space="0"/>
              <w:left w:val="nil"/>
              <w:bottom w:val="single" w:color="auto" w:sz="4" w:space="0"/>
              <w:right w:val="single" w:color="auto" w:sz="4" w:space="0"/>
            </w:tcBorders>
            <w:shd w:val="clear" w:color="auto" w:fill="auto"/>
            <w:vAlign w:val="center"/>
          </w:tcPr>
          <w:p w14:paraId="1120D7C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语音识别、人工智能等为基础，对政府网站的信息、服务和互动资源进行开发利用，或整合政府网站和政务服务网资源，提供智能化应用的，可得2分。如：利用标签等技术，构建知识图谱，实现不同维度信息聚合；利用自然语言处理技术，结合“百姓体”描述，提供“搜索即服务”效果；基于网民访问内容，提供个性化推送等（需提供相关证明材料）。</w:t>
            </w:r>
          </w:p>
        </w:tc>
        <w:tc>
          <w:tcPr>
            <w:tcW w:w="801" w:type="dxa"/>
            <w:tcBorders>
              <w:top w:val="single" w:color="auto" w:sz="4" w:space="0"/>
              <w:left w:val="nil"/>
              <w:bottom w:val="single" w:color="auto" w:sz="4" w:space="0"/>
              <w:right w:val="single" w:color="auto" w:sz="4" w:space="0"/>
            </w:tcBorders>
            <w:shd w:val="clear" w:color="auto" w:fill="auto"/>
            <w:noWrap/>
            <w:vAlign w:val="center"/>
          </w:tcPr>
          <w:p w14:paraId="238B3FC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3D77D4DA">
        <w:tblPrEx>
          <w:tblCellMar>
            <w:top w:w="0" w:type="dxa"/>
            <w:left w:w="108" w:type="dxa"/>
            <w:bottom w:w="0" w:type="dxa"/>
            <w:right w:w="108" w:type="dxa"/>
          </w:tblCellMar>
        </w:tblPrEx>
        <w:trPr>
          <w:trHeight w:val="964" w:hRule="atLeast"/>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7DCABBC3">
            <w:pPr>
              <w:spacing w:line="560" w:lineRule="exact"/>
              <w:rPr>
                <w:rFonts w:ascii="仿宋_GB2312" w:hAnsi="仿宋_GB2312" w:eastAsia="仿宋_GB2312" w:cs="仿宋_GB2312"/>
                <w:sz w:val="28"/>
                <w:szCs w:val="28"/>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3F46953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大数据支撑</w:t>
            </w:r>
          </w:p>
        </w:tc>
        <w:tc>
          <w:tcPr>
            <w:tcW w:w="9928" w:type="dxa"/>
            <w:tcBorders>
              <w:top w:val="single" w:color="auto" w:sz="4" w:space="0"/>
              <w:left w:val="nil"/>
              <w:bottom w:val="single" w:color="auto" w:sz="4" w:space="0"/>
              <w:right w:val="single" w:color="auto" w:sz="4" w:space="0"/>
            </w:tcBorders>
            <w:shd w:val="clear" w:color="auto" w:fill="auto"/>
            <w:vAlign w:val="center"/>
          </w:tcPr>
          <w:p w14:paraId="0F5B3C4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政府网站信息、服务和互动资源应用、传播等情况进行大数据分析，为科学决策提供参考支撑的，得2分。如：对网民行为进行大数据分析，为网站页面改版提供支撑；对相关文本内容进行挖掘，为更好了解群众和企业诉求提供支撑等；对网站信息内容在互联网中的传播情况进行大数据分析等。（需提供相关证明材料）。</w:t>
            </w:r>
          </w:p>
        </w:tc>
        <w:tc>
          <w:tcPr>
            <w:tcW w:w="801" w:type="dxa"/>
            <w:tcBorders>
              <w:top w:val="single" w:color="auto" w:sz="4" w:space="0"/>
              <w:left w:val="nil"/>
              <w:bottom w:val="single" w:color="auto" w:sz="4" w:space="0"/>
              <w:right w:val="single" w:color="auto" w:sz="4" w:space="0"/>
            </w:tcBorders>
            <w:shd w:val="clear" w:color="auto" w:fill="auto"/>
            <w:noWrap/>
            <w:vAlign w:val="center"/>
          </w:tcPr>
          <w:p w14:paraId="1C4A4E2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1939279C">
        <w:tblPrEx>
          <w:tblCellMar>
            <w:top w:w="0" w:type="dxa"/>
            <w:left w:w="108" w:type="dxa"/>
            <w:bottom w:w="0" w:type="dxa"/>
            <w:right w:w="108" w:type="dxa"/>
          </w:tblCellMar>
        </w:tblPrEx>
        <w:trPr>
          <w:trHeight w:val="567" w:hRule="atLeast"/>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0B5E0BE9">
            <w:pPr>
              <w:spacing w:line="560" w:lineRule="exact"/>
              <w:rPr>
                <w:rFonts w:ascii="仿宋_GB2312" w:hAnsi="仿宋_GB2312" w:eastAsia="仿宋_GB2312" w:cs="仿宋_GB2312"/>
                <w:sz w:val="28"/>
                <w:szCs w:val="28"/>
              </w:rPr>
            </w:pPr>
          </w:p>
        </w:tc>
        <w:tc>
          <w:tcPr>
            <w:tcW w:w="1684" w:type="dxa"/>
            <w:tcBorders>
              <w:top w:val="nil"/>
              <w:left w:val="nil"/>
              <w:bottom w:val="single" w:color="auto" w:sz="4" w:space="0"/>
              <w:right w:val="single" w:color="auto" w:sz="4" w:space="0"/>
            </w:tcBorders>
            <w:shd w:val="clear" w:color="auto" w:fill="auto"/>
            <w:noWrap/>
            <w:vAlign w:val="center"/>
          </w:tcPr>
          <w:p w14:paraId="68814C3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领导肯定</w:t>
            </w:r>
          </w:p>
        </w:tc>
        <w:tc>
          <w:tcPr>
            <w:tcW w:w="9928" w:type="dxa"/>
            <w:tcBorders>
              <w:top w:val="nil"/>
              <w:left w:val="nil"/>
              <w:bottom w:val="single" w:color="auto" w:sz="4" w:space="0"/>
              <w:right w:val="single" w:color="auto" w:sz="4" w:space="0"/>
            </w:tcBorders>
            <w:shd w:val="clear" w:color="auto" w:fill="auto"/>
            <w:vAlign w:val="center"/>
          </w:tcPr>
          <w:p w14:paraId="2D1C8DB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通过政府网站服务中心工作、方便社会公众的做法突出，并获得上级主管部门领导同志肯定的，加2分（需提供相关证明材料）。</w:t>
            </w:r>
          </w:p>
        </w:tc>
        <w:tc>
          <w:tcPr>
            <w:tcW w:w="801" w:type="dxa"/>
            <w:tcBorders>
              <w:top w:val="nil"/>
              <w:left w:val="nil"/>
              <w:bottom w:val="single" w:color="auto" w:sz="4" w:space="0"/>
              <w:right w:val="single" w:color="auto" w:sz="4" w:space="0"/>
            </w:tcBorders>
            <w:shd w:val="clear" w:color="auto" w:fill="auto"/>
            <w:noWrap/>
            <w:vAlign w:val="center"/>
          </w:tcPr>
          <w:p w14:paraId="0D2B343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bl>
    <w:p w14:paraId="77B88F68">
      <w:pPr>
        <w:spacing w:line="560" w:lineRule="exact"/>
        <w:rPr>
          <w:rFonts w:ascii="仿宋_GB2312" w:hAnsi="仿宋_GB2312" w:eastAsia="仿宋_GB2312" w:cs="仿宋_GB2312"/>
          <w:sz w:val="32"/>
          <w:szCs w:val="32"/>
        </w:rPr>
      </w:pPr>
      <w:bookmarkStart w:id="3" w:name="_GoBack"/>
      <w:bookmarkEnd w:id="3"/>
    </w:p>
    <w:sectPr>
      <w:footerReference r:id="rId4" w:type="first"/>
      <w:footerReference r:id="rId3" w:type="default"/>
      <w:pgSz w:w="16838" w:h="11906" w:orient="landscape"/>
      <w:pgMar w:top="1531" w:right="2098" w:bottom="1417" w:left="1587" w:header="851" w:footer="1191" w:gutter="0"/>
      <w:pgNumType w:fmt="numberInDash"/>
      <w:cols w:space="0" w:num="1"/>
      <w:titlePg/>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3E54">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D11B">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EBA"/>
    <w:rsid w:val="00041464"/>
    <w:rsid w:val="0004536C"/>
    <w:rsid w:val="00046C7C"/>
    <w:rsid w:val="00054CC1"/>
    <w:rsid w:val="0006461D"/>
    <w:rsid w:val="000B1FEF"/>
    <w:rsid w:val="000D1760"/>
    <w:rsid w:val="000D45AA"/>
    <w:rsid w:val="000E3679"/>
    <w:rsid w:val="000E5889"/>
    <w:rsid w:val="001179C8"/>
    <w:rsid w:val="00127E17"/>
    <w:rsid w:val="00135EFB"/>
    <w:rsid w:val="00135FF8"/>
    <w:rsid w:val="00143F8E"/>
    <w:rsid w:val="00151AFB"/>
    <w:rsid w:val="00163FEA"/>
    <w:rsid w:val="00172A27"/>
    <w:rsid w:val="00197150"/>
    <w:rsid w:val="001A3F46"/>
    <w:rsid w:val="001C5804"/>
    <w:rsid w:val="001E3CF8"/>
    <w:rsid w:val="00206242"/>
    <w:rsid w:val="00236363"/>
    <w:rsid w:val="00236E9E"/>
    <w:rsid w:val="00244EE5"/>
    <w:rsid w:val="002B75F3"/>
    <w:rsid w:val="002C5A65"/>
    <w:rsid w:val="002E47D9"/>
    <w:rsid w:val="002F0531"/>
    <w:rsid w:val="00301AD6"/>
    <w:rsid w:val="0031696C"/>
    <w:rsid w:val="003213C6"/>
    <w:rsid w:val="00361372"/>
    <w:rsid w:val="00382BF6"/>
    <w:rsid w:val="003935C5"/>
    <w:rsid w:val="003A4ABE"/>
    <w:rsid w:val="003F13B8"/>
    <w:rsid w:val="003F277B"/>
    <w:rsid w:val="00445A27"/>
    <w:rsid w:val="00473D90"/>
    <w:rsid w:val="004774C9"/>
    <w:rsid w:val="004B0099"/>
    <w:rsid w:val="004C217C"/>
    <w:rsid w:val="004D6618"/>
    <w:rsid w:val="00502099"/>
    <w:rsid w:val="005172C0"/>
    <w:rsid w:val="005A38F1"/>
    <w:rsid w:val="005E16DC"/>
    <w:rsid w:val="005E5176"/>
    <w:rsid w:val="00606EE6"/>
    <w:rsid w:val="00630857"/>
    <w:rsid w:val="006569FE"/>
    <w:rsid w:val="00656C7F"/>
    <w:rsid w:val="00672CE6"/>
    <w:rsid w:val="00692FA8"/>
    <w:rsid w:val="006B095F"/>
    <w:rsid w:val="006E0D77"/>
    <w:rsid w:val="00715F38"/>
    <w:rsid w:val="00776BC0"/>
    <w:rsid w:val="007949F4"/>
    <w:rsid w:val="007C0BBC"/>
    <w:rsid w:val="007C120E"/>
    <w:rsid w:val="007D0611"/>
    <w:rsid w:val="007E1CF5"/>
    <w:rsid w:val="007E76F7"/>
    <w:rsid w:val="00826DE6"/>
    <w:rsid w:val="00844E91"/>
    <w:rsid w:val="00856C42"/>
    <w:rsid w:val="008715CC"/>
    <w:rsid w:val="00877CCC"/>
    <w:rsid w:val="008A563D"/>
    <w:rsid w:val="008B23C6"/>
    <w:rsid w:val="00921528"/>
    <w:rsid w:val="009508EF"/>
    <w:rsid w:val="00962054"/>
    <w:rsid w:val="00980D14"/>
    <w:rsid w:val="009B79A8"/>
    <w:rsid w:val="009E5EE8"/>
    <w:rsid w:val="009F6433"/>
    <w:rsid w:val="00A12C1A"/>
    <w:rsid w:val="00A33601"/>
    <w:rsid w:val="00A4242C"/>
    <w:rsid w:val="00A45BD1"/>
    <w:rsid w:val="00A46120"/>
    <w:rsid w:val="00A7759F"/>
    <w:rsid w:val="00A81C14"/>
    <w:rsid w:val="00A86481"/>
    <w:rsid w:val="00AB2A3E"/>
    <w:rsid w:val="00AC3B6B"/>
    <w:rsid w:val="00AD3D5B"/>
    <w:rsid w:val="00B52DCB"/>
    <w:rsid w:val="00B57BD8"/>
    <w:rsid w:val="00B65B0E"/>
    <w:rsid w:val="00BA60D6"/>
    <w:rsid w:val="00BC0617"/>
    <w:rsid w:val="00BC0E9C"/>
    <w:rsid w:val="00BD06BB"/>
    <w:rsid w:val="00BD2219"/>
    <w:rsid w:val="00BD4769"/>
    <w:rsid w:val="00BF1792"/>
    <w:rsid w:val="00C06411"/>
    <w:rsid w:val="00C2068A"/>
    <w:rsid w:val="00C37144"/>
    <w:rsid w:val="00C67381"/>
    <w:rsid w:val="00C74FBA"/>
    <w:rsid w:val="00C861D5"/>
    <w:rsid w:val="00CC1EC4"/>
    <w:rsid w:val="00CC5EF1"/>
    <w:rsid w:val="00CC7C7A"/>
    <w:rsid w:val="00CF05AE"/>
    <w:rsid w:val="00CF1707"/>
    <w:rsid w:val="00D4671E"/>
    <w:rsid w:val="00D54C42"/>
    <w:rsid w:val="00D72CF4"/>
    <w:rsid w:val="00D76D2C"/>
    <w:rsid w:val="00D90F10"/>
    <w:rsid w:val="00DA6CF0"/>
    <w:rsid w:val="00DC10D0"/>
    <w:rsid w:val="00DC5575"/>
    <w:rsid w:val="00DD613D"/>
    <w:rsid w:val="00E44751"/>
    <w:rsid w:val="00E45288"/>
    <w:rsid w:val="00E57FE6"/>
    <w:rsid w:val="00E6663B"/>
    <w:rsid w:val="00E66AE5"/>
    <w:rsid w:val="00EC6972"/>
    <w:rsid w:val="00ED740F"/>
    <w:rsid w:val="00F330E2"/>
    <w:rsid w:val="00F455F0"/>
    <w:rsid w:val="00F5098A"/>
    <w:rsid w:val="00F73E83"/>
    <w:rsid w:val="00F82169"/>
    <w:rsid w:val="00F91068"/>
    <w:rsid w:val="00FD7E34"/>
    <w:rsid w:val="00FE0572"/>
    <w:rsid w:val="00FE3294"/>
    <w:rsid w:val="00FE5715"/>
    <w:rsid w:val="00FE7D44"/>
    <w:rsid w:val="00FF0FBE"/>
    <w:rsid w:val="00FF3C7B"/>
    <w:rsid w:val="01950EF1"/>
    <w:rsid w:val="01AA3590"/>
    <w:rsid w:val="029A109B"/>
    <w:rsid w:val="039F4545"/>
    <w:rsid w:val="05117E6E"/>
    <w:rsid w:val="052B432A"/>
    <w:rsid w:val="056F4AD8"/>
    <w:rsid w:val="059253A8"/>
    <w:rsid w:val="05B818B8"/>
    <w:rsid w:val="06BA6AE6"/>
    <w:rsid w:val="06DD3ED2"/>
    <w:rsid w:val="09672CE3"/>
    <w:rsid w:val="09B50475"/>
    <w:rsid w:val="0A6528A8"/>
    <w:rsid w:val="0AA80306"/>
    <w:rsid w:val="0AC970AD"/>
    <w:rsid w:val="0C727E5D"/>
    <w:rsid w:val="0D403870"/>
    <w:rsid w:val="0DC50EA5"/>
    <w:rsid w:val="0DC70546"/>
    <w:rsid w:val="0EFC07A6"/>
    <w:rsid w:val="11C90FD9"/>
    <w:rsid w:val="12643551"/>
    <w:rsid w:val="12DF1095"/>
    <w:rsid w:val="13876070"/>
    <w:rsid w:val="13F54D49"/>
    <w:rsid w:val="13FC53E5"/>
    <w:rsid w:val="16904728"/>
    <w:rsid w:val="17884E52"/>
    <w:rsid w:val="1A067CD2"/>
    <w:rsid w:val="1A806BE8"/>
    <w:rsid w:val="1AA53032"/>
    <w:rsid w:val="1AE87CCB"/>
    <w:rsid w:val="1AF20674"/>
    <w:rsid w:val="1B0C0C70"/>
    <w:rsid w:val="1B5D148D"/>
    <w:rsid w:val="1D885445"/>
    <w:rsid w:val="1E6D7DF4"/>
    <w:rsid w:val="1E907109"/>
    <w:rsid w:val="1F9B4587"/>
    <w:rsid w:val="20AC56D3"/>
    <w:rsid w:val="2178128F"/>
    <w:rsid w:val="21DB1824"/>
    <w:rsid w:val="243D2BAF"/>
    <w:rsid w:val="25624A0D"/>
    <w:rsid w:val="260065CF"/>
    <w:rsid w:val="26EE020C"/>
    <w:rsid w:val="27377915"/>
    <w:rsid w:val="28C432F8"/>
    <w:rsid w:val="2908660C"/>
    <w:rsid w:val="29EE4298"/>
    <w:rsid w:val="2B040626"/>
    <w:rsid w:val="2BCE4113"/>
    <w:rsid w:val="2D45006B"/>
    <w:rsid w:val="2DA125B5"/>
    <w:rsid w:val="2E507217"/>
    <w:rsid w:val="2F5F6513"/>
    <w:rsid w:val="30756348"/>
    <w:rsid w:val="30AC7AA1"/>
    <w:rsid w:val="311A62AE"/>
    <w:rsid w:val="31617929"/>
    <w:rsid w:val="34CE7746"/>
    <w:rsid w:val="37337E22"/>
    <w:rsid w:val="375C0B2C"/>
    <w:rsid w:val="38503901"/>
    <w:rsid w:val="38E964C0"/>
    <w:rsid w:val="393005BA"/>
    <w:rsid w:val="39B33141"/>
    <w:rsid w:val="3A5E6A3B"/>
    <w:rsid w:val="3AA220CC"/>
    <w:rsid w:val="3B026345"/>
    <w:rsid w:val="3C6528DA"/>
    <w:rsid w:val="404B39BB"/>
    <w:rsid w:val="434047DF"/>
    <w:rsid w:val="445D78F4"/>
    <w:rsid w:val="457E4EC9"/>
    <w:rsid w:val="49B7671B"/>
    <w:rsid w:val="4A9D691C"/>
    <w:rsid w:val="4AB206DA"/>
    <w:rsid w:val="4CAF69D9"/>
    <w:rsid w:val="4D875869"/>
    <w:rsid w:val="4DBF5F58"/>
    <w:rsid w:val="4F0F1136"/>
    <w:rsid w:val="51A55FBC"/>
    <w:rsid w:val="53982DE7"/>
    <w:rsid w:val="545D3F2B"/>
    <w:rsid w:val="54CA6166"/>
    <w:rsid w:val="55136059"/>
    <w:rsid w:val="5521044D"/>
    <w:rsid w:val="563219DC"/>
    <w:rsid w:val="5789053E"/>
    <w:rsid w:val="58EB3076"/>
    <w:rsid w:val="59107DD4"/>
    <w:rsid w:val="59175C5E"/>
    <w:rsid w:val="5A913FFD"/>
    <w:rsid w:val="5A97056A"/>
    <w:rsid w:val="5AA87D0B"/>
    <w:rsid w:val="5BFB3FF5"/>
    <w:rsid w:val="5C5F0BD8"/>
    <w:rsid w:val="5C725192"/>
    <w:rsid w:val="5D2063DE"/>
    <w:rsid w:val="5E21530D"/>
    <w:rsid w:val="5EB76EB3"/>
    <w:rsid w:val="5FCF64B6"/>
    <w:rsid w:val="60E2195A"/>
    <w:rsid w:val="61456DD3"/>
    <w:rsid w:val="63EC26A1"/>
    <w:rsid w:val="643505D3"/>
    <w:rsid w:val="643E0124"/>
    <w:rsid w:val="65073311"/>
    <w:rsid w:val="65227DAD"/>
    <w:rsid w:val="666A3350"/>
    <w:rsid w:val="671D3409"/>
    <w:rsid w:val="68EB016B"/>
    <w:rsid w:val="69E435C6"/>
    <w:rsid w:val="6B177D6A"/>
    <w:rsid w:val="6B473F13"/>
    <w:rsid w:val="6BBF5CB8"/>
    <w:rsid w:val="6C162781"/>
    <w:rsid w:val="6C8E6A91"/>
    <w:rsid w:val="6D521360"/>
    <w:rsid w:val="6E0B36D3"/>
    <w:rsid w:val="6F0A1A9E"/>
    <w:rsid w:val="6F456FCC"/>
    <w:rsid w:val="6FCB0B30"/>
    <w:rsid w:val="7098355B"/>
    <w:rsid w:val="70A3739A"/>
    <w:rsid w:val="729C59F8"/>
    <w:rsid w:val="72EC4EB5"/>
    <w:rsid w:val="73B04993"/>
    <w:rsid w:val="7440184F"/>
    <w:rsid w:val="74777509"/>
    <w:rsid w:val="74F078B1"/>
    <w:rsid w:val="75224080"/>
    <w:rsid w:val="76020A25"/>
    <w:rsid w:val="765B104D"/>
    <w:rsid w:val="77DE1308"/>
    <w:rsid w:val="78A55CC0"/>
    <w:rsid w:val="79491202"/>
    <w:rsid w:val="7986033E"/>
    <w:rsid w:val="798814B7"/>
    <w:rsid w:val="79F568CA"/>
    <w:rsid w:val="7A8C2730"/>
    <w:rsid w:val="7B4F6A6E"/>
    <w:rsid w:val="7BC11EB9"/>
    <w:rsid w:val="7DF942BB"/>
    <w:rsid w:val="7E8422E2"/>
    <w:rsid w:val="7EEF160B"/>
    <w:rsid w:val="7F59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ind w:left="420" w:leftChars="200"/>
    </w:pPr>
    <w:rPr>
      <w:rFonts w:ascii="Calibri" w:hAnsi="Calibri"/>
    </w:rPr>
  </w:style>
  <w:style w:type="paragraph" w:styleId="4">
    <w:name w:val="Plain Text"/>
    <w:basedOn w:val="1"/>
    <w:link w:val="20"/>
    <w:qFormat/>
    <w:uiPriority w:val="0"/>
    <w:rPr>
      <w:rFonts w:ascii="宋体" w:hAnsi="Courier New" w:cs="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qFormat/>
    <w:uiPriority w:val="0"/>
    <w:rPr>
      <w:color w:val="0000FF" w:themeColor="hyperlink"/>
      <w:u w:val="single"/>
    </w:rPr>
  </w:style>
  <w:style w:type="paragraph" w:customStyle="1" w:styleId="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1"/>
    </w:rPr>
  </w:style>
  <w:style w:type="paragraph" w:customStyle="1" w:styleId="17">
    <w:name w:val="Char Char Char Char"/>
    <w:basedOn w:val="1"/>
    <w:qFormat/>
    <w:uiPriority w:val="0"/>
    <w:rPr>
      <w:rFonts w:ascii="宋体" w:hAnsi="宋体" w:cs="Courier New"/>
      <w:sz w:val="32"/>
      <w:szCs w:val="32"/>
    </w:rPr>
  </w:style>
  <w:style w:type="paragraph" w:customStyle="1" w:styleId="18">
    <w:name w:val="Char Char Char Char Char Char Char Char Char Char Char Char Char Char Char Char"/>
    <w:basedOn w:val="1"/>
    <w:qFormat/>
    <w:uiPriority w:val="0"/>
    <w:pPr>
      <w:adjustRightInd w:val="0"/>
      <w:spacing w:line="360" w:lineRule="auto"/>
    </w:pPr>
    <w:rPr>
      <w:szCs w:val="20"/>
    </w:rPr>
  </w:style>
  <w:style w:type="paragraph" w:customStyle="1" w:styleId="19">
    <w:name w:val="Normal (Web)1"/>
    <w:basedOn w:val="1"/>
    <w:qFormat/>
    <w:uiPriority w:val="0"/>
    <w:pPr>
      <w:jc w:val="left"/>
    </w:pPr>
    <w:rPr>
      <w:rFonts w:ascii="Calibri" w:hAnsi="Calibri"/>
      <w:kern w:val="0"/>
      <w:sz w:val="24"/>
    </w:rPr>
  </w:style>
  <w:style w:type="character" w:customStyle="1" w:styleId="20">
    <w:name w:val="纯文本 Char"/>
    <w:basedOn w:val="12"/>
    <w:link w:val="4"/>
    <w:qFormat/>
    <w:uiPriority w:val="0"/>
    <w:rPr>
      <w:rFonts w:ascii="宋体" w:hAnsi="Courier New" w:cs="Courier New"/>
      <w:kern w:val="2"/>
      <w:sz w:val="21"/>
      <w:szCs w:val="21"/>
    </w:rPr>
  </w:style>
  <w:style w:type="paragraph" w:customStyle="1" w:styleId="21">
    <w:name w:val="Other|1"/>
    <w:basedOn w:val="1"/>
    <w:qFormat/>
    <w:uiPriority w:val="0"/>
    <w:pPr>
      <w:spacing w:line="230" w:lineRule="exact"/>
      <w:jc w:val="center"/>
    </w:pPr>
    <w:rPr>
      <w:rFonts w:ascii="MingLiU" w:hAnsi="MingLiU" w:eastAsia="MingLiU" w:cs="MingLiU"/>
      <w:sz w:val="18"/>
      <w:szCs w:val="18"/>
      <w:lang w:val="zh-TW" w:eastAsia="zh-TW" w:bidi="zh-TW"/>
    </w:rPr>
  </w:style>
  <w:style w:type="character" w:customStyle="1" w:styleId="22">
    <w:name w:val="页脚 Char"/>
    <w:basedOn w:val="12"/>
    <w:link w:val="7"/>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jy</Company>
  <Pages>20</Pages>
  <Words>8694</Words>
  <Characters>10122</Characters>
  <Lines>77</Lines>
  <Paragraphs>21</Paragraphs>
  <TotalTime>7</TotalTime>
  <ScaleCrop>false</ScaleCrop>
  <LinksUpToDate>false</LinksUpToDate>
  <CharactersWithSpaces>10123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2021-12-16T08:39:00Z</dcterms:created>
  <dc:creator>jy</dc:creator>
  <cp:lastModifiedBy>Administrator</cp:lastModifiedBy>
  <cp:lastPrinted>2021-12-14T08:18:00Z</cp:lastPrinted>
  <dcterms:modified xsi:type="dcterms:W3CDTF">2026-01-13T08:27:12Z</dcterms:modified>
  <dc:title>揭府办〔2003〕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eyJoZGlkIjoiZTlmNWM3ZDgyNzU5YmQwNzkxY2I5ZGJlYzhiZmU4ZWQifQ==</vt:lpwstr>
  </property>
  <property fmtid="{D5CDD505-2E9C-101B-9397-08002B2CF9AE}" pid="4" name="ICV">
    <vt:lpwstr>23E9896661DD48A9813E0EE9FD310199_12</vt:lpwstr>
  </property>
</Properties>
</file>