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color w:val="000000" w:themeColor="text1"/>
          <w:sz w:val="44"/>
          <w:szCs w:val="44"/>
          <w14:textFill>
            <w14:solidFill>
              <w14:schemeClr w14:val="tx1"/>
            </w14:solidFill>
          </w14:textFill>
        </w:rPr>
      </w:pPr>
      <w:bookmarkStart w:id="0" w:name="_GoBack"/>
      <w:bookmarkEnd w:id="0"/>
      <w:r>
        <w:rPr>
          <w:rFonts w:hint="eastAsia" w:asciiTheme="majorEastAsia" w:hAnsiTheme="majorEastAsia" w:eastAsiaTheme="majorEastAsia"/>
          <w:b/>
          <w:color w:val="000000" w:themeColor="text1"/>
          <w:sz w:val="44"/>
          <w:szCs w:val="44"/>
          <w:lang w:eastAsia="zh-CN"/>
          <w14:textFill>
            <w14:solidFill>
              <w14:schemeClr w14:val="tx1"/>
            </w14:solidFill>
          </w14:textFill>
        </w:rPr>
        <w:t>揭阳</w:t>
      </w:r>
      <w:r>
        <w:rPr>
          <w:rFonts w:hint="eastAsia" w:asciiTheme="majorEastAsia" w:hAnsiTheme="majorEastAsia" w:eastAsiaTheme="majorEastAsia"/>
          <w:b/>
          <w:color w:val="000000" w:themeColor="text1"/>
          <w:sz w:val="44"/>
          <w:szCs w:val="44"/>
          <w14:textFill>
            <w14:solidFill>
              <w14:schemeClr w14:val="tx1"/>
            </w14:solidFill>
          </w14:textFill>
        </w:rPr>
        <w:t>市高危体育行政处罚自由裁量权实施标准</w:t>
      </w:r>
    </w:p>
    <w:tbl>
      <w:tblPr>
        <w:tblStyle w:val="5"/>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7"/>
        <w:gridCol w:w="2290"/>
        <w:gridCol w:w="3402"/>
        <w:gridCol w:w="1134"/>
        <w:gridCol w:w="1134"/>
        <w:gridCol w:w="4961"/>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0" w:hRule="atLeast"/>
          <w:tblHeader/>
          <w:jc w:val="center"/>
        </w:trPr>
        <w:tc>
          <w:tcPr>
            <w:tcW w:w="277"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序号</w:t>
            </w:r>
          </w:p>
        </w:tc>
        <w:tc>
          <w:tcPr>
            <w:tcW w:w="2290"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违法行为</w:t>
            </w:r>
          </w:p>
        </w:tc>
        <w:tc>
          <w:tcPr>
            <w:tcW w:w="3402"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法律依据</w:t>
            </w:r>
          </w:p>
        </w:tc>
        <w:tc>
          <w:tcPr>
            <w:tcW w:w="1134"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违反条款</w:t>
            </w:r>
          </w:p>
        </w:tc>
        <w:tc>
          <w:tcPr>
            <w:tcW w:w="1134"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罚则</w:t>
            </w:r>
          </w:p>
        </w:tc>
        <w:tc>
          <w:tcPr>
            <w:tcW w:w="4961"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裁量标准</w:t>
            </w:r>
          </w:p>
        </w:tc>
        <w:tc>
          <w:tcPr>
            <w:tcW w:w="790"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662" w:hRule="atLeast"/>
          <w:jc w:val="center"/>
        </w:trPr>
        <w:tc>
          <w:tcPr>
            <w:tcW w:w="277"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w:t>
            </w:r>
          </w:p>
        </w:tc>
        <w:tc>
          <w:tcPr>
            <w:tcW w:w="2290"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未经批准，擅自经营高危险性体育项目</w:t>
            </w:r>
          </w:p>
        </w:tc>
        <w:tc>
          <w:tcPr>
            <w:tcW w:w="3402"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《全民健身条例》第三十六条： 未经批准，擅自经营高危险性体育项目的，由县级以上地方人民政府体育主管部门按照管理权限责令改正；有违法所得的，没收违法所得；违法所得不足３万元或者没有违法所得的，并处３万元以上１０万元以下的罚款；违法所得３万元以上的，并处违法所得２倍以上５倍以下的罚款。</w:t>
            </w:r>
          </w:p>
        </w:tc>
        <w:tc>
          <w:tcPr>
            <w:tcW w:w="1134"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《全民健身条例》第三十二条</w:t>
            </w:r>
          </w:p>
        </w:tc>
        <w:tc>
          <w:tcPr>
            <w:tcW w:w="1134"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《全民健身条例》第三十六条  </w:t>
            </w:r>
          </w:p>
        </w:tc>
        <w:tc>
          <w:tcPr>
            <w:tcW w:w="4961"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一、违法所得不足３万元或者没有违法所得的：没收违法所得，并处罚款：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1、2年内第1次查处的，并处3万元罚款：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2、2年内第2次查处的，并处5万元罚款；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3、2年内3次以上查处的，或发生安全事故并在社会上造成恶劣影响的，或有其他严重情节的，并处10万元罚款。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二、违法所得３万元以上的：没收违法所得，并处罚款：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1、2年内第1次查处的，并处违法所得２倍罚款：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2、2年内第2次查处的，并处违法所得3倍罚款：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2、2年内3次以上查处的，或发生安全事故并在社会上造成恶劣影响的，或有其他严重情节的，并处违法所得5倍罚款。</w:t>
            </w:r>
          </w:p>
        </w:tc>
        <w:tc>
          <w:tcPr>
            <w:tcW w:w="7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74" w:hRule="atLeast"/>
          <w:jc w:val="center"/>
        </w:trPr>
        <w:tc>
          <w:tcPr>
            <w:tcW w:w="277"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w:t>
            </w:r>
          </w:p>
        </w:tc>
        <w:tc>
          <w:tcPr>
            <w:tcW w:w="2290"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高危险性体育项目经营者取得许可证后，不再符合规定仍经营该体育项目</w:t>
            </w:r>
          </w:p>
        </w:tc>
        <w:tc>
          <w:tcPr>
            <w:tcW w:w="3402"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《全民健身条例》第三十七条： 高危险性体育项目经营者取得许可证后，不再符合本条例规定条件仍经营该体育项目的，由县级以上地方人民政府体育主管部门按照管理权限责令改正；有违法所得的，没收违法所得；违法所得不足３万元或者没有违法所得的，并处３万元以上１０万元以下的罚款；违法所得３万元以上的，并处违法所得２倍以上５倍以下的罚款；拒不改正的，由原发证机关吊销许可证。</w:t>
            </w:r>
          </w:p>
        </w:tc>
        <w:tc>
          <w:tcPr>
            <w:tcW w:w="1134"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第三十二条</w:t>
            </w:r>
          </w:p>
        </w:tc>
        <w:tc>
          <w:tcPr>
            <w:tcW w:w="1134"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第三十七条   </w:t>
            </w:r>
          </w:p>
        </w:tc>
        <w:tc>
          <w:tcPr>
            <w:tcW w:w="4961"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一、违法所得不足３万元或者没有违法所得的：没收违法所得，并处罚款：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1、并处3万元罚款：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2、发生安全事故并在社会上造成严重影响的，或有其他严重情节的，并处10万元罚款。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二、违法所得３万元以上的：没收违法所得，并处罚款：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1、并处违法所得２倍罚款：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2、发生安全事故并在社会上造成严重影响的，或有其他严重情节的，并处违法所得5倍罚款。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三、拒不改正的，或者在社会上造成恶劣影响的，吊销许可证。</w:t>
            </w:r>
          </w:p>
        </w:tc>
        <w:tc>
          <w:tcPr>
            <w:tcW w:w="7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658" w:hRule="atLeast"/>
          <w:jc w:val="center"/>
        </w:trPr>
        <w:tc>
          <w:tcPr>
            <w:tcW w:w="277"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lang w:eastAsia="zh-CN"/>
                <w14:textFill>
                  <w14:solidFill>
                    <w14:schemeClr w14:val="tx1"/>
                  </w14:solidFill>
                </w14:textFill>
              </w:rPr>
            </w:pPr>
            <w:r>
              <w:rPr>
                <w:rFonts w:hint="eastAsia" w:ascii="仿宋_GB2312" w:eastAsia="仿宋_GB2312"/>
                <w:color w:val="000000" w:themeColor="text1"/>
                <w:sz w:val="21"/>
                <w:szCs w:val="21"/>
                <w:lang w:val="en-US" w:eastAsia="zh-CN"/>
                <w14:textFill>
                  <w14:solidFill>
                    <w14:schemeClr w14:val="tx1"/>
                  </w14:solidFill>
                </w14:textFill>
              </w:rPr>
              <w:t>3</w:t>
            </w:r>
          </w:p>
        </w:tc>
        <w:tc>
          <w:tcPr>
            <w:tcW w:w="2290"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未经批准，擅自经营高危险性体育项目</w:t>
            </w:r>
          </w:p>
        </w:tc>
        <w:tc>
          <w:tcPr>
            <w:tcW w:w="3402"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《经营高危险性体育项目许可管理办法》 第二十六条： 未经县级以上地方人民政府体育主管部门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tc>
        <w:tc>
          <w:tcPr>
            <w:tcW w:w="1134"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《经营高危险性体育项目许可管理办法》第七条</w:t>
            </w:r>
          </w:p>
        </w:tc>
        <w:tc>
          <w:tcPr>
            <w:tcW w:w="1134"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《经营高危险性体育项目许可管理办法》第二十六条</w:t>
            </w:r>
          </w:p>
        </w:tc>
        <w:tc>
          <w:tcPr>
            <w:tcW w:w="4961" w:type="dxa"/>
            <w:shd w:val="clear" w:color="auto" w:fill="auto"/>
            <w:tcMar>
              <w:top w:w="15" w:type="dxa"/>
              <w:left w:w="15" w:type="dxa"/>
              <w:bottom w:w="0" w:type="dxa"/>
              <w:right w:w="15" w:type="dxa"/>
            </w:tcMar>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一、违法所得不足３万元或者没有违法所得的：没收违法所得，并处罚款：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1、2年内第1次查处的，并处3万元罚款：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2、2年内第2次查处的，并处5万元罚款；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3、2年内3次以上查处的，或发生安全事故并在社会上造成恶劣影响的，或有其他严重情节的，并处10万元罚款。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二、违法所得３万元以上的：没收违法所得，并处罚款：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1、2年内第1次查处的，并处违法所得２倍罚款：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2、2年内第2次查处的，并处违法所得3倍罚款：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2、2年内3次以上查处的，或发生安全事故并在社会上造成恶劣影响的，或有其他严重情节的，并处违法所得5倍罚款。</w:t>
            </w:r>
          </w:p>
        </w:tc>
        <w:tc>
          <w:tcPr>
            <w:tcW w:w="7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941" w:hRule="atLeast"/>
          <w:jc w:val="center"/>
        </w:trPr>
        <w:tc>
          <w:tcPr>
            <w:tcW w:w="277"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lang w:val="en-US" w:eastAsia="zh-CN"/>
                <w14:textFill>
                  <w14:solidFill>
                    <w14:schemeClr w14:val="tx1"/>
                  </w14:solidFill>
                </w14:textFill>
              </w:rPr>
            </w:pPr>
            <w:r>
              <w:rPr>
                <w:rFonts w:hint="eastAsia" w:ascii="仿宋_GB2312" w:eastAsia="仿宋_GB2312"/>
                <w:color w:val="000000" w:themeColor="text1"/>
                <w:sz w:val="21"/>
                <w:szCs w:val="21"/>
                <w:lang w:val="en-US" w:eastAsia="zh-CN"/>
                <w14:textFill>
                  <w14:solidFill>
                    <w14:schemeClr w14:val="tx1"/>
                  </w14:solidFill>
                </w14:textFill>
              </w:rPr>
              <w:t>4</w:t>
            </w:r>
          </w:p>
        </w:tc>
        <w:tc>
          <w:tcPr>
            <w:tcW w:w="22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经营者取得许可证后，不再符合规定条件仍经营该体育项目</w:t>
            </w:r>
          </w:p>
        </w:tc>
        <w:tc>
          <w:tcPr>
            <w:tcW w:w="3402"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《经营高危险性体育项目许可管理办法》 第二十七条：经营者取得许可证后，不再符合本办法规定条件仍经营该体育项目的，由县级以上地方人民政府体育主管部门按照管理权限责令限期改正；有违法所得的，没收违法所得；违法所得不足3万元或者没有违法所得的，并处3万元以上10万元以下的罚款；违法所得3万元以上的，并处违法所得2倍以上5倍以下的罚款；拒不改正的，由做出行政许可决定的体育主管部门吊销许可证。</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第六条</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第二十七条</w:t>
            </w:r>
          </w:p>
        </w:tc>
        <w:tc>
          <w:tcPr>
            <w:tcW w:w="4961"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一、违法所得不足３万元或者没有违法所得的：没收违法所得，并处罚款：</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1、并处3万元罚款：</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2、发生安全事故并在社会上造成严重影响的，或有其他严重情节的，并处10万元罚款。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二、违法所得３万元以上的：没收违法所得，并处罚款：</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1、并处违法所得２倍罚款：</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2、发生安全事故并在社会上造成严重影响的，或有其他严重情节的，并处违法所得5倍罚款。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三、拒不改正的，或者在社会上造成恶劣影响的，吊销许可证。</w:t>
            </w:r>
          </w:p>
        </w:tc>
        <w:tc>
          <w:tcPr>
            <w:tcW w:w="7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190" w:hRule="atLeast"/>
          <w:jc w:val="center"/>
        </w:trPr>
        <w:tc>
          <w:tcPr>
            <w:tcW w:w="277"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lang w:val="en-US" w:eastAsia="zh-CN"/>
                <w14:textFill>
                  <w14:solidFill>
                    <w14:schemeClr w14:val="tx1"/>
                  </w14:solidFill>
                </w14:textFill>
              </w:rPr>
            </w:pPr>
            <w:r>
              <w:rPr>
                <w:rFonts w:hint="eastAsia" w:ascii="仿宋_GB2312" w:eastAsia="仿宋_GB2312"/>
                <w:color w:val="000000" w:themeColor="text1"/>
                <w:sz w:val="21"/>
                <w:szCs w:val="21"/>
                <w:lang w:val="en-US" w:eastAsia="zh-CN"/>
                <w14:textFill>
                  <w14:solidFill>
                    <w14:schemeClr w14:val="tx1"/>
                  </w14:solidFill>
                </w14:textFill>
              </w:rPr>
              <w:t>5</w:t>
            </w:r>
          </w:p>
        </w:tc>
        <w:tc>
          <w:tcPr>
            <w:tcW w:w="22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经营者未将许可证、安全生产岗位责任制、安全操作规程、体育设施、设备、器材的使用说明及安全检查等制度、社会体育指导人员和救助人员名录及照片张贴于经营场所的醒目位置</w:t>
            </w:r>
          </w:p>
        </w:tc>
        <w:tc>
          <w:tcPr>
            <w:tcW w:w="3402"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《经营高危险性体育项目许可管理办法》 第二十八条： 违反本办法第二十条、第二十一条、第二十二条、第二十三条规定，由县级以上地方人民政府体育主管部门责令限期改正，逾期未改正的，处2万元以下的罚款。</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第二十八条</w:t>
            </w:r>
          </w:p>
        </w:tc>
        <w:tc>
          <w:tcPr>
            <w:tcW w:w="4961" w:type="dxa"/>
            <w:vMerge w:val="restart"/>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1、2年内第1次查处的：责令限期改正；</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2、2年内第2次查处的：处5000元罚款；</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3、2年内3次以上查处的，或发生安全事故并在社会上造成恶劣影响的，或有其他严重情节的：处2万元罚款。</w:t>
            </w:r>
            <w:r>
              <w:rPr>
                <w:rFonts w:hint="eastAsia" w:ascii="仿宋_GB2312" w:eastAsia="仿宋_GB2312"/>
                <w:color w:val="000000" w:themeColor="text1"/>
                <w:sz w:val="21"/>
                <w:szCs w:val="21"/>
                <w14:textFill>
                  <w14:solidFill>
                    <w14:schemeClr w14:val="tx1"/>
                  </w14:solidFill>
                </w14:textFill>
              </w:rPr>
              <w:t xml:space="preserve">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tc>
        <w:tc>
          <w:tcPr>
            <w:tcW w:w="7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565" w:hRule="atLeast"/>
          <w:jc w:val="center"/>
        </w:trPr>
        <w:tc>
          <w:tcPr>
            <w:tcW w:w="277"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lang w:val="en-US" w:eastAsia="zh-CN"/>
                <w14:textFill>
                  <w14:solidFill>
                    <w14:schemeClr w14:val="tx1"/>
                  </w14:solidFill>
                </w14:textFill>
              </w:rPr>
            </w:pPr>
            <w:r>
              <w:rPr>
                <w:rFonts w:hint="eastAsia" w:ascii="仿宋_GB2312" w:eastAsia="仿宋_GB2312"/>
                <w:color w:val="000000" w:themeColor="text1"/>
                <w:sz w:val="21"/>
                <w:szCs w:val="21"/>
                <w:lang w:val="en-US" w:eastAsia="zh-CN"/>
                <w14:textFill>
                  <w14:solidFill>
                    <w14:schemeClr w14:val="tx1"/>
                  </w14:solidFill>
                </w14:textFill>
              </w:rPr>
              <w:t>6</w:t>
            </w:r>
          </w:p>
        </w:tc>
        <w:tc>
          <w:tcPr>
            <w:tcW w:w="22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高危险性体育项目可能危及消费者安全的事项和对参与者年龄、身体、技术的特殊要求，经营者未在经营场所中做出真实说明和明确警示，并采取措施防止危害发生</w:t>
            </w:r>
          </w:p>
        </w:tc>
        <w:tc>
          <w:tcPr>
            <w:tcW w:w="3402"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《经营高危险性体育项目许可管理办法》 第二十八条： 违反本办法第二十条、第二十一条、第二十二条、第二十三条规定，由县级以上地方人民政府体育主管部门责令限期改正，逾期未改正的，处2万元以下的罚款。</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第二十八条</w:t>
            </w:r>
          </w:p>
        </w:tc>
        <w:tc>
          <w:tcPr>
            <w:tcW w:w="4961" w:type="dxa"/>
            <w:vMerge w:val="continue"/>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c>
          <w:tcPr>
            <w:tcW w:w="7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145" w:hRule="atLeast"/>
          <w:jc w:val="center"/>
        </w:trPr>
        <w:tc>
          <w:tcPr>
            <w:tcW w:w="277"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lang w:val="en-US" w:eastAsia="zh-CN"/>
                <w14:textFill>
                  <w14:solidFill>
                    <w14:schemeClr w14:val="tx1"/>
                  </w14:solidFill>
                </w14:textFill>
              </w:rPr>
            </w:pPr>
            <w:r>
              <w:rPr>
                <w:rFonts w:hint="eastAsia" w:ascii="仿宋_GB2312" w:eastAsia="仿宋_GB2312"/>
                <w:color w:val="000000" w:themeColor="text1"/>
                <w:sz w:val="21"/>
                <w:szCs w:val="21"/>
                <w:lang w:val="en-US" w:eastAsia="zh-CN"/>
                <w14:textFill>
                  <w14:solidFill>
                    <w14:schemeClr w14:val="tx1"/>
                  </w14:solidFill>
                </w14:textFill>
              </w:rPr>
              <w:t>7</w:t>
            </w:r>
          </w:p>
        </w:tc>
        <w:tc>
          <w:tcPr>
            <w:tcW w:w="22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经营者未按照相关规定做好体育设施、设备、器材的维护保养及定期检测</w:t>
            </w:r>
          </w:p>
        </w:tc>
        <w:tc>
          <w:tcPr>
            <w:tcW w:w="3402"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《经营高危险性体育项目许可管理办法》 第二十八条： 违反本办法第二十条、第二十一条、第二十二条、第二十三条规定，由县级以上地方人民政府体育主管部门责令限期改正，逾期未改正的，处2万元以下的罚款。</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第二十八条</w:t>
            </w:r>
          </w:p>
        </w:tc>
        <w:tc>
          <w:tcPr>
            <w:tcW w:w="4961" w:type="dxa"/>
            <w:vMerge w:val="continue"/>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c>
          <w:tcPr>
            <w:tcW w:w="7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520" w:hRule="atLeast"/>
          <w:jc w:val="center"/>
        </w:trPr>
        <w:tc>
          <w:tcPr>
            <w:tcW w:w="277" w:type="dxa"/>
            <w:shd w:val="clear" w:color="auto" w:fill="auto"/>
            <w:tcMar>
              <w:top w:w="15" w:type="dxa"/>
              <w:left w:w="15" w:type="dxa"/>
              <w:bottom w:w="0" w:type="dxa"/>
              <w:right w:w="15" w:type="dxa"/>
            </w:tcMar>
            <w:vAlign w:val="center"/>
          </w:tcPr>
          <w:p>
            <w:pPr>
              <w:jc w:val="both"/>
              <w:rPr>
                <w:rFonts w:hint="eastAsia" w:ascii="仿宋_GB2312" w:eastAsia="仿宋_GB2312"/>
                <w:color w:val="000000" w:themeColor="text1"/>
                <w:sz w:val="21"/>
                <w:szCs w:val="21"/>
                <w:lang w:val="en-US" w:eastAsia="zh-CN"/>
                <w14:textFill>
                  <w14:solidFill>
                    <w14:schemeClr w14:val="tx1"/>
                  </w14:solidFill>
                </w14:textFill>
              </w:rPr>
            </w:pPr>
            <w:r>
              <w:rPr>
                <w:rFonts w:hint="eastAsia" w:ascii="仿宋_GB2312" w:eastAsia="仿宋_GB2312"/>
                <w:color w:val="000000" w:themeColor="text1"/>
                <w:sz w:val="21"/>
                <w:szCs w:val="21"/>
                <w:lang w:val="en-US" w:eastAsia="zh-CN"/>
                <w14:textFill>
                  <w14:solidFill>
                    <w14:schemeClr w14:val="tx1"/>
                  </w14:solidFill>
                </w14:textFill>
              </w:rPr>
              <w:t>8</w:t>
            </w:r>
          </w:p>
        </w:tc>
        <w:tc>
          <w:tcPr>
            <w:tcW w:w="22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经营者未按规定设置足够的社会体育指导人员和救助人员，或社会体育指导人员和救助人员未持证上岗，并佩戴能标明其身份的醒目标识</w:t>
            </w:r>
          </w:p>
        </w:tc>
        <w:tc>
          <w:tcPr>
            <w:tcW w:w="3402"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《经营高危险性体育项目许可管理办法》 第二十八条： 违反本办法第二十条、第二十一条、第二十二条、第二十三条规定，由县级以上地方人民政府体育主管部门责令限期改正，逾期未改正的，处2万元以下的罚款。</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第二十八条</w:t>
            </w:r>
          </w:p>
        </w:tc>
        <w:tc>
          <w:tcPr>
            <w:tcW w:w="4961"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1、2年内第1次查处的：责令限期改正；</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2、2年内第2次查处的：处5000元罚款；</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3、2年内3次以上查处的，或发生安全事故并在社会上造成恶劣影响的，或有其他严重情节的：处2万元罚款。</w:t>
            </w:r>
          </w:p>
        </w:tc>
        <w:tc>
          <w:tcPr>
            <w:tcW w:w="7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305" w:hRule="atLeast"/>
          <w:jc w:val="center"/>
        </w:trPr>
        <w:tc>
          <w:tcPr>
            <w:tcW w:w="277"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lang w:val="en-US" w:eastAsia="zh-CN"/>
                <w14:textFill>
                  <w14:solidFill>
                    <w14:schemeClr w14:val="tx1"/>
                  </w14:solidFill>
                </w14:textFill>
              </w:rPr>
            </w:pPr>
            <w:r>
              <w:rPr>
                <w:rFonts w:hint="eastAsia" w:ascii="仿宋_GB2312" w:eastAsia="仿宋_GB2312"/>
                <w:color w:val="000000" w:themeColor="text1"/>
                <w:sz w:val="21"/>
                <w:szCs w:val="21"/>
                <w:lang w:val="en-US" w:eastAsia="zh-CN"/>
                <w14:textFill>
                  <w14:solidFill>
                    <w14:schemeClr w14:val="tx1"/>
                  </w14:solidFill>
                </w14:textFill>
              </w:rPr>
              <w:t>9</w:t>
            </w:r>
          </w:p>
        </w:tc>
        <w:tc>
          <w:tcPr>
            <w:tcW w:w="22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经营者对体育执法人员依法履行监督检查职责，不予以配合，拒绝、阻挠</w:t>
            </w:r>
          </w:p>
        </w:tc>
        <w:tc>
          <w:tcPr>
            <w:tcW w:w="3402"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《经营高危险性体育项目许可管理办法》第二十九条： 违反本办法第二十四条规定，由县级以上地方人民政府体育主管部门责令改正，处3万元以下的罚款。</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第二十四条</w:t>
            </w:r>
          </w:p>
        </w:tc>
        <w:tc>
          <w:tcPr>
            <w:tcW w:w="1134"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第二十九条</w:t>
            </w:r>
          </w:p>
        </w:tc>
        <w:tc>
          <w:tcPr>
            <w:tcW w:w="4961"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1、2年内第1次查处的：处2000元罚款；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2、2年内第2次查处的：处1万元罚款；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3、2年内3次以上查处的，或发生安全事故并在社会上造成恶劣影响的，或有其他严重情节的：处3万元罚款。</w:t>
            </w:r>
          </w:p>
        </w:tc>
        <w:tc>
          <w:tcPr>
            <w:tcW w:w="79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hidden/>
        </w:trPr>
        <w:tc>
          <w:tcPr>
            <w:tcW w:w="277" w:type="dxa"/>
            <w:vAlign w:val="center"/>
          </w:tcPr>
          <w:p>
            <w:pPr>
              <w:jc w:val="center"/>
              <w:rPr>
                <w:rFonts w:ascii="仿宋_GB2312" w:eastAsia="仿宋_GB2312"/>
                <w:vanish/>
                <w:color w:val="000000" w:themeColor="text1"/>
                <w:sz w:val="21"/>
                <w:szCs w:val="21"/>
                <w14:textFill>
                  <w14:solidFill>
                    <w14:schemeClr w14:val="tx1"/>
                  </w14:solidFill>
                </w14:textFill>
              </w:rPr>
            </w:pPr>
          </w:p>
        </w:tc>
        <w:tc>
          <w:tcPr>
            <w:tcW w:w="2290" w:type="dxa"/>
            <w:vAlign w:val="center"/>
          </w:tcPr>
          <w:p>
            <w:pPr>
              <w:rPr>
                <w:rFonts w:ascii="仿宋_GB2312" w:eastAsia="仿宋_GB2312"/>
                <w:vanish/>
                <w:color w:val="000000" w:themeColor="text1"/>
                <w:sz w:val="21"/>
                <w:szCs w:val="21"/>
                <w14:textFill>
                  <w14:solidFill>
                    <w14:schemeClr w14:val="tx1"/>
                  </w14:solidFill>
                </w14:textFill>
              </w:rPr>
            </w:pPr>
          </w:p>
        </w:tc>
        <w:tc>
          <w:tcPr>
            <w:tcW w:w="3402" w:type="dxa"/>
            <w:vAlign w:val="center"/>
          </w:tcPr>
          <w:p>
            <w:pPr>
              <w:rPr>
                <w:rFonts w:ascii="仿宋_GB2312" w:eastAsia="仿宋_GB2312"/>
                <w:vanish/>
                <w:color w:val="000000" w:themeColor="text1"/>
                <w:sz w:val="21"/>
                <w:szCs w:val="21"/>
                <w14:textFill>
                  <w14:solidFill>
                    <w14:schemeClr w14:val="tx1"/>
                  </w14:solidFill>
                </w14:textFill>
              </w:rPr>
            </w:pPr>
          </w:p>
        </w:tc>
        <w:tc>
          <w:tcPr>
            <w:tcW w:w="1134" w:type="dxa"/>
            <w:vAlign w:val="center"/>
          </w:tcPr>
          <w:p>
            <w:pPr>
              <w:rPr>
                <w:rFonts w:ascii="仿宋_GB2312" w:eastAsia="仿宋_GB2312"/>
                <w:vanish/>
                <w:color w:val="000000" w:themeColor="text1"/>
                <w:sz w:val="21"/>
                <w:szCs w:val="21"/>
                <w14:textFill>
                  <w14:solidFill>
                    <w14:schemeClr w14:val="tx1"/>
                  </w14:solidFill>
                </w14:textFill>
              </w:rPr>
            </w:pPr>
          </w:p>
        </w:tc>
        <w:tc>
          <w:tcPr>
            <w:tcW w:w="1134" w:type="dxa"/>
            <w:vAlign w:val="center"/>
          </w:tcPr>
          <w:p>
            <w:pPr>
              <w:rPr>
                <w:rFonts w:ascii="仿宋_GB2312" w:eastAsia="仿宋_GB2312"/>
                <w:vanish/>
                <w:color w:val="000000" w:themeColor="text1"/>
                <w:sz w:val="21"/>
                <w:szCs w:val="21"/>
                <w14:textFill>
                  <w14:solidFill>
                    <w14:schemeClr w14:val="tx1"/>
                  </w14:solidFill>
                </w14:textFill>
              </w:rPr>
            </w:pPr>
          </w:p>
        </w:tc>
        <w:tc>
          <w:tcPr>
            <w:tcW w:w="4961" w:type="dxa"/>
            <w:vAlign w:val="center"/>
          </w:tcPr>
          <w:p>
            <w:pPr>
              <w:rPr>
                <w:rFonts w:ascii="仿宋_GB2312" w:eastAsia="仿宋_GB2312"/>
                <w:vanish/>
                <w:color w:val="000000" w:themeColor="text1"/>
                <w:sz w:val="21"/>
                <w:szCs w:val="21"/>
                <w14:textFill>
                  <w14:solidFill>
                    <w14:schemeClr w14:val="tx1"/>
                  </w14:solidFill>
                </w14:textFill>
              </w:rPr>
            </w:pPr>
          </w:p>
        </w:tc>
        <w:tc>
          <w:tcPr>
            <w:tcW w:w="790" w:type="dxa"/>
            <w:vAlign w:val="center"/>
          </w:tcPr>
          <w:p>
            <w:pPr>
              <w:rPr>
                <w:rFonts w:ascii="仿宋_GB2312" w:eastAsia="仿宋_GB2312"/>
                <w:vanish/>
                <w:color w:val="000000" w:themeColor="text1"/>
                <w:sz w:val="21"/>
                <w:szCs w:val="21"/>
                <w14:textFill>
                  <w14:solidFill>
                    <w14:schemeClr w14:val="tx1"/>
                  </w14:solidFill>
                </w14:textFill>
              </w:rPr>
            </w:pPr>
          </w:p>
        </w:tc>
      </w:tr>
    </w:tbl>
    <w:p>
      <w:pPr>
        <w:rPr>
          <w:rFonts w:ascii="仿宋_GB2312" w:eastAsia="仿宋_GB2312"/>
          <w:color w:val="000000" w:themeColor="text1"/>
          <w:sz w:val="21"/>
          <w:szCs w:val="21"/>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doNotSnapToGridInCell/>
    <w:doNotWrapTextWithPunct/>
    <w:doNotUseEastAsianBreakRules/>
    <w:growAutofit/>
    <w:useFELayout/>
    <w:compatSetting w:name="compatibilityMode" w:uri="http://schemas.microsoft.com/office/word" w:val="12"/>
  </w:compat>
  <w:rsids>
    <w:rsidRoot w:val="00BE2CFD"/>
    <w:rsid w:val="00120C70"/>
    <w:rsid w:val="0014598A"/>
    <w:rsid w:val="001F304D"/>
    <w:rsid w:val="00203F82"/>
    <w:rsid w:val="00267EAE"/>
    <w:rsid w:val="00286FB2"/>
    <w:rsid w:val="00300E29"/>
    <w:rsid w:val="0032729F"/>
    <w:rsid w:val="004811E2"/>
    <w:rsid w:val="00504911"/>
    <w:rsid w:val="00535E1B"/>
    <w:rsid w:val="00605A27"/>
    <w:rsid w:val="00623C1E"/>
    <w:rsid w:val="006A3269"/>
    <w:rsid w:val="006F2AFA"/>
    <w:rsid w:val="00734C2A"/>
    <w:rsid w:val="00792C88"/>
    <w:rsid w:val="007F244B"/>
    <w:rsid w:val="007F69DC"/>
    <w:rsid w:val="00817081"/>
    <w:rsid w:val="00870DC7"/>
    <w:rsid w:val="008D4985"/>
    <w:rsid w:val="00990336"/>
    <w:rsid w:val="009A60C4"/>
    <w:rsid w:val="009E4B4B"/>
    <w:rsid w:val="00A31CC8"/>
    <w:rsid w:val="00AD6708"/>
    <w:rsid w:val="00B15EF4"/>
    <w:rsid w:val="00B362E3"/>
    <w:rsid w:val="00B97EB0"/>
    <w:rsid w:val="00BE2CFD"/>
    <w:rsid w:val="00C04891"/>
    <w:rsid w:val="00C332F5"/>
    <w:rsid w:val="00CA39A5"/>
    <w:rsid w:val="00CA67DB"/>
    <w:rsid w:val="00CB132C"/>
    <w:rsid w:val="00D617B4"/>
    <w:rsid w:val="00DE6AB0"/>
    <w:rsid w:val="00F3403E"/>
    <w:rsid w:val="02A735C9"/>
    <w:rsid w:val="65AE11FF"/>
    <w:rsid w:val="6DB95BC4"/>
    <w:rsid w:val="742B2E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21"/>
    <w:unhideWhenUsed/>
    <w:qFormat/>
    <w:uiPriority w:val="99"/>
    <w:pPr>
      <w:tabs>
        <w:tab w:val="center" w:pos="4153"/>
        <w:tab w:val="right" w:pos="8306"/>
      </w:tabs>
      <w:snapToGrid w:val="0"/>
    </w:pPr>
    <w:rPr>
      <w:sz w:val="18"/>
      <w:szCs w:val="18"/>
    </w:rPr>
  </w:style>
  <w:style w:type="paragraph" w:styleId="3">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font523642"/>
    <w:basedOn w:val="1"/>
    <w:qFormat/>
    <w:uiPriority w:val="0"/>
    <w:pPr>
      <w:spacing w:before="100" w:beforeAutospacing="1" w:after="100" w:afterAutospacing="1"/>
    </w:pPr>
    <w:rPr>
      <w:rFonts w:ascii="仿宋_GB2312" w:eastAsia="仿宋_GB2312"/>
      <w:sz w:val="20"/>
      <w:szCs w:val="20"/>
    </w:rPr>
  </w:style>
  <w:style w:type="paragraph" w:customStyle="1" w:styleId="7">
    <w:name w:val="font623642"/>
    <w:basedOn w:val="1"/>
    <w:qFormat/>
    <w:uiPriority w:val="0"/>
    <w:pPr>
      <w:spacing w:before="100" w:beforeAutospacing="1" w:after="100" w:afterAutospacing="1"/>
    </w:pPr>
    <w:rPr>
      <w:color w:val="FF0000"/>
      <w:sz w:val="20"/>
      <w:szCs w:val="20"/>
    </w:rPr>
  </w:style>
  <w:style w:type="paragraph" w:customStyle="1" w:styleId="8">
    <w:name w:val="font723642"/>
    <w:basedOn w:val="1"/>
    <w:qFormat/>
    <w:uiPriority w:val="0"/>
    <w:pPr>
      <w:spacing w:before="100" w:beforeAutospacing="1" w:after="100" w:afterAutospacing="1"/>
    </w:pPr>
    <w:rPr>
      <w:rFonts w:ascii="仿宋_GB2312" w:eastAsia="仿宋_GB2312"/>
      <w:color w:val="008000"/>
      <w:sz w:val="20"/>
      <w:szCs w:val="20"/>
    </w:rPr>
  </w:style>
  <w:style w:type="paragraph" w:customStyle="1" w:styleId="9">
    <w:name w:val="font823642"/>
    <w:basedOn w:val="1"/>
    <w:qFormat/>
    <w:uiPriority w:val="0"/>
    <w:pPr>
      <w:spacing w:before="100" w:beforeAutospacing="1" w:after="100" w:afterAutospacing="1"/>
    </w:pPr>
    <w:rPr>
      <w:rFonts w:ascii="仿宋_GB2312" w:eastAsia="仿宋_GB2312"/>
      <w:color w:val="FF0000"/>
      <w:sz w:val="20"/>
      <w:szCs w:val="20"/>
    </w:rPr>
  </w:style>
  <w:style w:type="paragraph" w:customStyle="1" w:styleId="10">
    <w:name w:val="font923642"/>
    <w:basedOn w:val="1"/>
    <w:qFormat/>
    <w:uiPriority w:val="0"/>
    <w:pPr>
      <w:spacing w:before="100" w:beforeAutospacing="1" w:after="100" w:afterAutospacing="1"/>
    </w:pPr>
    <w:rPr>
      <w:color w:val="008000"/>
      <w:sz w:val="20"/>
      <w:szCs w:val="20"/>
    </w:rPr>
  </w:style>
  <w:style w:type="paragraph" w:customStyle="1" w:styleId="11">
    <w:name w:val="font1023642"/>
    <w:basedOn w:val="1"/>
    <w:qFormat/>
    <w:uiPriority w:val="0"/>
    <w:pPr>
      <w:spacing w:before="100" w:beforeAutospacing="1" w:after="100" w:afterAutospacing="1"/>
    </w:pPr>
    <w:rPr>
      <w:sz w:val="18"/>
      <w:szCs w:val="18"/>
    </w:rPr>
  </w:style>
  <w:style w:type="paragraph" w:customStyle="1" w:styleId="12">
    <w:name w:val="xl1523642"/>
    <w:basedOn w:val="1"/>
    <w:qFormat/>
    <w:uiPriority w:val="0"/>
    <w:pPr>
      <w:spacing w:before="100" w:beforeAutospacing="1" w:after="100" w:afterAutospacing="1"/>
      <w:textAlignment w:val="center"/>
    </w:pPr>
  </w:style>
  <w:style w:type="paragraph" w:customStyle="1" w:styleId="13">
    <w:name w:val="xl6523642"/>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14">
    <w:name w:val="xl6623642"/>
    <w:basedOn w:val="1"/>
    <w:qFormat/>
    <w:uiPriority w:val="0"/>
    <w:pPr>
      <w:spacing w:before="100" w:beforeAutospacing="1" w:after="100" w:afterAutospacing="1"/>
      <w:textAlignment w:val="center"/>
    </w:pPr>
    <w:rPr>
      <w:rFonts w:ascii="仿宋_GB2312" w:eastAsia="仿宋_GB2312"/>
      <w:color w:val="000000"/>
      <w:sz w:val="20"/>
      <w:szCs w:val="20"/>
    </w:rPr>
  </w:style>
  <w:style w:type="paragraph" w:customStyle="1" w:styleId="15">
    <w:name w:val="xl6723642"/>
    <w:basedOn w:val="1"/>
    <w:qFormat/>
    <w:uiPriority w:val="0"/>
    <w:pPr>
      <w:spacing w:before="100" w:beforeAutospacing="1" w:after="100" w:afterAutospacing="1"/>
      <w:textAlignment w:val="center"/>
    </w:pPr>
  </w:style>
  <w:style w:type="paragraph" w:customStyle="1" w:styleId="16">
    <w:name w:val="xl6823642"/>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7">
    <w:name w:val="xl6923642"/>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8">
    <w:name w:val="xl7023642"/>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sz w:val="20"/>
      <w:szCs w:val="20"/>
    </w:rPr>
  </w:style>
  <w:style w:type="paragraph" w:customStyle="1" w:styleId="19">
    <w:name w:val="xl7123642"/>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character" w:customStyle="1" w:styleId="20">
    <w:name w:val="页眉 Char"/>
    <w:basedOn w:val="4"/>
    <w:link w:val="3"/>
    <w:qFormat/>
    <w:uiPriority w:val="99"/>
    <w:rPr>
      <w:rFonts w:ascii="宋体" w:hAnsi="宋体" w:eastAsia="宋体" w:cs="宋体"/>
      <w:sz w:val="18"/>
      <w:szCs w:val="18"/>
    </w:rPr>
  </w:style>
  <w:style w:type="character" w:customStyle="1" w:styleId="21">
    <w:name w:val="页脚 Char"/>
    <w:basedOn w:val="4"/>
    <w:link w:val="2"/>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871</Words>
  <Characters>4968</Characters>
  <Lines>41</Lines>
  <Paragraphs>11</Paragraphs>
  <TotalTime>153</TotalTime>
  <ScaleCrop>false</ScaleCrop>
  <LinksUpToDate>false</LinksUpToDate>
  <CharactersWithSpaces>5828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2019-07-08T14:12:00Z</dcterms:created>
  <dc:creator>未定义</dc:creator>
  <cp:lastModifiedBy>LYJ</cp:lastModifiedBy>
  <cp:lastPrinted>2020-12-09T09:42:00Z</cp:lastPrinted>
  <dcterms:modified xsi:type="dcterms:W3CDTF">2022-06-24T08:57:56Z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