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114"/>
        </w:tabs>
        <w:spacing w:before="32"/>
        <w:ind w:left="854" w:right="0" w:firstLine="0"/>
        <w:jc w:val="left"/>
        <w:rPr>
          <w:rFonts w:hint="eastAsia" w:ascii="黑体" w:eastAsia="黑体"/>
          <w:color w:val="auto"/>
          <w:sz w:val="36"/>
          <w:lang w:eastAsia="zh-CN"/>
        </w:rPr>
      </w:pPr>
      <w:bookmarkStart w:id="0" w:name="专题1  项目涉及揭阳市饮用水源保护区环境影响评价"/>
      <w:bookmarkEnd w:id="0"/>
      <w:r>
        <w:rPr>
          <w:rFonts w:hint="eastAsia" w:ascii="黑体" w:eastAsia="黑体"/>
          <w:sz w:val="36"/>
        </w:rPr>
        <w:t>专题1</w:t>
      </w:r>
      <w:r>
        <w:rPr>
          <w:rFonts w:hint="eastAsia" w:ascii="黑体" w:eastAsia="黑体"/>
          <w:sz w:val="36"/>
        </w:rPr>
        <w:tab/>
      </w:r>
      <w:r>
        <w:rPr>
          <w:rFonts w:hint="eastAsia" w:ascii="黑体" w:eastAsia="黑体"/>
          <w:sz w:val="36"/>
        </w:rPr>
        <w:t>项目</w:t>
      </w:r>
      <w:bookmarkStart w:id="1" w:name="_GoBack"/>
      <w:r>
        <w:rPr>
          <w:rFonts w:hint="eastAsia" w:ascii="黑体" w:eastAsia="黑体"/>
          <w:color w:val="auto"/>
          <w:sz w:val="36"/>
        </w:rPr>
        <w:t>涉及严格保护岸段和大陆自然保有岸线</w:t>
      </w:r>
      <w:r>
        <w:rPr>
          <w:rFonts w:hint="eastAsia" w:ascii="黑体" w:eastAsia="黑体"/>
          <w:color w:val="auto"/>
          <w:sz w:val="36"/>
          <w:lang w:eastAsia="zh-CN"/>
        </w:rPr>
        <w:t>论证</w:t>
      </w:r>
    </w:p>
    <w:p>
      <w:pPr>
        <w:pStyle w:val="4"/>
        <w:spacing w:before="5"/>
        <w:ind w:left="0" w:firstLine="0"/>
        <w:rPr>
          <w:rFonts w:ascii="黑体"/>
          <w:color w:val="auto"/>
          <w:sz w:val="28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right="0" w:rightChars="0" w:firstLine="562" w:firstLineChars="200"/>
        <w:textAlignment w:val="auto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1、概述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right="0" w:rightChars="0" w:firstLine="442" w:firstLineChars="200"/>
        <w:textAlignment w:val="auto"/>
        <w:rPr>
          <w:rFonts w:hint="default" w:eastAsia="宋体"/>
          <w:b/>
          <w:bCs/>
          <w:color w:val="auto"/>
          <w:lang w:val="en-US" w:eastAsia="zh-CN"/>
        </w:rPr>
      </w:pPr>
      <w:r>
        <w:rPr>
          <w:rFonts w:hint="eastAsia"/>
          <w:b/>
          <w:bCs/>
          <w:color w:val="auto"/>
          <w:lang w:val="en-US" w:eastAsia="zh-CN"/>
        </w:rPr>
        <w:t>1.1 基本概况</w:t>
      </w:r>
    </w:p>
    <w:p>
      <w:pPr>
        <w:pStyle w:val="9"/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right="0" w:firstLine="480" w:firstLineChars="200"/>
        <w:textAlignment w:val="auto"/>
        <w:outlineLvl w:val="2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揭阳大南海石化工业区雨水明渠（</w:t>
      </w: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一期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）工程</w:t>
      </w:r>
      <w:r>
        <w:rPr>
          <w:rFonts w:hint="default" w:ascii="Times New Roman" w:hAnsi="Times New Roman" w:cs="Times New Roman"/>
          <w:color w:val="auto"/>
          <w:spacing w:val="-3"/>
          <w:sz w:val="24"/>
          <w:szCs w:val="24"/>
        </w:rPr>
        <w:t>位于揭阳大南海石化工业区，</w:t>
      </w: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拟建南海大道至南海排海口的雨水明渠（一期）工程位于中石油厂区西南侧，长约6.6km，整段雨水明渠（一期）可分为三部分，分别为：石化大道雨水明渠、南海南路雨水明渠、环海东路雨水明渠。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right="0" w:firstLine="468" w:firstLineChars="200"/>
        <w:jc w:val="left"/>
        <w:textAlignment w:val="auto"/>
        <w:rPr>
          <w:rFonts w:hint="default" w:ascii="Times New Roman" w:hAnsi="Times New Roman" w:cs="Times New Roman"/>
          <w:color w:val="auto"/>
          <w:spacing w:val="-3"/>
          <w:sz w:val="24"/>
          <w:szCs w:val="24"/>
          <w:lang w:eastAsia="zh-CN"/>
        </w:rPr>
      </w:pPr>
      <w:r>
        <w:rPr>
          <w:rFonts w:hint="default" w:ascii="Times New Roman" w:hAnsi="Times New Roman" w:cs="Times New Roman"/>
          <w:color w:val="auto"/>
          <w:spacing w:val="-3"/>
          <w:sz w:val="24"/>
          <w:szCs w:val="24"/>
          <w:lang w:eastAsia="zh-CN"/>
        </w:rPr>
        <w:t>本项目规划基本符合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《揭阳大南海石化工业区雨水专项规划》</w:t>
      </w:r>
      <w:r>
        <w:rPr>
          <w:rFonts w:hint="default" w:ascii="Times New Roman" w:hAnsi="Times New Roman" w:cs="Times New Roman"/>
          <w:color w:val="auto"/>
          <w:spacing w:val="-3"/>
          <w:sz w:val="24"/>
          <w:szCs w:val="24"/>
          <w:lang w:eastAsia="zh-CN"/>
        </w:rPr>
        <w:t>。本次项目建设按照相关规划文件进行。但由于所规划雨水明渠出水口涉及“神泉湾西”大陆自然保有岸线和神泉港至甲子港严格保护岸段，因此本次项目主要存在问题为：本项目出水口涉及“神泉湾西”大陆自然保有岸线和神泉港至甲子港严格保护岸段。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leftChars="0" w:right="0" w:firstLine="482" w:firstLineChars="200"/>
        <w:jc w:val="both"/>
        <w:textAlignment w:val="auto"/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1.2 项目涉及严格保护岸段和大陆自然岸线保有分布情况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360" w:lineRule="auto"/>
        <w:ind w:left="0" w:leftChars="0" w:right="0" w:firstLine="480" w:firstLineChars="200"/>
        <w:jc w:val="both"/>
        <w:textAlignment w:val="auto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sectPr>
          <w:footerReference r:id="rId5" w:type="default"/>
          <w:pgSz w:w="11850" w:h="16790"/>
          <w:pgMar w:top="1180" w:right="780" w:bottom="1400" w:left="840" w:header="720" w:footer="1200" w:gutter="0"/>
          <w:pgNumType w:fmt="decimal" w:start="1"/>
        </w:sect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本项目涉及严格保护岸段和大陆自然保有岸线情况见表1及图1：</w:t>
      </w:r>
    </w:p>
    <w:p>
      <w:pPr>
        <w:pStyle w:val="4"/>
        <w:spacing w:before="3" w:line="364" w:lineRule="auto"/>
        <w:ind w:right="353"/>
        <w:jc w:val="both"/>
        <w:rPr>
          <w:rFonts w:hint="eastAsia"/>
          <w:color w:val="auto"/>
          <w:lang w:val="en-US" w:eastAsia="zh-CN"/>
        </w:rPr>
      </w:pPr>
    </w:p>
    <w:p>
      <w:pPr>
        <w:pStyle w:val="4"/>
        <w:spacing w:before="3" w:line="364" w:lineRule="auto"/>
        <w:ind w:right="353"/>
        <w:jc w:val="center"/>
        <w:rPr>
          <w:rFonts w:hint="default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/>
          <w:b/>
          <w:bCs/>
          <w:color w:val="auto"/>
          <w:sz w:val="21"/>
          <w:szCs w:val="21"/>
          <w:lang w:val="en-US" w:eastAsia="zh-CN"/>
        </w:rPr>
        <w:t>表1 本项目涉及严格保护岸段和大陆自然保有岸线情况</w:t>
      </w:r>
    </w:p>
    <w:tbl>
      <w:tblPr>
        <w:tblStyle w:val="7"/>
        <w:tblW w:w="13960" w:type="dxa"/>
        <w:tblInd w:w="11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36"/>
        <w:gridCol w:w="1096"/>
        <w:gridCol w:w="952"/>
        <w:gridCol w:w="1405"/>
        <w:gridCol w:w="914"/>
        <w:gridCol w:w="2495"/>
        <w:gridCol w:w="1255"/>
        <w:gridCol w:w="1100"/>
        <w:gridCol w:w="386"/>
        <w:gridCol w:w="3621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9" w:hRule="atLeast"/>
        </w:trPr>
        <w:tc>
          <w:tcPr>
            <w:tcW w:w="13960" w:type="dxa"/>
            <w:gridSpan w:val="1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  <w:t>广东省严格保护岸段名录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9" w:hRule="atLeast"/>
        </w:trPr>
        <w:tc>
          <w:tcPr>
            <w:tcW w:w="7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zh-CN" w:eastAsia="zh-CN" w:bidi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  <w:t>序号</w:t>
            </w:r>
          </w:p>
        </w:tc>
        <w:tc>
          <w:tcPr>
            <w:tcW w:w="109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zh-CN" w:eastAsia="zh-CN" w:bidi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  <w:t>岸段号</w:t>
            </w:r>
          </w:p>
        </w:tc>
        <w:tc>
          <w:tcPr>
            <w:tcW w:w="23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zh-CN" w:eastAsia="zh-CN" w:bidi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  <w:t>名称</w:t>
            </w:r>
          </w:p>
        </w:tc>
        <w:tc>
          <w:tcPr>
            <w:tcW w:w="3409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zh-CN" w:eastAsia="zh-CN" w:bidi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  <w:t>管理类型</w:t>
            </w:r>
          </w:p>
        </w:tc>
        <w:tc>
          <w:tcPr>
            <w:tcW w:w="2355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zh-CN" w:eastAsia="zh-CN" w:bidi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  <w:t>所在地</w:t>
            </w:r>
          </w:p>
        </w:tc>
        <w:tc>
          <w:tcPr>
            <w:tcW w:w="400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left"/>
              <w:textAlignment w:val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zh-CN" w:eastAsia="zh-CN" w:bidi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zh-CN" w:eastAsia="zh-CN" w:bidi="zh-CN"/>
              </w:rPr>
              <w:t>起止点坐标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26" w:hRule="atLeast"/>
        </w:trPr>
        <w:tc>
          <w:tcPr>
            <w:tcW w:w="73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left="0" w:right="0" w:firstLine="543" w:firstLineChars="0"/>
              <w:jc w:val="both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en-US" w:eastAsia="zh-CN" w:bidi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after="0" w:line="240" w:lineRule="auto"/>
              <w:ind w:right="0" w:firstLine="211" w:firstLineChars="100"/>
              <w:jc w:val="both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en-US" w:eastAsia="zh-CN" w:bidi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  <w:lang w:val="en-US" w:eastAsia="zh-CN" w:bidi="zh-CN"/>
              </w:rPr>
              <w:t>29</w:t>
            </w:r>
          </w:p>
        </w:tc>
        <w:tc>
          <w:tcPr>
            <w:tcW w:w="1096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</w:pPr>
          </w:p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71</w:t>
            </w:r>
          </w:p>
        </w:tc>
        <w:tc>
          <w:tcPr>
            <w:tcW w:w="2357" w:type="dxa"/>
            <w:gridSpan w:val="2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</w:pPr>
          </w:p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left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神泉港至甲子港严格保护岸段</w:t>
            </w:r>
          </w:p>
        </w:tc>
        <w:tc>
          <w:tcPr>
            <w:tcW w:w="3409" w:type="dxa"/>
            <w:gridSpan w:val="2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</w:pPr>
          </w:p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严格保护岸段</w:t>
            </w:r>
          </w:p>
        </w:tc>
        <w:tc>
          <w:tcPr>
            <w:tcW w:w="2355" w:type="dxa"/>
            <w:gridSpan w:val="2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揭阳市惠来县、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汕尾陆丰市</w:t>
            </w:r>
          </w:p>
        </w:tc>
        <w:tc>
          <w:tcPr>
            <w:tcW w:w="4007" w:type="dxa"/>
            <w:gridSpan w:val="2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起点坐标：</w:t>
            </w: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22°55'33.892"N116°13'39.691"E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left"/>
              <w:textAlignment w:val="auto"/>
              <w:rPr>
                <w:rFonts w:hint="default" w:ascii="Times New Roman" w:hAnsi="Times New Roman" w:eastAsia="宋体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终点坐标：</w:t>
            </w: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22°50'55.111"N</w:t>
            </w: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，</w:t>
            </w: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116°4'43.345"E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9" w:hRule="atLeast"/>
        </w:trPr>
        <w:tc>
          <w:tcPr>
            <w:tcW w:w="13960" w:type="dxa"/>
            <w:gridSpan w:val="10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广东省大陆自然岸线保有登记表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9" w:hRule="atLeast"/>
        </w:trPr>
        <w:tc>
          <w:tcPr>
            <w:tcW w:w="736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序号</w:t>
            </w:r>
          </w:p>
        </w:tc>
        <w:tc>
          <w:tcPr>
            <w:tcW w:w="1096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行政区</w:t>
            </w:r>
          </w:p>
        </w:tc>
        <w:tc>
          <w:tcPr>
            <w:tcW w:w="952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主体岸线代码</w:t>
            </w:r>
          </w:p>
        </w:tc>
        <w:tc>
          <w:tcPr>
            <w:tcW w:w="1405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主体岸线类型</w:t>
            </w:r>
          </w:p>
        </w:tc>
        <w:tc>
          <w:tcPr>
            <w:tcW w:w="914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名称</w:t>
            </w:r>
          </w:p>
        </w:tc>
        <w:tc>
          <w:tcPr>
            <w:tcW w:w="2495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地理位置</w:t>
            </w:r>
          </w:p>
        </w:tc>
        <w:tc>
          <w:tcPr>
            <w:tcW w:w="1255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岸线长度（m）</w:t>
            </w:r>
          </w:p>
        </w:tc>
        <w:tc>
          <w:tcPr>
            <w:tcW w:w="1486" w:type="dxa"/>
            <w:gridSpan w:val="2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生态保护目标</w:t>
            </w:r>
          </w:p>
        </w:tc>
        <w:tc>
          <w:tcPr>
            <w:tcW w:w="3621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0"/>
                <w:sz w:val="21"/>
                <w:szCs w:val="21"/>
                <w:lang w:val="en-US" w:eastAsia="zh-CN" w:bidi="ar"/>
              </w:rPr>
              <w:t>管控措施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91" w:hRule="atLeast"/>
        </w:trPr>
        <w:tc>
          <w:tcPr>
            <w:tcW w:w="736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189</w:t>
            </w:r>
          </w:p>
        </w:tc>
        <w:tc>
          <w:tcPr>
            <w:tcW w:w="1096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揭阳</w:t>
            </w:r>
          </w:p>
        </w:tc>
        <w:tc>
          <w:tcPr>
            <w:tcW w:w="952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44-o061</w:t>
            </w:r>
          </w:p>
        </w:tc>
        <w:tc>
          <w:tcPr>
            <w:tcW w:w="1405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砂质岸线</w:t>
            </w:r>
          </w:p>
        </w:tc>
        <w:tc>
          <w:tcPr>
            <w:tcW w:w="914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神泉湾西</w:t>
            </w:r>
          </w:p>
        </w:tc>
        <w:tc>
          <w:tcPr>
            <w:tcW w:w="2495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both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位于神泉港，起点坐标：116°14′04.024"E，22°55′47.640"N；终点坐标：116°13′11.582"E，22°55′10.704"N</w:t>
            </w:r>
          </w:p>
        </w:tc>
        <w:tc>
          <w:tcPr>
            <w:tcW w:w="1255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1078</w:t>
            </w:r>
          </w:p>
        </w:tc>
        <w:tc>
          <w:tcPr>
            <w:tcW w:w="1486" w:type="dxa"/>
            <w:gridSpan w:val="2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自然岸线及潮滩</w:t>
            </w:r>
          </w:p>
        </w:tc>
        <w:tc>
          <w:tcPr>
            <w:tcW w:w="3621" w:type="dxa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0"/>
                <w:sz w:val="21"/>
                <w:szCs w:val="21"/>
                <w:lang w:val="en-US" w:eastAsia="zh-CN" w:bidi="ar"/>
              </w:rPr>
              <w:t>维持自然岸线属性，向海一侧3.5海里内禁止采挖海砂，围填海、倾废等可能诱发海滩蚀退的开发活动，保持自然岸线形态，保护岸线原有生态功能，加强对受损自然岸线整治与修复</w:t>
            </w:r>
          </w:p>
        </w:tc>
      </w:tr>
    </w:tbl>
    <w:p>
      <w:pPr>
        <w:pStyle w:val="4"/>
        <w:spacing w:before="3" w:line="364" w:lineRule="auto"/>
        <w:ind w:right="353"/>
        <w:jc w:val="both"/>
        <w:rPr>
          <w:rFonts w:hint="default"/>
          <w:color w:val="auto"/>
          <w:sz w:val="21"/>
          <w:szCs w:val="21"/>
          <w:lang w:val="en-US" w:eastAsia="zh-CN"/>
        </w:rPr>
      </w:pPr>
    </w:p>
    <w:p>
      <w:pPr>
        <w:pStyle w:val="4"/>
        <w:spacing w:before="3" w:line="364" w:lineRule="auto"/>
        <w:ind w:right="353"/>
        <w:jc w:val="both"/>
        <w:rPr>
          <w:rFonts w:hint="eastAsia"/>
          <w:color w:val="auto"/>
          <w:sz w:val="21"/>
          <w:szCs w:val="21"/>
          <w:lang w:val="en-US" w:eastAsia="zh-CN"/>
        </w:rPr>
      </w:pPr>
    </w:p>
    <w:p>
      <w:pPr>
        <w:pStyle w:val="4"/>
        <w:spacing w:before="3" w:line="364" w:lineRule="auto"/>
        <w:ind w:right="353"/>
        <w:jc w:val="both"/>
        <w:rPr>
          <w:rFonts w:hint="eastAsia"/>
          <w:color w:val="auto"/>
          <w:sz w:val="21"/>
          <w:szCs w:val="21"/>
          <w:lang w:val="en-US" w:eastAsia="zh-CN"/>
        </w:rPr>
      </w:pPr>
    </w:p>
    <w:p>
      <w:pPr>
        <w:pStyle w:val="4"/>
        <w:spacing w:before="3" w:line="364" w:lineRule="auto"/>
        <w:ind w:right="353"/>
        <w:jc w:val="both"/>
        <w:rPr>
          <w:rFonts w:hint="eastAsia"/>
          <w:b/>
          <w:bCs/>
          <w:color w:val="auto"/>
          <w:sz w:val="21"/>
          <w:szCs w:val="21"/>
          <w:lang w:val="en-US" w:eastAsia="zh-CN"/>
        </w:rPr>
      </w:pPr>
      <w:r>
        <w:rPr>
          <w:rFonts w:hint="eastAsia"/>
          <w:b/>
          <w:bCs/>
          <w:color w:val="auto"/>
          <w:sz w:val="21"/>
          <w:szCs w:val="21"/>
          <w:lang w:val="en-US" w:eastAsia="zh-CN"/>
        </w:rPr>
        <w:t>图1 本项目与严格保护岸段、大陆自然保有岸线的位置关系</w:t>
      </w:r>
    </w:p>
    <w:p>
      <w:pPr>
        <w:pStyle w:val="4"/>
        <w:spacing w:before="3" w:line="364" w:lineRule="auto"/>
        <w:ind w:right="353"/>
        <w:jc w:val="both"/>
        <w:rPr>
          <w:color w:val="auto"/>
        </w:rPr>
        <w:sectPr>
          <w:pgSz w:w="16790" w:h="11850" w:orient="landscape"/>
          <w:pgMar w:top="840" w:right="1180" w:bottom="780" w:left="1400" w:header="720" w:footer="1200" w:gutter="0"/>
          <w:pgNumType w:fmt="decimal"/>
        </w:sect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3615690</wp:posOffset>
                </wp:positionH>
                <wp:positionV relativeFrom="paragraph">
                  <wp:posOffset>4646295</wp:posOffset>
                </wp:positionV>
                <wp:extent cx="104140" cy="95250"/>
                <wp:effectExtent l="6350" t="6350" r="22860" b="12700"/>
                <wp:wrapNone/>
                <wp:docPr id="2" name="椭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47870" y="5502275"/>
                          <a:ext cx="104140" cy="952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84.7pt;margin-top:365.85pt;height:7.5pt;width:8.2pt;z-index:251660288;v-text-anchor:middle;mso-width-relative:page;mso-height-relative:page;" fillcolor="#FF0000" filled="t" stroked="t" coordsize="21600,21600" o:gfxdata="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FCCCA3cAAAACwEAAA8AAAAAAAAAAQAgAAAAIgAAAGRycy9kb3ducmV2LnhtbFBLAQIUABQAAAAI&#10;AIdO4kCApqwnlAIAAC0FAAAOAAAAAAAAAAEAIAAAACsBAABkcnMvZTJvRG9jLnhtbFBLBQYAAAAA&#10;BgAGAFkBAAAxBgAAAAA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589915</wp:posOffset>
                </wp:positionH>
                <wp:positionV relativeFrom="paragraph">
                  <wp:posOffset>5673090</wp:posOffset>
                </wp:positionV>
                <wp:extent cx="104140" cy="95250"/>
                <wp:effectExtent l="6350" t="6350" r="22860" b="12700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" cy="952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6.45pt;margin-top:446.7pt;height:7.5pt;width:8.2pt;z-index:251663360;v-text-anchor:middle;mso-width-relative:page;mso-height-relative:page;" fillcolor="#FF0000" filled="t" stroked="t" coordsize="21600,21600" o:gfxdata="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MH+oATaAAAACgEAAA8A&#10;AAAAAAAAAQAgAAAAIgAAAGRycy9kb3ducmV2LnhtbFBLAQIUABQAAAAIAIdO4kDkuoIBhwIAACEF&#10;AAAOAAAAAAAAAAEAIAAAACkBAABkcnMvZTJvRG9jLnhtbFBLBQYAAAAABgAGAFkBAAAiBgAAAAA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367665</wp:posOffset>
                </wp:positionH>
                <wp:positionV relativeFrom="paragraph">
                  <wp:posOffset>4327525</wp:posOffset>
                </wp:positionV>
                <wp:extent cx="1888490" cy="1619885"/>
                <wp:effectExtent l="4445" t="4445" r="12065" b="1397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39520" y="5614035"/>
                          <a:ext cx="1888490" cy="16198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图例</w:t>
                            </w:r>
                          </w:p>
                          <w:p>
                            <w:pPr>
                              <w:rPr>
                                <w:rFonts w:hint="eastAsia" w:cs="宋体"/>
                                <w:color w:val="FF0000"/>
                                <w:u w:val="no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color w:val="FF0000"/>
                                <w:u w:val="thick"/>
                                <w:lang w:val="en-US" w:eastAsia="zh-CN"/>
                              </w:rPr>
                              <w:t xml:space="preserve">      </w:t>
                            </w:r>
                            <w:r>
                              <w:rPr>
                                <w:rFonts w:hint="eastAsia" w:cs="宋体"/>
                                <w:color w:val="auto"/>
                                <w:u w:val="none"/>
                                <w:lang w:val="en-US" w:eastAsia="zh-CN"/>
                              </w:rPr>
                              <w:t>：临港西路</w:t>
                            </w:r>
                          </w:p>
                          <w:p>
                            <w:pPr>
                              <w:rPr>
                                <w:rFonts w:hint="eastAsia" w:cs="宋体"/>
                                <w:color w:val="FF0000"/>
                                <w:u w:val="none"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cs="宋体"/>
                                <w:color w:val="auto"/>
                                <w:u w:val="thick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color w:val="F4F200"/>
                                <w:u w:val="thick"/>
                                <w:lang w:val="en-US" w:eastAsia="zh-CN"/>
                              </w:rPr>
                              <w:t xml:space="preserve">      </w:t>
                            </w:r>
                            <w:r>
                              <w:rPr>
                                <w:rFonts w:hint="eastAsia" w:cs="宋体"/>
                                <w:color w:val="auto"/>
                                <w:u w:val="none"/>
                                <w:lang w:val="en-US" w:eastAsia="zh-CN"/>
                              </w:rPr>
                              <w:t>：严格保护岸段</w:t>
                            </w:r>
                          </w:p>
                          <w:p>
                            <w:pPr>
                              <w:rPr>
                                <w:rFonts w:hint="eastAsia" w:cs="宋体"/>
                                <w:color w:val="FF0000"/>
                                <w:u w:val="thick"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cs="宋体"/>
                                <w:color w:val="auto"/>
                                <w:u w:val="no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color w:val="0070C0"/>
                                <w:u w:val="thick"/>
                                <w:lang w:val="en-US" w:eastAsia="zh-CN"/>
                              </w:rPr>
                              <w:t xml:space="preserve">      </w:t>
                            </w:r>
                            <w:r>
                              <w:rPr>
                                <w:rFonts w:hint="eastAsia" w:cs="宋体"/>
                                <w:color w:val="auto"/>
                                <w:u w:val="none"/>
                                <w:lang w:val="en-US" w:eastAsia="zh-CN"/>
                              </w:rPr>
                              <w:t>：大陆自然保有岸线</w:t>
                            </w:r>
                          </w:p>
                          <w:p>
                            <w:pPr>
                              <w:pStyle w:val="10"/>
                              <w:rPr>
                                <w:rFonts w:hint="eastAsia" w:cs="宋体"/>
                                <w:color w:val="auto"/>
                                <w:u w:val="none"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pStyle w:val="12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color w:val="auto"/>
                                <w:u w:val="none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b w:val="0"/>
                                <w:bCs/>
                                <w:color w:val="auto"/>
                                <w:sz w:val="21"/>
                                <w:szCs w:val="13"/>
                                <w:u w:val="none"/>
                                <w:lang w:val="en-US" w:eastAsia="zh-CN"/>
                              </w:rPr>
                              <w:t>：雨水明渠出水口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.95pt;margin-top:340.75pt;height:127.55pt;width:148.7pt;z-index:251659264;mso-width-relative:page;mso-height-relative:page;" fillcolor="#FFFFFF [3201]" filled="t" stroked="t" coordsize="21600,21600" o:gfxdata="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mU/1X1wAAAAoBAAAPAAAAAAAAAAEAIAAAACIAAABkcnMvZG93bnJldi54bWxQSwECFAAU&#10;AAAACACHTuJA9MmKu2QCAADHBAAADgAAAAAAAAABACAAAAAmAQAAZHJzL2Uyb0RvYy54bWxQSwUG&#10;AAAAAAYABgBZAQAA/AUAAAAA&#10;">
                <v:fill on="t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图例</w:t>
                      </w:r>
                    </w:p>
                    <w:p>
                      <w:pPr>
                        <w:rPr>
                          <w:rFonts w:hint="eastAsia" w:cs="宋体"/>
                          <w:color w:val="FF0000"/>
                          <w:u w:val="none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color w:val="FF0000"/>
                          <w:u w:val="thick"/>
                          <w:lang w:val="en-US" w:eastAsia="zh-CN"/>
                        </w:rPr>
                        <w:t xml:space="preserve">      </w:t>
                      </w:r>
                      <w:r>
                        <w:rPr>
                          <w:rFonts w:hint="eastAsia" w:cs="宋体"/>
                          <w:color w:val="auto"/>
                          <w:u w:val="none"/>
                          <w:lang w:val="en-US" w:eastAsia="zh-CN"/>
                        </w:rPr>
                        <w:t>：临港西路</w:t>
                      </w:r>
                    </w:p>
                    <w:p>
                      <w:pPr>
                        <w:rPr>
                          <w:rFonts w:hint="eastAsia" w:cs="宋体"/>
                          <w:color w:val="FF0000"/>
                          <w:u w:val="none"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eastAsia" w:cs="宋体"/>
                          <w:color w:val="auto"/>
                          <w:u w:val="thick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color w:val="F4F200"/>
                          <w:u w:val="thick"/>
                          <w:lang w:val="en-US" w:eastAsia="zh-CN"/>
                        </w:rPr>
                        <w:t xml:space="preserve">      </w:t>
                      </w:r>
                      <w:r>
                        <w:rPr>
                          <w:rFonts w:hint="eastAsia" w:cs="宋体"/>
                          <w:color w:val="auto"/>
                          <w:u w:val="none"/>
                          <w:lang w:val="en-US" w:eastAsia="zh-CN"/>
                        </w:rPr>
                        <w:t>：严格保护岸段</w:t>
                      </w:r>
                    </w:p>
                    <w:p>
                      <w:pPr>
                        <w:rPr>
                          <w:rFonts w:hint="eastAsia" w:cs="宋体"/>
                          <w:color w:val="FF0000"/>
                          <w:u w:val="thick"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eastAsia" w:cs="宋体"/>
                          <w:color w:val="auto"/>
                          <w:u w:val="none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color w:val="0070C0"/>
                          <w:u w:val="thick"/>
                          <w:lang w:val="en-US" w:eastAsia="zh-CN"/>
                        </w:rPr>
                        <w:t xml:space="preserve">      </w:t>
                      </w:r>
                      <w:r>
                        <w:rPr>
                          <w:rFonts w:hint="eastAsia" w:cs="宋体"/>
                          <w:color w:val="auto"/>
                          <w:u w:val="none"/>
                          <w:lang w:val="en-US" w:eastAsia="zh-CN"/>
                        </w:rPr>
                        <w:t>：大陆自然保有岸线</w:t>
                      </w:r>
                    </w:p>
                    <w:p>
                      <w:pPr>
                        <w:pStyle w:val="10"/>
                        <w:rPr>
                          <w:rFonts w:hint="eastAsia" w:cs="宋体"/>
                          <w:color w:val="auto"/>
                          <w:u w:val="none"/>
                          <w:lang w:val="en-US" w:eastAsia="zh-CN"/>
                        </w:rPr>
                      </w:pPr>
                    </w:p>
                    <w:p>
                      <w:pPr>
                        <w:pStyle w:val="12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color w:val="auto"/>
                          <w:u w:val="none"/>
                          <w:lang w:val="en-US" w:eastAsia="zh-CN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b w:val="0"/>
                          <w:bCs/>
                          <w:color w:val="auto"/>
                          <w:sz w:val="21"/>
                          <w:szCs w:val="13"/>
                          <w:u w:val="none"/>
                          <w:lang w:val="en-US" w:eastAsia="zh-CN"/>
                        </w:rPr>
                        <w:t>：雨水明渠出水口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auto"/>
        </w:rPr>
        <w:drawing>
          <wp:inline distT="0" distB="0" distL="114300" distR="114300">
            <wp:extent cx="7762875" cy="5471795"/>
            <wp:effectExtent l="0" t="0" r="9525" b="1460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547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line="360" w:lineRule="auto"/>
        <w:ind w:leftChars="200" w:right="0" w:rightChars="0"/>
        <w:jc w:val="left"/>
        <w:textAlignment w:val="auto"/>
        <w:rPr>
          <w:rFonts w:hint="default" w:ascii="Times New Roman" w:hAnsi="Times New Roman" w:cs="Times New Roman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lang w:val="en-US" w:eastAsia="zh-CN"/>
        </w:rPr>
        <w:t>2.</w:t>
      </w: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lang w:val="en-US" w:eastAsia="zh-CN"/>
        </w:rPr>
        <w:t>项目涉及路段选线唯一性和合理性分析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2" w:firstLineChars="200"/>
        <w:jc w:val="left"/>
        <w:textAlignment w:val="auto"/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2.1项目建设必要性分析</w:t>
      </w:r>
    </w:p>
    <w:p>
      <w:pPr>
        <w:autoSpaceDE w:val="0"/>
        <w:autoSpaceDN w:val="0"/>
        <w:adjustRightInd w:val="0"/>
        <w:spacing w:line="360" w:lineRule="auto"/>
        <w:ind w:firstLine="480" w:firstLineChars="200"/>
        <w:jc w:val="left"/>
        <w:outlineLvl w:val="2"/>
        <w:rPr>
          <w:rFonts w:hint="default" w:ascii="Times New Roman" w:hAnsi="Times New Roman" w:cs="Times New Roman"/>
          <w:color w:val="auto"/>
          <w:sz w:val="24"/>
        </w:rPr>
      </w:pPr>
      <w:r>
        <w:rPr>
          <w:rFonts w:hint="default" w:ascii="Times New Roman" w:hAnsi="Times New Roman" w:cs="Times New Roman"/>
          <w:color w:val="auto"/>
          <w:sz w:val="24"/>
          <w:lang w:eastAsia="zh-CN"/>
        </w:rPr>
        <w:t>根</w:t>
      </w:r>
      <w:r>
        <w:rPr>
          <w:rFonts w:hint="default" w:ascii="Times New Roman" w:hAnsi="Times New Roman" w:cs="Times New Roman"/>
          <w:color w:val="auto"/>
          <w:sz w:val="24"/>
        </w:rPr>
        <w:t>据《</w:t>
      </w:r>
      <w:r>
        <w:rPr>
          <w:rFonts w:hint="default" w:ascii="Times New Roman" w:hAnsi="Times New Roman" w:cs="Times New Roman"/>
          <w:color w:val="auto"/>
          <w:sz w:val="24"/>
          <w:lang w:eastAsia="zh-CN"/>
        </w:rPr>
        <w:t>揭阳大南海石化工业区雨水明渠工程</w:t>
      </w:r>
      <w:r>
        <w:rPr>
          <w:rFonts w:hint="eastAsia" w:ascii="Times New Roman" w:hAnsi="Times New Roman" w:cs="Times New Roman"/>
          <w:color w:val="auto"/>
          <w:sz w:val="24"/>
          <w:lang w:eastAsia="zh-CN"/>
        </w:rPr>
        <w:t>（一期）</w:t>
      </w:r>
      <w:r>
        <w:rPr>
          <w:rFonts w:hint="default" w:ascii="Times New Roman" w:hAnsi="Times New Roman" w:cs="Times New Roman"/>
          <w:color w:val="auto"/>
          <w:sz w:val="24"/>
        </w:rPr>
        <w:t>可行性研究报告》</w:t>
      </w:r>
      <w:r>
        <w:rPr>
          <w:rFonts w:hint="default" w:ascii="Times New Roman" w:hAnsi="Times New Roman" w:cs="Times New Roman"/>
          <w:color w:val="auto"/>
          <w:sz w:val="24"/>
          <w:lang w:eastAsia="zh-CN"/>
        </w:rPr>
        <w:t>可知</w:t>
      </w:r>
      <w:r>
        <w:rPr>
          <w:rFonts w:hint="default" w:ascii="Times New Roman" w:hAnsi="Times New Roman" w:cs="Times New Roman"/>
          <w:color w:val="auto"/>
          <w:sz w:val="24"/>
        </w:rPr>
        <w:t>，</w:t>
      </w:r>
      <w:r>
        <w:rPr>
          <w:rFonts w:hint="eastAsia" w:ascii="Times New Roman" w:hAnsi="Times New Roman" w:cs="Times New Roman"/>
          <w:color w:val="auto"/>
          <w:sz w:val="24"/>
          <w:lang w:eastAsia="zh-CN"/>
        </w:rPr>
        <w:t>工业</w:t>
      </w:r>
      <w:r>
        <w:rPr>
          <w:rFonts w:hint="default" w:ascii="Times New Roman" w:hAnsi="Times New Roman" w:cs="Times New Roman"/>
          <w:color w:val="auto"/>
          <w:sz w:val="24"/>
        </w:rPr>
        <w:t>区原有两条雨水明渠，穿越中石油规划厂区，对园区的排涝安全，具有举足轻重的作用。由于中石油一期项目的开展，为了避免汛期雨水对中石油场地造成影响，且不影响中石油项目的进度，2012 年 5 月，管委会决定先采取开挖临时土明渠，临时工程与永久工程线位一致，满足原有渠道改线的要求，待远期再行建设永久性雨水明渠。该临时渠道于 2012 年 12 月底打通，确保了中石油场地平整的顺利进行。</w:t>
      </w: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但临时雨水明渠建设标准低，过流能力有限，已经不能够满足园区开发建设雨水排放的需要，因此永久性的雨水明渠建设势在必行。</w:t>
      </w:r>
    </w:p>
    <w:p>
      <w:pPr>
        <w:autoSpaceDE w:val="0"/>
        <w:autoSpaceDN w:val="0"/>
        <w:adjustRightInd w:val="0"/>
        <w:spacing w:line="360" w:lineRule="auto"/>
        <w:ind w:firstLine="480" w:firstLineChars="200"/>
        <w:jc w:val="left"/>
        <w:outlineLvl w:val="2"/>
        <w:rPr>
          <w:rFonts w:hint="default" w:ascii="Times New Roman" w:hAnsi="Times New Roman" w:cs="Times New Roman"/>
          <w:color w:val="auto"/>
          <w:sz w:val="24"/>
        </w:rPr>
      </w:pPr>
      <w:r>
        <w:rPr>
          <w:rFonts w:hint="default" w:ascii="Times New Roman" w:hAnsi="Times New Roman" w:cs="Times New Roman"/>
          <w:color w:val="auto"/>
          <w:sz w:val="24"/>
        </w:rPr>
        <w:t>随着园区建设发展，拟新建 9.3km 永久性雨水明渠，本次一期工程先行建设南海大道至南海排海口的 6.6km 雨水明渠，该段明渠是整个园区排水主干线，是整个排水系统的咽喉，更需先期进行设计施工，以满足整个园区的排水需求。</w:t>
      </w:r>
      <w:r>
        <w:rPr>
          <w:rFonts w:hint="eastAsia" w:ascii="Times New Roman" w:hAnsi="Times New Roman" w:cs="Times New Roman"/>
          <w:color w:val="auto"/>
          <w:sz w:val="24"/>
          <w:lang w:eastAsia="zh-CN"/>
        </w:rPr>
        <w:t>因此，</w:t>
      </w:r>
      <w:r>
        <w:rPr>
          <w:rFonts w:hint="default" w:ascii="Times New Roman" w:hAnsi="Times New Roman" w:cs="Times New Roman"/>
          <w:color w:val="auto"/>
          <w:sz w:val="24"/>
        </w:rPr>
        <w:t>兴建揭阳大南海石化工业区雨水明渠工程迫在眉睫。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2" w:firstLineChars="200"/>
        <w:jc w:val="left"/>
        <w:textAlignment w:val="auto"/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2.2 项目选线唯一性论证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2" w:firstLineChars="200"/>
        <w:jc w:val="left"/>
        <w:textAlignment w:val="auto"/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受纳水体选择：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color w:val="auto"/>
          <w:sz w:val="24"/>
          <w:szCs w:val="24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本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 xml:space="preserve">工程周边可供选择的排放水体：石榴潭灌渠、溪西排涝渠、龙江、南海。 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石榴潭灌渠：从功能上，石榴潭灌渠不应作为石化园区雨水排放的受纳水体</w:t>
      </w:r>
      <w:r>
        <w:rPr>
          <w:rFonts w:hint="default" w:ascii="Times New Roman" w:hAnsi="Times New Roman" w:cs="Times New Roman"/>
          <w:color w:val="auto"/>
          <w:kern w:val="0"/>
          <w:sz w:val="24"/>
          <w:szCs w:val="24"/>
          <w:lang w:val="en-US" w:eastAsia="zh-CN" w:bidi="ar"/>
        </w:rPr>
        <w:t>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color w:val="auto"/>
          <w:sz w:val="24"/>
          <w:szCs w:val="24"/>
        </w:rPr>
      </w:pP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 xml:space="preserve">溪西排涝渠：将园区内部雨水排入园区外部溪西排涝渠，存在以下几点问题：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color w:val="auto"/>
          <w:sz w:val="24"/>
          <w:szCs w:val="24"/>
        </w:rPr>
      </w:pP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将</w:t>
      </w:r>
      <w:r>
        <w:rPr>
          <w:rFonts w:hint="default" w:ascii="Times New Roman" w:hAnsi="Times New Roman" w:eastAsia="TimesNewRomanPSMT" w:cs="Times New Roman"/>
          <w:color w:val="auto"/>
          <w:kern w:val="0"/>
          <w:sz w:val="24"/>
          <w:szCs w:val="24"/>
          <w:lang w:val="en-US" w:eastAsia="zh-CN" w:bidi="ar"/>
        </w:rPr>
        <w:t>“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高区</w:t>
      </w:r>
      <w:r>
        <w:rPr>
          <w:rFonts w:hint="default" w:ascii="Times New Roman" w:hAnsi="Times New Roman" w:eastAsia="TimesNewRomanPSMT" w:cs="Times New Roman"/>
          <w:color w:val="auto"/>
          <w:kern w:val="0"/>
          <w:sz w:val="24"/>
          <w:szCs w:val="24"/>
          <w:lang w:val="en-US" w:eastAsia="zh-CN" w:bidi="ar"/>
        </w:rPr>
        <w:t>”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雨水引入了</w:t>
      </w:r>
      <w:r>
        <w:rPr>
          <w:rFonts w:hint="default" w:ascii="Times New Roman" w:hAnsi="Times New Roman" w:eastAsia="TimesNewRomanPSMT" w:cs="Times New Roman"/>
          <w:color w:val="auto"/>
          <w:kern w:val="0"/>
          <w:sz w:val="24"/>
          <w:szCs w:val="24"/>
          <w:lang w:val="en-US" w:eastAsia="zh-CN" w:bidi="ar"/>
        </w:rPr>
        <w:t>“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低区</w:t>
      </w:r>
      <w:r>
        <w:rPr>
          <w:rFonts w:hint="default" w:ascii="Times New Roman" w:hAnsi="Times New Roman" w:eastAsia="TimesNewRomanPSMT" w:cs="Times New Roman"/>
          <w:color w:val="auto"/>
          <w:kern w:val="0"/>
          <w:sz w:val="24"/>
          <w:szCs w:val="24"/>
          <w:lang w:val="en-US" w:eastAsia="zh-CN" w:bidi="ar"/>
        </w:rPr>
        <w:t>”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；片区开发后、径流系数增加，将园区雨水引到园区外，现状明渠为土质明渠，容易引发内涝，引起不惜要的纠纷；园区雨水分散排入溪西排涝渠，园区污染防控体系将无法达成。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3）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 xml:space="preserve">龙江或南海 </w:t>
      </w:r>
      <w:r>
        <w:rPr>
          <w:rFonts w:hint="default" w:ascii="Times New Roman" w:hAnsi="Times New Roman" w:cs="Times New Roman"/>
          <w:color w:val="auto"/>
          <w:kern w:val="0"/>
          <w:sz w:val="24"/>
          <w:szCs w:val="24"/>
          <w:lang w:val="en-US" w:eastAsia="zh-CN" w:bidi="ar"/>
        </w:rPr>
        <w:t>：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 xml:space="preserve">园区雨水排向龙江还是南海，主要由可利用水头决定。排向南海比排向龙江多 </w:t>
      </w:r>
      <w:r>
        <w:rPr>
          <w:rFonts w:hint="default" w:ascii="Times New Roman" w:hAnsi="Times New Roman" w:eastAsia="TimesNewRomanPSMT" w:cs="Times New Roman"/>
          <w:color w:val="auto"/>
          <w:kern w:val="0"/>
          <w:sz w:val="24"/>
          <w:szCs w:val="24"/>
          <w:lang w:val="en-US" w:eastAsia="zh-CN" w:bidi="ar"/>
        </w:rPr>
        <w:t xml:space="preserve">2.24m 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水头可利用，将在同样实现园区自排的情况下，排向南海比排向龙江可以大幅度减少</w:t>
      </w:r>
      <w:r>
        <w:rPr>
          <w:rFonts w:hint="default" w:ascii="Times New Roman" w:hAnsi="Times New Roman" w:eastAsia="宋体" w:cs="Times New Roman"/>
          <w:b w:val="0"/>
          <w:bCs w:val="0"/>
          <w:color w:val="auto"/>
          <w:kern w:val="0"/>
          <w:sz w:val="24"/>
          <w:szCs w:val="24"/>
          <w:lang w:val="en-US" w:eastAsia="zh-CN" w:bidi="ar"/>
        </w:rPr>
        <w:t>园区的填方量</w:t>
      </w:r>
      <w:r>
        <w:rPr>
          <w:rFonts w:hint="default" w:ascii="Times New Roman" w:hAnsi="Times New Roman" w:cs="Times New Roman"/>
          <w:b w:val="0"/>
          <w:bCs w:val="0"/>
          <w:color w:val="auto"/>
          <w:kern w:val="0"/>
          <w:sz w:val="24"/>
          <w:szCs w:val="24"/>
          <w:lang w:val="en-US" w:eastAsia="zh-CN" w:bidi="ar"/>
        </w:rPr>
        <w:t>。</w:t>
      </w:r>
      <w:r>
        <w:rPr>
          <w:rFonts w:hint="eastAsia" w:ascii="Times New Roman" w:hAnsi="Times New Roman" w:cs="Times New Roman"/>
          <w:b w:val="0"/>
          <w:bCs w:val="0"/>
          <w:color w:val="auto"/>
          <w:kern w:val="0"/>
          <w:sz w:val="24"/>
          <w:szCs w:val="24"/>
          <w:lang w:val="en-US" w:eastAsia="zh-CN" w:bidi="ar"/>
        </w:rPr>
        <w:t>因此，选择南海作为最终排放水体。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2" w:firstLineChars="200"/>
        <w:jc w:val="left"/>
        <w:textAlignment w:val="auto"/>
        <w:rPr>
          <w:rFonts w:hint="default" w:ascii="Times New Roman" w:hAnsi="Times New Roman" w:eastAsia="宋体" w:cs="Times New Roman"/>
          <w:b/>
          <w:bCs/>
          <w:color w:val="auto"/>
          <w:sz w:val="24"/>
          <w:szCs w:val="24"/>
          <w:lang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eastAsia="zh-CN"/>
        </w:rPr>
        <w:t>出水口选址：</w:t>
      </w:r>
    </w:p>
    <w:p>
      <w:pPr>
        <w:pStyle w:val="9"/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textAlignment w:val="auto"/>
        <w:outlineLvl w:val="2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根据对排放水体的选择，确定了南海为最终的排放水体。本工程雨水明渠的出口段的选线，主要受以下几个因素制约：</w:t>
      </w:r>
    </w:p>
    <w:p>
      <w:pPr>
        <w:pStyle w:val="9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leftChars="0" w:firstLine="480" w:firstLineChars="200"/>
        <w:textAlignment w:val="auto"/>
        <w:outlineLvl w:val="2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 xml:space="preserve">现状军事设施甲子地波站及雷达天线，由于该军事设施在短期内尚不能搬迁，而实施雨水明渠迫在眉睫，因此在选线中需考虑避开现状军事设施。 </w:t>
      </w:r>
    </w:p>
    <w:p>
      <w:pPr>
        <w:pStyle w:val="9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leftChars="0" w:firstLine="480" w:firstLineChars="200"/>
        <w:textAlignment w:val="auto"/>
        <w:outlineLvl w:val="2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龙江西侧港池的布置，中石油码头已经开工建设，且中石油码头西侧还布置有园区公用码头，码头要求不允许雨水明渠排入港池内。</w:t>
      </w:r>
    </w:p>
    <w:p>
      <w:pPr>
        <w:pStyle w:val="9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0" w:leftChars="0" w:firstLine="480" w:firstLineChars="200"/>
        <w:textAlignment w:val="auto"/>
        <w:outlineLvl w:val="2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 xml:space="preserve">由于惠陆界限的限制，雨水明渠及出口不能设置在陆丰境内。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受上述多个外部因素的制约，最终确定了该段雨水明渠出口段的选线。（见图1）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40" w:firstLineChars="200"/>
        <w:jc w:val="left"/>
        <w:textAlignment w:val="auto"/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color w:val="auto"/>
        </w:rPr>
        <w:commentReference w:id="0"/>
      </w: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3.环境保护措施及其可行性论证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2" w:firstLineChars="200"/>
        <w:jc w:val="left"/>
        <w:textAlignment w:val="auto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3.1 施工期：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施工期对岸线的影响分析：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eastAsia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 xml:space="preserve"> 项目施工期建设时难以避免会有少量的泥土掉落，对周围岸线海水环境造成影响，因此，施工期要求工人对岸线施工时，应小心谨慎，不可将泥土清扫至岸线及海中。另外，由于施工期较长，建设单位应成立施工期岸线监测管理小组，对岸线进行监管，减少对岸线及近岸海域的影响。</w:t>
      </w:r>
      <w:r>
        <w:rPr>
          <w:rFonts w:hint="eastAsia"/>
          <w:color w:val="auto"/>
          <w:lang w:val="en-US" w:eastAsia="zh-CN"/>
        </w:rPr>
        <w:t>项目施工期对岸线的影响是局部的、暂时的，并且受人为和自然条件的影响较大，随着本项目施工完成，影响也将随之消失，因此对岸线的整体环境造成的影响较小。施工时首先需对出海口施工处设置施工围堰，施工完成后，拆除围堰，还原海域。并应加强对施工现场的监管，采取有效的防护措施最大限度减少施工期间对周围环境的影响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施工期水</w:t>
      </w:r>
      <w:r>
        <w:rPr>
          <w:color w:val="auto"/>
        </w:rPr>
        <w:commentReference w:id="1"/>
      </w:r>
      <w:r>
        <w:rPr>
          <w:rFonts w:hint="default"/>
          <w:color w:val="auto"/>
          <w:lang w:val="en-US" w:eastAsia="zh-CN"/>
        </w:rPr>
        <w:t>污染防治措施</w:t>
      </w:r>
      <w:r>
        <w:rPr>
          <w:rFonts w:hint="eastAsia"/>
          <w:color w:val="auto"/>
          <w:lang w:val="en-US" w:eastAsia="zh-CN"/>
        </w:rPr>
        <w:t>：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本项目施工期废水主要为建筑施工废水和施工人员生活污水。建筑施工废水包括各种建筑材料混合过程中产生的泥浆水、机械设备运转的冷却水和洗涤水。本项目施工营地、场地设置移动式厕所或修建防渗旱厕</w:t>
      </w:r>
      <w:r>
        <w:rPr>
          <w:rFonts w:hint="eastAsia"/>
          <w:color w:val="auto"/>
          <w:lang w:val="en-US" w:eastAsia="zh-CN"/>
        </w:rPr>
        <w:t>，</w:t>
      </w:r>
      <w:r>
        <w:rPr>
          <w:rFonts w:hint="default"/>
          <w:color w:val="auto"/>
          <w:lang w:val="en-US" w:eastAsia="zh-CN"/>
        </w:rPr>
        <w:t>施工营地收集的粪便、污水经收集后由槽车运至有资质单位处理，降低施工人员生活污水的不利影响</w:t>
      </w:r>
      <w:r>
        <w:rPr>
          <w:rFonts w:hint="eastAsia"/>
          <w:color w:val="auto"/>
          <w:lang w:val="en-US" w:eastAsia="zh-CN"/>
        </w:rPr>
        <w:t>。项目产生的施工废水包括泥浆水、机械设备运转的冷却水和洗涤水，产生量较少，其中主要污染物为SS，经沉砂池沉淀处理后，回用降尘。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综上，施工期水污染物防治措施经济技术可行。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施工期</w:t>
      </w:r>
      <w:r>
        <w:rPr>
          <w:rFonts w:hint="eastAsia"/>
          <w:color w:val="auto"/>
          <w:lang w:val="en-US" w:eastAsia="zh-CN"/>
        </w:rPr>
        <w:t>大气</w:t>
      </w:r>
      <w:r>
        <w:rPr>
          <w:rFonts w:hint="default"/>
          <w:color w:val="auto"/>
          <w:lang w:val="en-US" w:eastAsia="zh-CN"/>
        </w:rPr>
        <w:t>污染防治措施</w:t>
      </w:r>
      <w:r>
        <w:rPr>
          <w:rFonts w:hint="eastAsia"/>
          <w:color w:val="auto"/>
          <w:lang w:val="en-US" w:eastAsia="zh-CN"/>
        </w:rPr>
        <w:t>：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 xml:space="preserve">为了降低项目施工期扬尘的影响，项目在施工时应严格按照要求，结合项目特点，评价要求施工过程中采取如下施工扬尘污染防治措施： 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 xml:space="preserve">①施工过程中严格落实施工场地周边围挡、物料堆放覆盖、土方开挖湿法作业、出入车辆清洗、渣土车辆密闭运输等； 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 xml:space="preserve">②水泥、砂等易洒落散装物料在装卸、使用、运输、转运过程中，必须采取防风遮盖措施，以减少扬尘；切实达到无外露、无遗撒、无扬尘才要求； 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 xml:space="preserve">③施工过程中的物料堆场应采取遮盖、洒水、喷洒覆盖剂或其他防尘措施； 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④加强施工扬尘监管，实行绿色施工，在场区四周设置围挡，以减少扬尘扩散。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同时其对环境的影响也将会随着施工的结束而消失。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项目油烟由烟罩收集并经静电油烟净化器处理后，引至高空排放</w:t>
      </w:r>
      <w:r>
        <w:rPr>
          <w:rFonts w:hint="eastAsia"/>
          <w:color w:val="auto"/>
          <w:lang w:val="en-US" w:eastAsia="zh-CN"/>
        </w:rPr>
        <w:t>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综上，施工期只要加强管理、切实落实好以上措施，施工场地</w:t>
      </w:r>
      <w:r>
        <w:rPr>
          <w:rFonts w:hint="eastAsia"/>
          <w:color w:val="auto"/>
          <w:lang w:val="en-US" w:eastAsia="zh-CN"/>
        </w:rPr>
        <w:t>废气</w:t>
      </w:r>
      <w:r>
        <w:rPr>
          <w:rFonts w:hint="default"/>
          <w:color w:val="auto"/>
          <w:lang w:val="en-US" w:eastAsia="zh-CN"/>
        </w:rPr>
        <w:t>对环境的影响将会大大降低，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施工期噪声污染防治措施</w:t>
      </w:r>
      <w:r>
        <w:rPr>
          <w:rFonts w:hint="eastAsia"/>
          <w:color w:val="auto"/>
          <w:lang w:val="en-US" w:eastAsia="zh-CN"/>
        </w:rPr>
        <w:t>：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（</w:t>
      </w:r>
      <w:r>
        <w:rPr>
          <w:rFonts w:hint="default"/>
          <w:color w:val="auto"/>
          <w:lang w:val="en-US" w:eastAsia="zh-CN"/>
        </w:rPr>
        <w:t>1）建议项目建设工程使用预拌混凝土，避免混凝土现场搅拌过程中产生的噪声。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（2）合理安排施工时间，制订施工计划时，应尽可能避免大量的高噪声设备同时施工。并对高噪设备在运行过程中进行必要的屏蔽防护。除此之外，严禁在中午(12:00～14:00)和夜间(22:00～6:00)期间作业，因特殊需要延续施工时间的，必须报有关管理部门批准，施工场界噪声应控制在《建筑施工场界环境噪声排放限值》(GB12523-2011)限值之内，才能施工作业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（3）合理布局施工现场，避免在同一地点安排大量动力机械设备，以免局部声级过高。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（4）降低设备声级，设备选型上尽量采用低噪声设备，如以液压机械代替燃油机械，振捣器采用高频型等；或选用带隔声、消声的设备。对设备定期保养，严格操作规范。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（5）降低人为噪声，按规定操作机械设备，模板、支架拆卸过程中，遵守作业规定，减少碰撞噪音。尽量少用哨子等指挥作业，以现代化设备代替，如用无线对讲机等。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（6）对施工场所，采用钢围板及临时围墙围避，阻挡施工扬尘、施工噪声的传播；施工部门应合理安排好施工时间和施工场所，高噪声作业区远离声环境敏感区，并对设备定期保养，严格操作规范。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480" w:firstLineChars="200"/>
        <w:textAlignment w:val="auto"/>
        <w:rPr>
          <w:rFonts w:hint="default"/>
          <w:color w:val="auto"/>
          <w:lang w:val="en-US" w:eastAsia="zh-CN"/>
        </w:rPr>
      </w:pPr>
      <w:r>
        <w:rPr>
          <w:rFonts w:hint="default"/>
          <w:color w:val="auto"/>
          <w:lang w:val="en-US" w:eastAsia="zh-CN"/>
        </w:rPr>
        <w:t>（7）加强运输车辆的管理，按规定组织车辆运输，合理规定运输通道。经过居民区时，车辆应限速行驶，减少鸣笛。</w:t>
      </w:r>
    </w:p>
    <w:p>
      <w:pPr>
        <w:pStyle w:val="12"/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beforeLines="0" w:afterLines="0" w:line="360" w:lineRule="auto"/>
        <w:ind w:left="0" w:firstLine="480" w:firstLineChars="200"/>
        <w:textAlignment w:val="auto"/>
        <w:rPr>
          <w:rFonts w:hint="default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default"/>
          <w:b w:val="0"/>
          <w:bCs/>
          <w:color w:val="auto"/>
          <w:sz w:val="24"/>
          <w:szCs w:val="24"/>
          <w:lang w:val="en-US" w:eastAsia="zh-CN"/>
        </w:rPr>
        <w:t>施工期固废污染防治措施</w:t>
      </w:r>
      <w:r>
        <w:rPr>
          <w:rFonts w:hint="eastAsia"/>
          <w:b w:val="0"/>
          <w:bCs/>
          <w:color w:val="auto"/>
          <w:sz w:val="24"/>
          <w:szCs w:val="24"/>
          <w:lang w:val="en-US" w:eastAsia="zh-CN"/>
        </w:rPr>
        <w:t>：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left="0" w:firstLine="480" w:firstLineChars="200"/>
        <w:textAlignment w:val="auto"/>
        <w:rPr>
          <w:rFonts w:hint="default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default"/>
          <w:b w:val="0"/>
          <w:bCs/>
          <w:color w:val="auto"/>
          <w:sz w:val="24"/>
          <w:szCs w:val="24"/>
          <w:lang w:val="en-US" w:eastAsia="zh-CN"/>
        </w:rPr>
        <w:t>本项目在施工期间产生的固体废弃物主要为建筑垃圾、弃土弃渣。如路基处理开挖的泥土、施工过程的残余混凝土、碎砖瓦砾、废料等等，这类垃圾基本上不溶解(或溶解度很低)、不飞扬、不腐烂变质，如果随意丢弃，将会影响环境景观。本项目弃方回用于护岸修护，多余部分可用于筑坝，不足部分从挖方地块取土，取土应有计划、按地块取土，尽量减少取土场植被破坏，以减少水土流失。施工期固体废弃物均得到妥善处理，不会对环境造成明显影响。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left="0" w:firstLine="480" w:firstLineChars="200"/>
        <w:textAlignment w:val="auto"/>
        <w:rPr>
          <w:rFonts w:hint="default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default"/>
          <w:b w:val="0"/>
          <w:bCs/>
          <w:color w:val="auto"/>
          <w:sz w:val="24"/>
          <w:szCs w:val="24"/>
          <w:lang w:val="en-US" w:eastAsia="zh-CN"/>
        </w:rPr>
        <w:t>施工时施工人员的生活垃圾集中堆放，由当地环卫部门统一处理，对环境影响不大。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2" w:firstLineChars="200"/>
        <w:jc w:val="left"/>
        <w:textAlignment w:val="auto"/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综上所述，项目施工期</w:t>
      </w: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废水、废气、噪声及</w:t>
      </w: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固废</w:t>
      </w: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等防治措施及</w:t>
      </w: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处置合理、去向明确，在落实防治措施后，对外环境影响不大。因此本评价认为，施工期污染防治措施经济技术可行。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2" w:firstLineChars="200"/>
        <w:jc w:val="left"/>
        <w:textAlignment w:val="auto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3.</w:t>
      </w:r>
      <w:commentRangeStart w:id="2"/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2 运营期</w:t>
      </w:r>
      <w:commentRangeEnd w:id="2"/>
      <w:r>
        <w:rPr>
          <w:color w:val="auto"/>
        </w:rPr>
        <w:commentReference w:id="2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0" w:firstLineChars="200"/>
        <w:jc w:val="left"/>
        <w:textAlignment w:val="auto"/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运营期对岸线的影响分析：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textAlignment w:val="auto"/>
        <w:rPr>
          <w:rFonts w:hint="eastAsia"/>
          <w:color w:val="auto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项目为雨水明渠工程，南海为园区雨水排放水体，其出口涉及海岸线，采用自排模式排放</w:t>
      </w:r>
      <w:r>
        <w:rPr>
          <w:rFonts w:hint="eastAsia" w:cs="Times New Roman"/>
          <w:b w:val="0"/>
          <w:bCs w:val="0"/>
          <w:color w:val="auto"/>
          <w:sz w:val="24"/>
          <w:szCs w:val="24"/>
          <w:lang w:val="en-US" w:eastAsia="zh-CN"/>
        </w:rPr>
        <w:t>，汇入南海设计地面流量为235m</w:t>
      </w:r>
      <w:r>
        <w:rPr>
          <w:rFonts w:hint="eastAsia" w:cs="Times New Roman"/>
          <w:b w:val="0"/>
          <w:bCs w:val="0"/>
          <w:color w:val="auto"/>
          <w:sz w:val="24"/>
          <w:szCs w:val="24"/>
          <w:vertAlign w:val="superscript"/>
          <w:lang w:val="en-US" w:eastAsia="zh-CN"/>
        </w:rPr>
        <w:t>3</w:t>
      </w:r>
      <w:r>
        <w:rPr>
          <w:rFonts w:hint="eastAsia" w:cs="Times New Roman"/>
          <w:b w:val="0"/>
          <w:bCs w:val="0"/>
          <w:color w:val="auto"/>
          <w:sz w:val="24"/>
          <w:szCs w:val="24"/>
          <w:lang w:val="en-US" w:eastAsia="zh-CN"/>
        </w:rPr>
        <w:t>/s,出口</w:t>
      </w:r>
      <w:commentRangeStart w:id="3"/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面积较小且通过</w:t>
      </w:r>
      <w:r>
        <w:rPr>
          <w:rFonts w:hint="eastAsia" w:cs="Times New Roman"/>
          <w:b w:val="0"/>
          <w:bCs w:val="0"/>
          <w:color w:val="auto"/>
          <w:sz w:val="24"/>
          <w:szCs w:val="24"/>
          <w:lang w:val="en-US" w:eastAsia="zh-CN"/>
        </w:rPr>
        <w:t>水闸</w:t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调节，</w:t>
      </w:r>
      <w:commentRangeEnd w:id="3"/>
      <w:r>
        <w:rPr>
          <w:color w:val="auto"/>
        </w:rPr>
        <w:commentReference w:id="3"/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运营期雨水排放不改变海域的自然属性和海岸线走向，对工程所在海域原有泥沙影响不大</w:t>
      </w:r>
      <w:r>
        <w:rPr>
          <w:rFonts w:hint="eastAsia" w:cs="Times New Roman"/>
          <w:b w:val="0"/>
          <w:bCs w:val="0"/>
          <w:color w:val="auto"/>
          <w:sz w:val="24"/>
          <w:szCs w:val="24"/>
          <w:lang w:val="en-US" w:eastAsia="zh-CN"/>
        </w:rPr>
        <w:t>，雨水明渠自排沿原有流向排放入海。</w:t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因此本项目对项目所在海岸线地形地貌和冲淤环境产生的影响较小。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0" w:firstLineChars="200"/>
        <w:jc w:val="left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运营期，项目雨水明渠工程正常运行时无废气、废水、噪声产生，只有在营运期间管道清理检修时有少量堵塞物产生。</w:t>
      </w:r>
      <w:r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需要定期进行清理，会产生浮渣、泥沙等固体废弃物，经收集后拟交由环卫部门统一处理。全部固废都得到综合利用和妥善安置，对周围环境影响不大。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2" w:firstLineChars="200"/>
        <w:jc w:val="both"/>
        <w:textAlignment w:val="auto"/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4 环境影响可接受性分析</w:t>
      </w:r>
      <w:r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0" w:firstLineChars="200"/>
        <w:jc w:val="both"/>
        <w:textAlignment w:val="auto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项目</w:t>
      </w:r>
      <w:r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工程所在位置自然条件较好，水文、气象等因素均能满足使用要求，场地地质条件明确，具备了建设的地质条件。工程水电、道路等外部协作条件可行。工程的建设符合当地政策环境要求。施工期产生的废水和固体废物都进行集中收集处理。施工期产生的</w:t>
      </w:r>
      <w:r>
        <w:rPr>
          <w:rFonts w:hint="eastAsia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>污染物</w:t>
      </w:r>
      <w:r>
        <w:rPr>
          <w:rFonts w:hint="default" w:ascii="Times New Roman" w:hAnsi="Times New Roman" w:cs="Times New Roman"/>
          <w:b w:val="0"/>
          <w:bCs w:val="0"/>
          <w:color w:val="auto"/>
          <w:sz w:val="24"/>
          <w:szCs w:val="24"/>
          <w:lang w:val="en-US" w:eastAsia="zh-CN"/>
        </w:rPr>
        <w:t xml:space="preserve">扩散范围局限在项目附近，将对附近环境造成一定影响，但这种影响是暂时的，随施工的结束而结束。项目建设对各海洋保护区、环境敏感目标的水文动力条件、冲淤环境及海洋生态环境的影响较小。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60" w:lineRule="auto"/>
        <w:ind w:right="0" w:rightChars="0" w:firstLine="482" w:firstLineChars="200"/>
        <w:jc w:val="left"/>
        <w:textAlignment w:val="auto"/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5</w:t>
      </w: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.结论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本项目的实施可以满足大南海石化工业区水体防控的要求，对于</w:t>
      </w:r>
      <w:r>
        <w:rPr>
          <w:rFonts w:hint="default" w:ascii="Times New Roman" w:hAnsi="Times New Roman" w:eastAsia="宋体" w:cs="Times New Roman"/>
          <w:color w:val="auto"/>
          <w:kern w:val="0"/>
          <w:sz w:val="24"/>
          <w:szCs w:val="24"/>
          <w:lang w:val="en-US" w:eastAsia="zh-CN" w:bidi="ar"/>
        </w:rPr>
        <w:t>园区起步区和综合配套服务区的建设迫</w:t>
      </w: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具有强大的推动作用。因此本项目的建设非常迫切和必要的。本项目与临港路西段相交，本项目已经过规划部门的规划审批，综合考虑与路网规划相符性及功能定位等多方面因素，选线是可行的。本项目涉及严格保护岸段和大陆自然保有岸线是不可避免地，建设期间会对沿线生态环境产生一定影响，但只要落实相应的减缓措施，其不利影响是可以得到有效控制的。终上，本项目符合城市规划及环境保护要求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，</w:t>
      </w: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 xml:space="preserve">项目建设方案综合考虑邻近海域自然条件和海洋资源开发利用现状，选址基本已被限定，因此项目的选址具有唯一性和确定性，没有选址备选方案。 综上所述，本项目的选址是合理的。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</w:p>
    <w:bookmarkEnd w:id="1"/>
    <w:p>
      <w:pPr>
        <w:pStyle w:val="4"/>
        <w:spacing w:before="199" w:line="362" w:lineRule="auto"/>
        <w:ind w:left="0" w:leftChars="0" w:right="233" w:firstLine="0" w:firstLineChars="0"/>
      </w:pPr>
    </w:p>
    <w:sectPr>
      <w:footerReference r:id="rId6" w:type="default"/>
      <w:pgSz w:w="11910" w:h="16840"/>
      <w:pgMar w:top="1160" w:right="900" w:bottom="1380" w:left="1020" w:header="0" w:footer="1199" w:gutter="0"/>
      <w:pgNumType w:fmt="decimal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comment w:id="0" w:author="algone" w:date="2021-02-23T16:58:16Z" w:initials="A">
    <w:p w14:paraId="7EFF6971">
      <w:pPr>
        <w:pStyle w:val="3"/>
        <w:rPr>
          <w:rFonts w:hint="eastAsia"/>
          <w:lang w:eastAsia="zh-CN"/>
        </w:rPr>
      </w:pPr>
      <w:r>
        <w:rPr>
          <w:rFonts w:hint="eastAsia"/>
          <w:lang w:eastAsia="zh-CN"/>
        </w:rPr>
        <w:t>补充对保护目标的影响分析</w:t>
      </w:r>
    </w:p>
    <w:p w14:paraId="3953281F">
      <w:pPr>
        <w:pStyle w:val="3"/>
        <w:rPr>
          <w:rFonts w:hint="eastAsia"/>
          <w:lang w:eastAsia="zh-CN"/>
        </w:rPr>
      </w:pPr>
      <w:r>
        <w:rPr>
          <w:rFonts w:hint="eastAsia"/>
          <w:lang w:eastAsia="zh-CN"/>
        </w:rPr>
        <w:t>雨水排口排出的水是否直接漫过岸线沙滩排入南海？这种排放方式，雨量大时是不是直接对岸线进行冲刷了？岸线都被冲没了，</w:t>
      </w:r>
      <w:r>
        <w:rPr>
          <w:rFonts w:hint="eastAsia"/>
          <w:lang w:val="en-US" w:eastAsia="zh-CN"/>
        </w:rPr>
        <w:t>20多米宽的水渠，如何保护岸线？</w:t>
      </w:r>
      <w:r>
        <w:rPr>
          <w:rFonts w:hint="eastAsia"/>
          <w:lang w:eastAsia="zh-CN"/>
        </w:rPr>
        <w:t>补充完善相应的措施</w:t>
      </w:r>
    </w:p>
  </w:comment>
  <w:comment w:id="1" w:author="algone" w:date="2021-02-23T17:02:01Z" w:initials="A">
    <w:p w14:paraId="0BA6422E">
      <w:pPr>
        <w:pStyle w:val="3"/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补充说明是否对岸线带来影响</w:t>
      </w:r>
    </w:p>
  </w:comment>
  <w:comment w:id="2" w:author="algone" w:date="2021-02-23T17:01:31Z" w:initials="A">
    <w:p w14:paraId="437C76D4">
      <w:pPr>
        <w:pStyle w:val="3"/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同前意见</w:t>
      </w:r>
    </w:p>
  </w:comment>
  <w:comment w:id="3" w:author="algone" w:date="2021-03-09T16:11:37Z" w:initials="A">
    <w:p w14:paraId="1AE7441B">
      <w:pPr>
        <w:pStyle w:val="3"/>
        <w:rPr>
          <w:rFonts w:hint="eastAsia" w:eastAsia="宋体"/>
          <w:lang w:eastAsia="zh-CN"/>
        </w:rPr>
      </w:pPr>
      <w:r>
        <w:rPr>
          <w:rFonts w:hint="eastAsia"/>
          <w:highlight w:val="yellow"/>
          <w:lang w:eastAsia="zh-CN"/>
        </w:rPr>
        <w:t>细化排海口排放的方式，同之前的意见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commentEx w15:paraId="3953281F" w15:done="0"/>
  <w15:commentEx w15:paraId="0BA6422E" w15:done="0"/>
  <w15:commentEx w15:paraId="437C76D4" w15:done="0"/>
  <w15:commentEx w15:paraId="1AE7441B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02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imesNewRomanPS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0" w:line="14" w:lineRule="auto"/>
      <w:ind w:left="0" w:firstLine="0"/>
      <w:rPr>
        <w:sz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0" w:line="14" w:lineRule="auto"/>
      <w:ind w:left="0" w:firstLine="0"/>
      <w:rPr>
        <w:sz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6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6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6D47908"/>
    <w:multiLevelType w:val="singleLevel"/>
    <w:tmpl w:val="96D47908"/>
    <w:lvl w:ilvl="0" w:tentative="0">
      <w:start w:val="1"/>
      <w:numFmt w:val="decimal"/>
      <w:suff w:val="nothing"/>
      <w:lvlText w:val="%1）"/>
      <w:lvlJc w:val="left"/>
    </w:lvl>
  </w:abstractNum>
  <w:abstractNum w:abstractNumId="1">
    <w:nsid w:val="71E9260F"/>
    <w:multiLevelType w:val="singleLevel"/>
    <w:tmpl w:val="71E9260F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algone">
    <w15:presenceInfo w15:providerId="None" w15:userId="algon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revisionView w:markup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0EC68BB"/>
    <w:rsid w:val="03606A94"/>
    <w:rsid w:val="0C5A1F87"/>
    <w:rsid w:val="0CE2112A"/>
    <w:rsid w:val="1C0F2C65"/>
    <w:rsid w:val="1F476F4B"/>
    <w:rsid w:val="20EC68BB"/>
    <w:rsid w:val="2A0103CA"/>
    <w:rsid w:val="2F4131D8"/>
    <w:rsid w:val="34713695"/>
    <w:rsid w:val="367109AA"/>
    <w:rsid w:val="37C16FFA"/>
    <w:rsid w:val="3E2365A8"/>
    <w:rsid w:val="43D06001"/>
    <w:rsid w:val="47BF30B4"/>
    <w:rsid w:val="4D6138B6"/>
    <w:rsid w:val="5B7713DF"/>
    <w:rsid w:val="5EF41487"/>
    <w:rsid w:val="61095A47"/>
    <w:rsid w:val="67176FE5"/>
    <w:rsid w:val="6E927CF1"/>
    <w:rsid w:val="76FC1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ind w:left="112"/>
      <w:outlineLvl w:val="1"/>
    </w:pPr>
    <w:rPr>
      <w:rFonts w:ascii="宋体" w:hAnsi="宋体" w:eastAsia="宋体" w:cs="宋体"/>
      <w:b/>
      <w:bCs/>
      <w:sz w:val="30"/>
      <w:szCs w:val="30"/>
      <w:lang w:val="zh-CN" w:eastAsia="zh-CN" w:bidi="zh-CN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qFormat/>
    <w:uiPriority w:val="0"/>
    <w:pPr>
      <w:jc w:val="left"/>
    </w:pPr>
  </w:style>
  <w:style w:type="paragraph" w:styleId="4">
    <w:name w:val="Body Text"/>
    <w:basedOn w:val="1"/>
    <w:qFormat/>
    <w:uiPriority w:val="1"/>
    <w:pPr>
      <w:spacing w:before="1"/>
      <w:ind w:left="292" w:firstLine="480"/>
    </w:pPr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Normal (Web)"/>
    <w:qFormat/>
    <w:uiPriority w:val="0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4"/>
      <w:szCs w:val="22"/>
      <w:lang w:val="zh-CN" w:eastAsia="zh-CN" w:bidi="zh-CN"/>
    </w:rPr>
  </w:style>
  <w:style w:type="paragraph" w:customStyle="1" w:styleId="9">
    <w:name w:val="正文 首行缩进:  2 字符"/>
    <w:basedOn w:val="1"/>
    <w:qFormat/>
    <w:uiPriority w:val="0"/>
    <w:pPr>
      <w:spacing w:before="0" w:line="240" w:lineRule="auto"/>
      <w:ind w:firstLine="579" w:firstLineChars="200"/>
    </w:pPr>
    <w:rPr>
      <w:rFonts w:ascii="Times New Roman" w:hAnsi="Times New Roman" w:cs="宋体"/>
      <w:sz w:val="28"/>
      <w:szCs w:val="20"/>
    </w:rPr>
  </w:style>
  <w:style w:type="paragraph" w:customStyle="1" w:styleId="10">
    <w:name w:val="Default"/>
    <w:basedOn w:val="11"/>
    <w:next w:val="12"/>
    <w:qFormat/>
    <w:uiPriority w:val="0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  <w:lang w:val="en-US" w:eastAsia="zh-CN" w:bidi="ar-SA"/>
    </w:rPr>
  </w:style>
  <w:style w:type="paragraph" w:customStyle="1" w:styleId="11">
    <w:name w:val="纯文本1"/>
    <w:qFormat/>
    <w:uiPriority w:val="0"/>
    <w:pPr>
      <w:widowControl w:val="0"/>
      <w:adjustRightInd w:val="0"/>
      <w:jc w:val="both"/>
    </w:pPr>
    <w:rPr>
      <w:rFonts w:ascii="宋体" w:hAnsi="Courier New" w:eastAsia="宋体" w:cs="Times New Roman"/>
      <w:kern w:val="2"/>
      <w:sz w:val="21"/>
      <w:szCs w:val="20"/>
      <w:lang w:val="en-US" w:eastAsia="zh-CN" w:bidi="ar-SA"/>
    </w:rPr>
  </w:style>
  <w:style w:type="paragraph" w:customStyle="1" w:styleId="12">
    <w:name w:val="正文文字 6"/>
    <w:next w:val="1"/>
    <w:unhideWhenUsed/>
    <w:qFormat/>
    <w:uiPriority w:val="0"/>
    <w:pPr>
      <w:widowControl w:val="0"/>
      <w:spacing w:beforeLines="0" w:afterLines="0"/>
      <w:ind w:left="240"/>
      <w:jc w:val="both"/>
    </w:pPr>
    <w:rPr>
      <w:rFonts w:hint="eastAsia" w:ascii="宋体" w:hAnsi="Times New Roman" w:eastAsia="宋体" w:cs="Times New Roman"/>
      <w:b/>
      <w:kern w:val="2"/>
      <w:sz w:val="32"/>
      <w:lang w:val="en-US" w:eastAsia="zh-CN"/>
    </w:rPr>
  </w:style>
  <w:style w:type="paragraph" w:customStyle="1" w:styleId="13">
    <w:name w:val="正 文"/>
    <w:qFormat/>
    <w:uiPriority w:val="0"/>
    <w:pPr>
      <w:widowControl w:val="0"/>
      <w:spacing w:line="480" w:lineRule="exact"/>
      <w:ind w:firstLine="471"/>
      <w:jc w:val="both"/>
    </w:pPr>
    <w:rPr>
      <w:rFonts w:ascii="Times New Roman" w:hAnsi="Times New Roman" w:eastAsia="宋体" w:cs="Times New Roman"/>
      <w:kern w:val="2"/>
      <w:sz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microsoft.com/office/2011/relationships/commentsExtended" Target="commentsExtended.xml"/><Relationship Id="rId3" Type="http://schemas.openxmlformats.org/officeDocument/2006/relationships/comments" Target="comments.xml"/><Relationship Id="rId2" Type="http://schemas.openxmlformats.org/officeDocument/2006/relationships/settings" Target="settings.xml"/><Relationship Id="rId12" Type="http://schemas.microsoft.com/office/2011/relationships/people" Target="people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2020-12-09T02:16:00Z</dcterms:created>
  <dc:creator>Hygge</dc:creator>
  <cp:lastModifiedBy>Hygge</cp:lastModifiedBy>
  <dcterms:modified xsi:type="dcterms:W3CDTF">2021-03-15T01:18:46Z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