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揭阳市“食在揭阳”餐饮消费券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深入贯彻落实省委、省政府关于促消费专题会议的决策部署，抢抓全运会举办和新春消费旺季有利时机，有效释放消费潜力，激发市场活力，根据《广东省商务厅关于印发广东优品促销活动实施方案的通知》工作要求和《揭阳市“粤享暖冬 乐游揭阳”消费季活动总体方案》的具体部署，结合我市实际，特制定本实施方案。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一、总体内容及目标​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次活动我市将按照省级对“食在广东”餐饮消费券发券活动的统筹规划，结合揭阳市实际消费市场情况，通过统一政策标准，组织全市重点餐饮经营主体、住宿经营主体参与，集中发放“食在揭阳”餐饮消费券，旨在释放消费潜力、提振消费信心。本次活动将借鉴往年我市消费券促消费活动的成功经验，促进餐饮消费增量，餐饮消费券拉动比不低于 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二、活动内容​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CESI仿宋-GB2312" w:hAnsi="CESI仿宋-GB2312" w:eastAsia="CESI仿宋-GB2312" w:cs="CESI仿宋-GB2312"/>
          <w:sz w:val="32"/>
          <w:szCs w:val="32"/>
          <w:lang w:val="en-US" w:eastAsia="zh-CN"/>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（一）活动时间：</w:t>
      </w:r>
      <w:r>
        <w:rPr>
          <w:rFonts w:hint="eastAsia" w:ascii="CESI仿宋-GB2312" w:hAnsi="CESI仿宋-GB2312" w:eastAsia="CESI仿宋-GB2312" w:cs="CESI仿宋-GB2312"/>
          <w:sz w:val="32"/>
          <w:szCs w:val="32"/>
          <w:lang w:val="en-US" w:eastAsia="zh-CN"/>
        </w:rPr>
        <w:t>2025年11月至2026年3月，逢周五统一发券，发券时间为早上10:00开始至晚上23：59截止；承兑有效期至下周四23：59止。首次发劵时间为2025年11月7日。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CESI仿宋-GB2312" w:hAnsi="CESI仿宋-GB2312" w:eastAsia="CESI仿宋-GB2312" w:cs="CESI仿宋-GB2312"/>
          <w:sz w:val="32"/>
          <w:szCs w:val="32"/>
          <w:lang w:val="en-US" w:eastAsia="zh-CN"/>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（二）资金安排：</w:t>
      </w:r>
      <w:r>
        <w:rPr>
          <w:rFonts w:hint="eastAsia" w:ascii="CESI仿宋-GB2312" w:hAnsi="CESI仿宋-GB2312" w:eastAsia="CESI仿宋-GB2312" w:cs="CESI仿宋-GB2312"/>
          <w:sz w:val="32"/>
          <w:szCs w:val="32"/>
          <w:lang w:val="en-US" w:eastAsia="zh-CN"/>
        </w:rPr>
        <w:t>发放本次餐饮消费券总额由省级财政全额承担，根据《揭阳市“粤享暖冬 乐游揭阳”消费季活动总体方案》的统一安排，根据各品类资金使用情况，实时调控。活动实施期间，我市将严格按照省级资金管理规定，确保专款专用，并按规定程序做好资金申请、使用及清算工作。</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CESI仿宋-GB2312" w:hAnsi="CESI仿宋-GB2312" w:eastAsia="CESI仿宋-GB2312" w:cs="CESI仿宋-GB2312"/>
          <w:sz w:val="32"/>
          <w:szCs w:val="32"/>
          <w:lang w:val="en-US" w:eastAsia="zh-CN"/>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（三）合作方式：</w:t>
      </w:r>
      <w:r>
        <w:rPr>
          <w:rFonts w:hint="eastAsia" w:ascii="CESI仿宋-GB2312" w:hAnsi="CESI仿宋-GB2312" w:eastAsia="CESI仿宋-GB2312" w:cs="CESI仿宋-GB2312"/>
          <w:sz w:val="32"/>
          <w:szCs w:val="32"/>
          <w:lang w:val="en-US" w:eastAsia="zh-CN"/>
        </w:rPr>
        <w:t>为保证发放效率，提高消费券发放规范性，本轮消费券发放继续沿用今年以旧换新合作平台，依然延续由市商务局与云闪付APP等支付平台合作，通过“粤焕新”平台作统一数据归集，与“粤焕新”平台打通数据归集功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三、活动规则​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atLeast"/>
        <w:ind w:leftChars="200" w:right="0" w:rightChars="0"/>
        <w:jc w:val="left"/>
        <w:textAlignment w:val="baseline"/>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（一）消费券种类及金额设定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次发放的消费券为电子消费券通用券，采取定额优惠的方式，分为“满100元减20元”“满200元减40元”“满300元减60元”“满400元减80元”四种面额。消费者抢到消费券后，使用时在餐饮类、住宿类等行业的商家均可消费（仅限于现场餐饮消费，不支持退货类、住店类交易以及住宿预授权交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atLeast"/>
        <w:ind w:leftChars="200" w:right="0" w:rightChars="0"/>
        <w:jc w:val="left"/>
        <w:textAlignment w:val="baseline"/>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（二）覆盖范围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1.发放对象：消费券面向揭阳本地群众和来揭阳的外地旅客发放。（核销时定位在揭阳市内的消费群体）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参与企业：在揭阳市登记注册，具有独立法人资格，从事餐饮业务，依法纳税、诚信经营、具有一定规模和成长性好的重点餐饮经营主体、住宿经营主体。（未经省商务厅备案的商家，不得使用省财政资金参与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四、发放方案​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2025年11月至2026年3月期间，逢派券日通过云闪付APP等支付平台发放定额消费券，分别为：“满100元减20元”“满200元减40元”“满300元减60元”“满400元减80元”四种面额。定位在揭阳市的用户可免费领取并核销。活动期间，云闪付APP等支付平台每个周期内均发放不同面值的消费券，所有符合条件的用户均可抢券，每位消费者在每个发券周期，每种面额消费劵限领1张，每桌仅限使用1张，先到先得，抢完即止，过期作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执行单位将消费券抢券结果发放到对应用户，用户领取消费券到参与活动的实体商家消费抵扣。消费券可对应用于任何一家参与活动企业的消费抵扣。消费抵扣券以券面标注同等金额核销并实时支付给商家，使用餐饮消费券的每一笔交易不允许拆单，超出的需支付款项，消费者选用其他方式自行支付。消费券可以在商家其他优惠活动的基础上叠加使用，但不能用于商家预付卡、代金券、充值及储值卡购买等服务。消费券不能转让，不能共享，在有效限内使用完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五、实施步骤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pPr>
      <w:r>
        <w:rPr>
          <w:rFonts w:hint="eastAsia" w:ascii="CESI仿宋-GB2312" w:hAnsi="CESI仿宋-GB2312" w:eastAsia="CESI仿宋-GB2312" w:cs="CESI仿宋-GB2312"/>
          <w:sz w:val="32"/>
          <w:szCs w:val="32"/>
          <w:lang w:val="en-US" w:eastAsia="zh-CN"/>
        </w:rPr>
        <w:t>（一）11月4</w:t>
      </w:r>
      <w:bookmarkStart w:id="0" w:name="_GoBack"/>
      <w:bookmarkEnd w:id="0"/>
      <w:r>
        <w:rPr>
          <w:rFonts w:hint="eastAsia" w:ascii="CESI仿宋-GB2312" w:hAnsi="CESI仿宋-GB2312" w:eastAsia="CESI仿宋-GB2312" w:cs="CESI仿宋-GB2312"/>
          <w:sz w:val="32"/>
          <w:szCs w:val="32"/>
          <w:lang w:val="en-US" w:eastAsia="zh-CN"/>
        </w:rPr>
        <w:t>日前制定我市线上活动发券方案并将我市消费券相关情况材料报省商务厅，分批公布参与企业名单。</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（市商务局牵头，市委宣传部、市发展改革局、市公安局、市财政局、市农业农村局、市文广旅游体育局、市市场监管局配合）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（二）省级资金下达后，市商务局按程序报批和下达项目计划，市财政局下达项目资金。同时敦促活动于11月7日前上线平台。</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（市商务局、市财政局按职责分别负责）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pPr>
      <w:r>
        <w:rPr>
          <w:rFonts w:hint="eastAsia" w:ascii="CESI仿宋-GB2312" w:hAnsi="CESI仿宋-GB2312" w:eastAsia="CESI仿宋-GB2312" w:cs="CESI仿宋-GB2312"/>
          <w:sz w:val="32"/>
          <w:szCs w:val="32"/>
          <w:lang w:val="en-US" w:eastAsia="zh-CN"/>
        </w:rPr>
        <w:t>（三）及时掌握发券效果，按月度报送发券工作和绩效情况给省商务厅。</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（市商务局负责）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pPr>
      <w:r>
        <w:rPr>
          <w:rFonts w:hint="eastAsia" w:ascii="CESI仿宋-GB2312" w:hAnsi="CESI仿宋-GB2312" w:eastAsia="CESI仿宋-GB2312" w:cs="CESI仿宋-GB2312"/>
          <w:sz w:val="32"/>
          <w:szCs w:val="32"/>
          <w:lang w:val="en-US" w:eastAsia="zh-CN"/>
        </w:rPr>
        <w:t>（四）2026年3月底前完成餐饮消费券发放，报送餐饮消费券发放情况和绩效总结。后续配合省完成资金清算等工作。</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（市商务局、市财政局按职责分别负责）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六、工作保障</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（一）加强组织领导。</w:t>
      </w:r>
      <w:r>
        <w:rPr>
          <w:rFonts w:hint="eastAsia" w:ascii="CESI仿宋-GB2312" w:hAnsi="CESI仿宋-GB2312" w:eastAsia="CESI仿宋-GB2312" w:cs="CESI仿宋-GB2312"/>
          <w:sz w:val="32"/>
          <w:szCs w:val="32"/>
          <w:lang w:val="en-US" w:eastAsia="zh-CN"/>
        </w:rPr>
        <w:t>市商务局牵头会同相关单位，统筹推进消费促进活动实施，确保活动顺利开展。</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（责任单位：市商务局、市公安局、市财政局、市文化广电旅游体育局、市市场监管局、各县&lt;市、区&gt;人民政府&lt;管委会&gt;）</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（二）明确责任分工。</w:t>
      </w:r>
      <w:r>
        <w:rPr>
          <w:rFonts w:hint="eastAsia" w:ascii="CESI仿宋-GB2312" w:hAnsi="CESI仿宋-GB2312" w:eastAsia="CESI仿宋-GB2312" w:cs="CESI仿宋-GB2312"/>
          <w:sz w:val="32"/>
          <w:szCs w:val="32"/>
          <w:lang w:val="en-US" w:eastAsia="zh-CN"/>
        </w:rPr>
        <w:t>有关部门要提高思想认识，加强沟通配合，把各项任务细化分解落实，及时研究解决落实中出现的问题。市商务局负责统筹协调消费券发放工作；市公安局负责对“黄牛党”“羊毛党”等虚假交易行为按相关法律法规查处；市财政局负责落实资金筹措；市市场监管局对商家企业诚信经营行为进行监管；市文化广电旅游体育局协助发动重点住宿、餐饮主体等参与本次活动；揭阳金融监管分局负责发动银行等金融机构参加本次活动；中国人民银行揭阳市分行监督管理合作平台本次活动的开展情况及做好数据监测工作。</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（责任单位：市商务局、市公安局、市财政局、市市场监管局、市文化广电旅游体育局、揭阳金融监管分局、中国人民银行揭阳市分行、各县&lt;市、区&gt;人民政府&lt;管委会&gt;）</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CESI仿宋-GB2312" w:hAnsi="CESI仿宋-GB2312" w:eastAsia="CESI仿宋-GB2312" w:cs="CESI仿宋-GB2312"/>
          <w:sz w:val="32"/>
          <w:szCs w:val="32"/>
          <w:lang w:val="en-US" w:eastAsia="zh-CN"/>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（三）突出宣传引导。</w:t>
      </w:r>
      <w:r>
        <w:rPr>
          <w:rFonts w:hint="eastAsia" w:ascii="CESI仿宋-GB2312" w:hAnsi="CESI仿宋-GB2312" w:eastAsia="CESI仿宋-GB2312" w:cs="CESI仿宋-GB2312"/>
          <w:sz w:val="32"/>
          <w:szCs w:val="32"/>
          <w:lang w:val="en-US" w:eastAsia="zh-CN"/>
        </w:rPr>
        <w:t>充分发挥揭阳媒体舆论宣传作用，全面调动全市主流媒体、微博、微信公众号、APP等媒体资源，特别是组织发券平台和参与活动企业进行全方位新闻报道和舆论引导，并利用公益广告资源，通过LED大屏、宣传栏、灯箱广告等载体，增强公众对消费券活动的认知，增强社会关注度，共同营造良好的促消费氛围。</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（责任单位：市委宣传部、市商务局、市文化广电旅游体育局、市市场监管局、市城管执法局、各县&lt;市、区&gt;人民政府&lt;管委会&gt;）</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CESI仿宋-GB2312" w:hAnsi="CESI仿宋-GB2312" w:eastAsia="CESI仿宋-GB2312" w:cs="CESI仿宋-GB2312"/>
          <w:sz w:val="32"/>
          <w:szCs w:val="32"/>
          <w:lang w:val="en-US" w:eastAsia="zh-CN"/>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（四）强化监督管理。</w:t>
      </w:r>
      <w:r>
        <w:rPr>
          <w:rFonts w:hint="eastAsia" w:ascii="CESI仿宋-GB2312" w:hAnsi="CESI仿宋-GB2312" w:eastAsia="CESI仿宋-GB2312" w:cs="CESI仿宋-GB2312"/>
          <w:sz w:val="32"/>
          <w:szCs w:val="32"/>
          <w:lang w:val="en-US" w:eastAsia="zh-CN"/>
        </w:rPr>
        <w:t>要进一步加强消费券发放、使用全流程监管，及时掌握资金使用、财务管理、发放效果等情况，定期、不定期对消费券资金使用情况进行监督检查。组织发券平台对参加活动商户的监管，定期对消费券使用情况开展检查，重点检查频繁压线使用消费券、消费券使用规模与商户日常经营规模不符等情况。要重拳打击“黄牛党”，一旦发现商户或个人恶意“薅羊毛”行为，立即纳入消费券领用黑名单，收回已补贴资金，不再纳入政策支持范围，必要时转请公安部门按相关法律法规查处。合作平台要及时向政府相关部门提供有关数据。</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（责任单位：市商务局、市公安局、市财政局、市文化广电旅游体育局、市市场监管局、各县&lt;市、区&gt;人民政府&lt;管委会&gt;）</w:t>
      </w:r>
    </w:p>
    <w:p>
      <w:pPr>
        <w:keepNext w:val="0"/>
        <w:keepLines w:val="0"/>
        <w:pageBreakBefore w:val="0"/>
        <w:widowControl w:val="0"/>
        <w:kinsoku/>
        <w:wordWrap/>
        <w:overflowPunct/>
        <w:topLinePunct w:val="0"/>
        <w:autoSpaceDE/>
        <w:autoSpaceDN/>
        <w:bidi w:val="0"/>
        <w:adjustRightInd/>
        <w:snapToGrid/>
        <w:textAlignment w:val="auto"/>
        <w:rPr>
          <w:rFonts w:hint="eastAsia" w:ascii="CESI仿宋-GB2312" w:hAnsi="CESI仿宋-GB2312" w:eastAsia="CESI仿宋-GB2312" w:cs="CESI仿宋-GB2312"/>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34E32"/>
    <w:rsid w:val="3C7E826E"/>
    <w:rsid w:val="3EAB0813"/>
    <w:rsid w:val="3FA194BE"/>
    <w:rsid w:val="5BEFBC5B"/>
    <w:rsid w:val="6BA7B277"/>
    <w:rsid w:val="6F5F85B9"/>
    <w:rsid w:val="77C97DB1"/>
    <w:rsid w:val="79B7649A"/>
    <w:rsid w:val="7BBB46B1"/>
    <w:rsid w:val="7E77DA68"/>
    <w:rsid w:val="97A7B3E4"/>
    <w:rsid w:val="BDFFF3D7"/>
    <w:rsid w:val="CFDBCA99"/>
    <w:rsid w:val="EE4BD97C"/>
    <w:rsid w:val="EE76517E"/>
    <w:rsid w:val="F2B926CB"/>
    <w:rsid w:val="F7ED3864"/>
    <w:rsid w:val="F7FFD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spacing w:beforeLines="0" w:afterLines="0"/>
      <w:ind w:left="420" w:leftChars="200"/>
    </w:pPr>
    <w:rPr>
      <w:rFonts w:hint="eastAsia"/>
      <w:sz w:val="3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admin001</cp:lastModifiedBy>
  <cp:lastPrinted>2025-11-03T14:54:34Z</cp:lastPrinted>
  <dcterms:modified xsi:type="dcterms:W3CDTF">2025-11-03T14:56:24Z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