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EFF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1E65E8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14:paraId="6DF55B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u w:val="none"/>
        </w:rPr>
      </w:pPr>
      <w:r>
        <w:rPr>
          <w:rFonts w:hint="eastAsia" w:ascii="方正小标宋_GBK" w:hAnsi="方正小标宋_GBK" w:eastAsia="方正小标宋_GBK" w:cs="方正小标宋_GBK"/>
          <w:b w:val="0"/>
          <w:bCs w:val="0"/>
          <w:sz w:val="44"/>
          <w:szCs w:val="44"/>
        </w:rPr>
        <w:t>会场观摩工程</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color w:val="000000"/>
          <w:sz w:val="44"/>
          <w:szCs w:val="44"/>
          <w:highlight w:val="none"/>
          <w:u w:val="none"/>
        </w:rPr>
        <w:t>泰丰·半岛明珠项目一期</w:t>
      </w:r>
    </w:p>
    <w:p w14:paraId="281195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u w:val="none"/>
          <w:lang w:val="en-US" w:eastAsia="zh-CN"/>
        </w:rPr>
      </w:pPr>
      <w:r>
        <w:rPr>
          <w:rFonts w:hint="eastAsia" w:ascii="方正小标宋_GBK" w:hAnsi="方正小标宋_GBK" w:eastAsia="方正小标宋_GBK" w:cs="方正小标宋_GBK"/>
          <w:b w:val="0"/>
          <w:bCs w:val="0"/>
          <w:color w:val="000000"/>
          <w:sz w:val="44"/>
          <w:szCs w:val="44"/>
          <w:highlight w:val="none"/>
          <w:u w:val="none"/>
        </w:rPr>
        <w:t>B区施工总承包工程</w:t>
      </w:r>
      <w:r>
        <w:rPr>
          <w:rFonts w:hint="eastAsia" w:ascii="方正小标宋_GBK" w:hAnsi="方正小标宋_GBK" w:eastAsia="方正小标宋_GBK" w:cs="方正小标宋_GBK"/>
          <w:b w:val="0"/>
          <w:bCs w:val="0"/>
          <w:color w:val="000000"/>
          <w:sz w:val="44"/>
          <w:szCs w:val="44"/>
          <w:highlight w:val="none"/>
          <w:u w:val="none"/>
          <w:lang w:val="en-US" w:eastAsia="zh-CN"/>
        </w:rPr>
        <w:t>项目</w:t>
      </w:r>
    </w:p>
    <w:p w14:paraId="6E79C9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highlight w:val="none"/>
          <w:u w:val="none"/>
          <w:lang w:val="en-US" w:eastAsia="zh-CN"/>
        </w:rPr>
      </w:pPr>
    </w:p>
    <w:p w14:paraId="24C63D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highlight w:val="none"/>
          <w:u w:val="none"/>
          <w:lang w:val="en-US" w:eastAsia="zh-CN"/>
        </w:rPr>
      </w:pPr>
      <w:r>
        <w:rPr>
          <w:rFonts w:hint="eastAsia" w:ascii="黑体" w:hAnsi="黑体" w:eastAsia="黑体" w:cs="黑体"/>
          <w:b w:val="0"/>
          <w:bCs w:val="0"/>
          <w:color w:val="000000"/>
          <w:sz w:val="32"/>
          <w:szCs w:val="32"/>
          <w:highlight w:val="none"/>
          <w:u w:val="none"/>
          <w:lang w:val="en-US" w:eastAsia="zh-CN"/>
        </w:rPr>
        <w:t>一、项目介绍</w:t>
      </w:r>
    </w:p>
    <w:p w14:paraId="263610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lang w:val="en-US" w:eastAsia="zh-CN"/>
        </w:rPr>
        <w:t>（一）项目名称</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rPr>
        <w:t>泰丰·半岛明珠项目一期B区施工总承包工程</w:t>
      </w:r>
    </w:p>
    <w:p w14:paraId="6A0C37A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GB" w:eastAsia="zh-CN"/>
        </w:rPr>
      </w:pPr>
      <w:r>
        <w:rPr>
          <w:rFonts w:hint="eastAsia" w:ascii="仿宋_GB2312" w:hAnsi="仿宋_GB2312" w:eastAsia="仿宋_GB2312" w:cs="仿宋_GB2312"/>
          <w:b/>
          <w:bCs/>
          <w:color w:val="000000"/>
          <w:sz w:val="32"/>
          <w:szCs w:val="32"/>
          <w:highlight w:val="none"/>
          <w:u w:val="none"/>
          <w:lang w:val="en-US" w:eastAsia="zh-CN"/>
        </w:rPr>
        <w:t>（二）建设单位</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auto"/>
          <w:kern w:val="2"/>
          <w:sz w:val="32"/>
          <w:szCs w:val="32"/>
          <w:lang w:val="en-GB" w:eastAsia="zh-CN"/>
        </w:rPr>
        <w:t>揭阳市金印房地产开发有限公司</w:t>
      </w:r>
    </w:p>
    <w:p w14:paraId="61B483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GB" w:eastAsia="zh-CN"/>
        </w:rPr>
      </w:pPr>
      <w:r>
        <w:rPr>
          <w:rFonts w:hint="eastAsia" w:ascii="仿宋_GB2312" w:hAnsi="仿宋_GB2312" w:eastAsia="仿宋_GB2312" w:cs="仿宋_GB2312"/>
          <w:b/>
          <w:bCs/>
          <w:color w:val="auto"/>
          <w:kern w:val="2"/>
          <w:sz w:val="32"/>
          <w:szCs w:val="32"/>
          <w:lang w:val="en-US" w:eastAsia="zh-CN"/>
        </w:rPr>
        <w:t>（三）监理单位</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GB" w:eastAsia="zh-CN"/>
        </w:rPr>
        <w:t>厦门住总建设有限公司</w:t>
      </w:r>
    </w:p>
    <w:p w14:paraId="3F7B48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（四）施工单位</w:t>
      </w:r>
      <w:r>
        <w:rPr>
          <w:rFonts w:hint="eastAsia" w:ascii="仿宋_GB2312" w:hAnsi="仿宋_GB2312" w:eastAsia="仿宋_GB2312" w:cs="仿宋_GB2312"/>
          <w:color w:val="auto"/>
          <w:kern w:val="2"/>
          <w:sz w:val="32"/>
          <w:szCs w:val="32"/>
          <w:lang w:val="en-US" w:eastAsia="zh-CN"/>
        </w:rPr>
        <w:t>：中建七局第四建筑有限公司</w:t>
      </w:r>
    </w:p>
    <w:p w14:paraId="6D3A25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（五）项目概况</w:t>
      </w:r>
      <w:r>
        <w:rPr>
          <w:rFonts w:hint="eastAsia" w:ascii="仿宋_GB2312" w:hAnsi="仿宋_GB2312" w:eastAsia="仿宋_GB2312" w:cs="仿宋_GB2312"/>
          <w:color w:val="auto"/>
          <w:kern w:val="2"/>
          <w:sz w:val="32"/>
          <w:szCs w:val="32"/>
          <w:lang w:val="en-US" w:eastAsia="zh-CN"/>
        </w:rPr>
        <w:t>：泰丰•半岛明珠一期（B）区项目，位于揭阳市榕城区渔湖镇发展大道西侧、渔八路北侧，本项目目前施工的包含21#~22#，11#~13#，15#栋共六栋高层住宅及1栋商业建筑，总建筑面积为 131243.42m²，地下建筑面积31988.57m²，地上建筑面积 99254.85m</w:t>
      </w:r>
      <w:r>
        <w:rPr>
          <w:rFonts w:hint="eastAsia" w:ascii="仿宋_GB2312" w:hAnsi="仿宋_GB2312" w:eastAsia="仿宋_GB2312" w:cs="仿宋_GB2312"/>
          <w:color w:val="auto"/>
          <w:kern w:val="2"/>
          <w:sz w:val="32"/>
          <w:szCs w:val="32"/>
          <w:vertAlign w:val="superscript"/>
          <w:lang w:val="en-US" w:eastAsia="zh-CN"/>
        </w:rPr>
        <w:t>2</w:t>
      </w:r>
      <w:r>
        <w:rPr>
          <w:rFonts w:hint="eastAsia" w:ascii="仿宋_GB2312" w:hAnsi="仿宋_GB2312" w:eastAsia="仿宋_GB2312" w:cs="仿宋_GB2312"/>
          <w:color w:val="auto"/>
          <w:kern w:val="2"/>
          <w:sz w:val="32"/>
          <w:szCs w:val="32"/>
          <w:lang w:val="en-US" w:eastAsia="zh-CN"/>
        </w:rPr>
        <w:t>。规划配置住宅721户，商铺60套。当前在进行主体结构施工。</w:t>
      </w:r>
    </w:p>
    <w:p w14:paraId="2217658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（六）项目施工亮点</w:t>
      </w:r>
    </w:p>
    <w:p w14:paraId="09B601A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1.中建智慧安全平台</w:t>
      </w:r>
      <w:r>
        <w:rPr>
          <w:rFonts w:hint="eastAsia" w:ascii="仿宋_GB2312" w:hAnsi="仿宋_GB2312" w:eastAsia="仿宋_GB2312" w:cs="仿宋_GB2312"/>
          <w:color w:val="auto"/>
          <w:kern w:val="2"/>
          <w:sz w:val="32"/>
          <w:szCs w:val="32"/>
          <w:lang w:val="en-US" w:eastAsia="zh-CN"/>
        </w:rPr>
        <w:t>：智慧安全平台利用移动终端和监控系统，实现施工现场基础数据的实时采集，达到项目管理指令统一、记录完整、过程可控的目标，利用大数据、AI智能预警实现安全管理智能化、可视化，提升施工现场安全运营能力。 并且项目所有安全检查均通过中建智慧安全平台进行，项目经理、生产经理、总工程师、安全总监、责任工程师、安全员、技术工程师、设备工程师均参与检查，包括日常巡查、周检查、专项检查、节假日检查等。另外，项目现阶段涉及的危险作业主要为动火作业（钢筋焊接、止水钢板焊接）、起重吊装作业。均通过中建智慧安全平台进行作业审批流程，并及时在现场公示。</w:t>
      </w:r>
    </w:p>
    <w:p w14:paraId="54A9E1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2.AI人脸感知系统（实名制管理系统）：</w:t>
      </w:r>
      <w:r>
        <w:rPr>
          <w:rFonts w:hint="eastAsia" w:ascii="仿宋_GB2312" w:hAnsi="仿宋_GB2312" w:eastAsia="仿宋_GB2312" w:cs="仿宋_GB2312"/>
          <w:color w:val="auto"/>
          <w:kern w:val="2"/>
          <w:sz w:val="32"/>
          <w:szCs w:val="32"/>
          <w:lang w:val="en-US" w:eastAsia="zh-CN"/>
        </w:rPr>
        <w:t>通过AI人脸识别技术实现工地人员实名制管理，解决传统人工登记易出错、代打卡等问题；利用AI识别未戴安全帽、未穿反光衣等违规行为，并通过微信或语音广播实时警告，后台同步记录违规证据；通过视频分析检测人员摔倒、吸烟、闯入禁行区等行为，并联动多平台预警。</w:t>
      </w:r>
    </w:p>
    <w:p w14:paraId="33D8FC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3.智能施工升降机系统</w:t>
      </w:r>
      <w:r>
        <w:rPr>
          <w:rFonts w:hint="eastAsia" w:ascii="仿宋_GB2312" w:hAnsi="仿宋_GB2312" w:eastAsia="仿宋_GB2312" w:cs="仿宋_GB2312"/>
          <w:color w:val="auto"/>
          <w:kern w:val="2"/>
          <w:sz w:val="32"/>
          <w:szCs w:val="32"/>
          <w:lang w:val="en-US" w:eastAsia="zh-CN"/>
        </w:rPr>
        <w:t>：通过无司机升降机楼层门与吊笼门自动及联动系统、无司机升降机安全运行及智能监控系统设计，实现楼层门与吊笼门联动，自动吊笼门传动及电气控制联动，防超载、防坠落、安全设计电缆防挂、通道遇阻保护，智能人数识别、远程可视对话系统联动，防坠器等系统安全运行数据及视频的录制及其远程监控。</w:t>
      </w:r>
    </w:p>
    <w:p w14:paraId="40C86F3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4.安全生产文明施工做法：</w:t>
      </w:r>
      <w:r>
        <w:rPr>
          <w:rFonts w:hint="eastAsia" w:ascii="仿宋_GB2312" w:hAnsi="仿宋_GB2312" w:eastAsia="仿宋_GB2312" w:cs="仿宋_GB2312"/>
          <w:color w:val="auto"/>
          <w:kern w:val="2"/>
          <w:sz w:val="32"/>
          <w:szCs w:val="32"/>
          <w:lang w:val="en-US" w:eastAsia="zh-CN"/>
        </w:rPr>
        <w:t>项目施工现场安全标准化布置严格按照《中建股份安全防护图册》及揭阳市建设工程安全文明施工标准要求，提高施工现场安全防护水平，定型化安全设施包括网片式临边防护栏、移动护栏、塔吊基础防护栏、组装式防护栏杆、标准化电梯井防护门、标准化电梯井操作平台、标准化安全通道防护棚、标准化钢筋加工防护棚等管理标准化安全标准化设施用具；地下室照明采用36V安全电压设备，LED照明。</w:t>
      </w:r>
    </w:p>
    <w:p w14:paraId="5C24F1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5.塔吊可视化：</w:t>
      </w:r>
      <w:r>
        <w:rPr>
          <w:rFonts w:hint="eastAsia" w:ascii="仿宋_GB2312" w:hAnsi="仿宋_GB2312" w:eastAsia="仿宋_GB2312" w:cs="仿宋_GB2312"/>
          <w:color w:val="auto"/>
          <w:kern w:val="2"/>
          <w:sz w:val="32"/>
          <w:szCs w:val="32"/>
          <w:lang w:val="en-US" w:eastAsia="zh-CN"/>
        </w:rPr>
        <w:t>塔吊可视化主要由球机，自动充电装置，无线传输装置，驾驶室显示屏，驾驶室盲区引导设备地面接受显示终端组成。</w:t>
      </w:r>
    </w:p>
    <w:p w14:paraId="715429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驾驶员操作云台，对球机远程控制，通过调节焦距和方向实时监控盲区吊钩安全状态及吊物的稳固状态，小车行程及群塔作业防碰撞问题。</w:t>
      </w:r>
    </w:p>
    <w:p w14:paraId="1DC2B2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监控室通过网络配置，本地PC和手机/远程PC和手机可实时观看监控画面，安装盲区系统的塔机小车挂钩和驾驶室的实时画面对驾驶员行为实时监督，规避事故。有效的避免了违章作业，违章指挥，大大降低了机械事故发生率。</w:t>
      </w:r>
    </w:p>
    <w:p w14:paraId="661586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新技术应用：</w:t>
      </w:r>
      <w:r>
        <w:rPr>
          <w:rFonts w:hint="eastAsia" w:ascii="仿宋_GB2312" w:hAnsi="仿宋_GB2312" w:eastAsia="仿宋_GB2312" w:cs="仿宋_GB2312"/>
          <w:color w:val="auto"/>
          <w:kern w:val="2"/>
          <w:sz w:val="32"/>
          <w:szCs w:val="32"/>
          <w:lang w:val="en-US" w:eastAsia="zh-CN"/>
        </w:rPr>
        <w:t>创新技术：地下室外墙防水涂料附加无纺布施工技术、地下室超长剪力墙自动喷淋养护系统施工技术、预制三段式压顶模具施工技术、房建坑中坑预制拼装围堰施工技术等；十项新技术应用：建筑业十项新技术中的七大项，二十小项。</w:t>
      </w:r>
    </w:p>
    <w:p w14:paraId="7F1E55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7.质量管理方面</w:t>
      </w:r>
      <w:r>
        <w:rPr>
          <w:rFonts w:hint="eastAsia" w:ascii="仿宋_GB2312" w:hAnsi="仿宋_GB2312" w:eastAsia="仿宋_GB2312" w:cs="仿宋_GB2312"/>
          <w:color w:val="auto"/>
          <w:kern w:val="2"/>
          <w:sz w:val="32"/>
          <w:szCs w:val="32"/>
          <w:lang w:val="en-US" w:eastAsia="zh-CN"/>
        </w:rPr>
        <w:t>：项目部制定样板制度，所有工序样板先行，确保整体施工质量；执行质量验收举牌制度，各道工序严格把控，定好责任人；质量管理人员利用手机移动终端，质量巡查过程中实时记录影响，为质量管理溯源提供了保障。墙柱采用铝合金模板、木模板采用方圆卡扣加固体系，极大的提升混凝土质量与观感，使用混凝土阻断气囊,有效防止高低标号混凝土串标，施工简便、操作灵活、可周转使用，地下室底板(包括大体积混凝土)、车库顶板设计为抗渗混凝士，按照方案要求，养护采用蓄水养护，促进水泥充分水化，减少泌水通道的形成，使混凝土更加密实,提高抗渗能力等，可达到节约工期，提高品质的目的。</w:t>
      </w:r>
    </w:p>
    <w:p w14:paraId="52EE2BA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8.绿色建造：</w:t>
      </w:r>
      <w:r>
        <w:rPr>
          <w:rFonts w:hint="eastAsia" w:ascii="仿宋_GB2312" w:hAnsi="仿宋_GB2312" w:eastAsia="仿宋_GB2312" w:cs="仿宋_GB2312"/>
          <w:b w:val="0"/>
          <w:bCs w:val="0"/>
          <w:color w:val="auto"/>
          <w:kern w:val="2"/>
          <w:sz w:val="32"/>
          <w:szCs w:val="32"/>
          <w:lang w:val="en-US" w:eastAsia="zh-CN"/>
        </w:rPr>
        <w:t>现场</w:t>
      </w:r>
      <w:r>
        <w:rPr>
          <w:rFonts w:hint="eastAsia" w:ascii="仿宋_GB2312" w:hAnsi="仿宋_GB2312" w:eastAsia="仿宋_GB2312" w:cs="仿宋_GB2312"/>
          <w:color w:val="auto"/>
          <w:kern w:val="2"/>
          <w:sz w:val="32"/>
          <w:szCs w:val="32"/>
          <w:lang w:val="en-US" w:eastAsia="zh-CN"/>
        </w:rPr>
        <w:t>设置洗车池、围挡喷淋系统、雾炮喷淋、道路洒水车，采用智能扬尘、噪音检测系统、智能节能灯、LED节能灯带应用、现场绿色种植、100%节水器具等。</w:t>
      </w:r>
    </w:p>
    <w:p w14:paraId="5A8FC1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9.劳务一站式管理：</w:t>
      </w:r>
      <w:r>
        <w:rPr>
          <w:rFonts w:hint="eastAsia" w:ascii="仿宋_GB2312" w:hAnsi="仿宋_GB2312" w:eastAsia="仿宋_GB2312" w:cs="仿宋_GB2312"/>
          <w:b w:val="0"/>
          <w:bCs w:val="0"/>
          <w:color w:val="auto"/>
          <w:kern w:val="2"/>
          <w:sz w:val="32"/>
          <w:szCs w:val="32"/>
          <w:lang w:val="en-US" w:eastAsia="zh-CN"/>
        </w:rPr>
        <w:t>新进场作业人员实现施工作业人员进场标准化管理，落实进场登记、入职体检、党建教育、安全教育、劳务签订、智慧化信息录入、劳动用品发放等全过程一体化管理流程。</w:t>
      </w:r>
    </w:p>
    <w:p w14:paraId="7F9F6B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（二）活动仪式暨现场观摩主会场工程交通指引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6"/>
      </w:tblGrid>
      <w:tr w14:paraId="7A2B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5E4E4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vertAlign w:val="baseline"/>
                <w:lang w:val="en-US" w:eastAsia="zh-CN" w:bidi="ar"/>
              </w:rPr>
            </w:pPr>
            <w:r>
              <w:drawing>
                <wp:inline distT="0" distB="0" distL="114300" distR="114300">
                  <wp:extent cx="2529840" cy="2546985"/>
                  <wp:effectExtent l="0" t="0" r="571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rot="5400000">
                            <a:off x="0" y="0"/>
                            <a:ext cx="2529840" cy="2546985"/>
                          </a:xfrm>
                          <a:prstGeom prst="rect">
                            <a:avLst/>
                          </a:prstGeom>
                          <a:noFill/>
                          <a:ln>
                            <a:noFill/>
                          </a:ln>
                        </pic:spPr>
                      </pic:pic>
                    </a:graphicData>
                  </a:graphic>
                </wp:inline>
              </w:drawing>
            </w:r>
          </w:p>
        </w:tc>
        <w:tc>
          <w:tcPr>
            <w:tcW w:w="4261" w:type="dxa"/>
          </w:tcPr>
          <w:p w14:paraId="5A3F9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4"/>
                <w:szCs w:val="24"/>
                <w:vertAlign w:val="baseline"/>
                <w:lang w:val="en-US" w:eastAsia="zh-CN" w:bidi="ar"/>
              </w:rPr>
            </w:pPr>
            <w:r>
              <w:drawing>
                <wp:inline distT="0" distB="0" distL="114300" distR="114300">
                  <wp:extent cx="2455545" cy="2559685"/>
                  <wp:effectExtent l="0" t="0" r="1206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rot="5400000">
                            <a:off x="0" y="0"/>
                            <a:ext cx="2455545" cy="2559685"/>
                          </a:xfrm>
                          <a:prstGeom prst="rect">
                            <a:avLst/>
                          </a:prstGeom>
                          <a:noFill/>
                          <a:ln>
                            <a:noFill/>
                          </a:ln>
                        </pic:spPr>
                      </pic:pic>
                    </a:graphicData>
                  </a:graphic>
                </wp:inline>
              </w:drawing>
            </w:r>
          </w:p>
        </w:tc>
      </w:tr>
      <w:tr w14:paraId="48D2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FF35825">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2"/>
                <w:szCs w:val="22"/>
                <w:lang w:val="en-US" w:eastAsia="zh-CN" w:bidi="ar"/>
              </w:rPr>
              <w:t>公交</w:t>
            </w:r>
            <w:r>
              <w:rPr>
                <w:rFonts w:ascii="仿宋_GB2312" w:hAnsi="仿宋_GB2312" w:eastAsia="仿宋_GB2312" w:cs="仿宋_GB2312"/>
                <w:b/>
                <w:bCs/>
                <w:color w:val="000000"/>
                <w:kern w:val="0"/>
                <w:sz w:val="22"/>
                <w:szCs w:val="22"/>
                <w:lang w:val="en-US" w:eastAsia="zh-CN" w:bidi="ar"/>
              </w:rPr>
              <w:t>路线</w:t>
            </w:r>
            <w:r>
              <w:rPr>
                <w:rFonts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val="en-US" w:eastAsia="zh-CN" w:bidi="ar"/>
              </w:rPr>
              <w:t>乘坐新能源3号或打车</w:t>
            </w:r>
            <w:r>
              <w:rPr>
                <w:rFonts w:ascii="仿宋_GB2312" w:hAnsi="仿宋_GB2312" w:eastAsia="仿宋_GB2312" w:cs="仿宋_GB2312"/>
                <w:color w:val="000000"/>
                <w:kern w:val="0"/>
                <w:sz w:val="22"/>
                <w:szCs w:val="22"/>
                <w:lang w:val="en-US" w:eastAsia="zh-CN" w:bidi="ar"/>
              </w:rPr>
              <w:t>至中建</w:t>
            </w:r>
            <w:r>
              <w:rPr>
                <w:rFonts w:hint="eastAsia" w:ascii="仿宋_GB2312" w:hAnsi="仿宋_GB2312" w:eastAsia="仿宋_GB2312" w:cs="仿宋_GB2312"/>
                <w:color w:val="000000"/>
                <w:kern w:val="0"/>
                <w:sz w:val="22"/>
                <w:szCs w:val="22"/>
                <w:lang w:val="en-US" w:eastAsia="zh-CN" w:bidi="ar"/>
              </w:rPr>
              <w:t>七</w:t>
            </w:r>
            <w:r>
              <w:rPr>
                <w:rFonts w:ascii="仿宋_GB2312" w:hAnsi="仿宋_GB2312" w:eastAsia="仿宋_GB2312" w:cs="仿宋_GB2312"/>
                <w:color w:val="000000"/>
                <w:kern w:val="0"/>
                <w:sz w:val="22"/>
                <w:szCs w:val="22"/>
                <w:lang w:val="en-US" w:eastAsia="zh-CN" w:bidi="ar"/>
              </w:rPr>
              <w:t>局</w:t>
            </w:r>
            <w:r>
              <w:rPr>
                <w:rFonts w:hint="eastAsia" w:ascii="仿宋_GB2312" w:hAnsi="仿宋_GB2312" w:eastAsia="仿宋_GB2312" w:cs="仿宋_GB2312"/>
                <w:color w:val="000000"/>
                <w:kern w:val="0"/>
                <w:sz w:val="22"/>
                <w:szCs w:val="22"/>
                <w:lang w:val="en-US" w:eastAsia="zh-CN" w:bidi="ar"/>
              </w:rPr>
              <w:t>半岛明珠一期B区施工现场大门口</w:t>
            </w:r>
            <w:r>
              <w:rPr>
                <w:rFonts w:ascii="仿宋_GB2312" w:hAnsi="仿宋_GB2312" w:eastAsia="仿宋_GB2312" w:cs="仿宋_GB2312"/>
                <w:color w:val="000000"/>
                <w:kern w:val="0"/>
                <w:sz w:val="22"/>
                <w:szCs w:val="22"/>
                <w:lang w:val="en-US" w:eastAsia="zh-CN" w:bidi="ar"/>
              </w:rPr>
              <w:t>（根据指引牌至观摩会场）</w:t>
            </w:r>
          </w:p>
        </w:tc>
        <w:tc>
          <w:tcPr>
            <w:tcW w:w="4261" w:type="dxa"/>
          </w:tcPr>
          <w:p w14:paraId="3BA81630">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ascii="仿宋_GB2312" w:hAnsi="仿宋_GB2312" w:eastAsia="仿宋_GB2312" w:cs="仿宋_GB2312"/>
                <w:b/>
                <w:bCs/>
                <w:color w:val="000000"/>
                <w:kern w:val="0"/>
                <w:sz w:val="22"/>
                <w:szCs w:val="22"/>
                <w:lang w:val="en-US" w:eastAsia="zh-CN" w:bidi="ar"/>
              </w:rPr>
              <w:t>自驾路线</w:t>
            </w:r>
            <w:r>
              <w:rPr>
                <w:rFonts w:ascii="仿宋_GB2312" w:hAnsi="仿宋_GB2312" w:eastAsia="仿宋_GB2312" w:cs="仿宋_GB2312"/>
                <w:color w:val="000000"/>
                <w:kern w:val="0"/>
                <w:sz w:val="22"/>
                <w:szCs w:val="22"/>
                <w:lang w:val="en-US" w:eastAsia="zh-CN" w:bidi="ar"/>
              </w:rPr>
              <w:t>：自驾至中建</w:t>
            </w:r>
            <w:r>
              <w:rPr>
                <w:rFonts w:hint="eastAsia" w:ascii="仿宋_GB2312" w:hAnsi="仿宋_GB2312" w:eastAsia="仿宋_GB2312" w:cs="仿宋_GB2312"/>
                <w:color w:val="000000"/>
                <w:kern w:val="0"/>
                <w:sz w:val="22"/>
                <w:szCs w:val="22"/>
                <w:lang w:val="en-US" w:eastAsia="zh-CN" w:bidi="ar"/>
              </w:rPr>
              <w:t>七</w:t>
            </w:r>
            <w:r>
              <w:rPr>
                <w:rFonts w:ascii="仿宋_GB2312" w:hAnsi="仿宋_GB2312" w:eastAsia="仿宋_GB2312" w:cs="仿宋_GB2312"/>
                <w:color w:val="000000"/>
                <w:kern w:val="0"/>
                <w:sz w:val="22"/>
                <w:szCs w:val="22"/>
                <w:lang w:val="en-US" w:eastAsia="zh-CN" w:bidi="ar"/>
              </w:rPr>
              <w:t>局</w:t>
            </w:r>
            <w:r>
              <w:rPr>
                <w:rFonts w:hint="eastAsia" w:ascii="仿宋_GB2312" w:hAnsi="仿宋_GB2312" w:eastAsia="仿宋_GB2312" w:cs="仿宋_GB2312"/>
                <w:color w:val="000000"/>
                <w:kern w:val="0"/>
                <w:sz w:val="22"/>
                <w:szCs w:val="22"/>
                <w:lang w:val="en-US" w:eastAsia="zh-CN" w:bidi="ar"/>
              </w:rPr>
              <w:t>半岛明珠一期B区施工现场大门口</w:t>
            </w:r>
            <w:r>
              <w:rPr>
                <w:rFonts w:ascii="仿宋_GB2312" w:hAnsi="仿宋_GB2312" w:eastAsia="仿宋_GB2312" w:cs="仿宋_GB2312"/>
                <w:color w:val="000000"/>
                <w:kern w:val="0"/>
                <w:sz w:val="22"/>
                <w:szCs w:val="22"/>
                <w:lang w:val="en-US" w:eastAsia="zh-CN" w:bidi="ar"/>
              </w:rPr>
              <w:t>（根据指引牌至观摩会场）</w:t>
            </w:r>
          </w:p>
        </w:tc>
      </w:tr>
    </w:tbl>
    <w:p w14:paraId="30A9D3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1.观摩地址</w:t>
      </w:r>
      <w:r>
        <w:rPr>
          <w:rFonts w:hint="eastAsia" w:ascii="仿宋_GB2312" w:hAnsi="仿宋_GB2312" w:eastAsia="仿宋_GB2312" w:cs="仿宋_GB2312"/>
          <w:color w:val="auto"/>
          <w:kern w:val="2"/>
          <w:sz w:val="32"/>
          <w:szCs w:val="32"/>
          <w:lang w:val="en-US" w:eastAsia="zh-CN"/>
        </w:rPr>
        <w:t>：广东省揭阳市榕城区渔湖镇发展大道西侧（高胜石油加油站处）</w:t>
      </w:r>
    </w:p>
    <w:p w14:paraId="149A18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2.停车位置</w:t>
      </w:r>
      <w:r>
        <w:rPr>
          <w:rFonts w:hint="eastAsia" w:ascii="仿宋_GB2312" w:hAnsi="仿宋_GB2312" w:eastAsia="仿宋_GB2312" w:cs="仿宋_GB2312"/>
          <w:color w:val="auto"/>
          <w:kern w:val="2"/>
          <w:sz w:val="32"/>
          <w:szCs w:val="32"/>
          <w:lang w:val="en-US" w:eastAsia="zh-CN"/>
        </w:rPr>
        <w:t>：现场观摩门口北侧50米（门口南侧20米）根</w:t>
      </w:r>
      <w:bookmarkStart w:id="0" w:name="_GoBack"/>
      <w:bookmarkEnd w:id="0"/>
      <w:r>
        <w:rPr>
          <w:rFonts w:hint="eastAsia" w:ascii="仿宋_GB2312" w:hAnsi="仿宋_GB2312" w:eastAsia="仿宋_GB2312" w:cs="仿宋_GB2312"/>
          <w:color w:val="auto"/>
          <w:kern w:val="2"/>
          <w:sz w:val="32"/>
          <w:szCs w:val="32"/>
          <w:lang w:val="en-US" w:eastAsia="zh-CN"/>
        </w:rPr>
        <w:t>据指引牌及引导人员停车。</w:t>
      </w:r>
    </w:p>
    <w:p w14:paraId="2F6535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3F3C52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611021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41DC4F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0C472A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5424A6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4AB0B2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2C7495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251F3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天气情况</w:t>
      </w:r>
    </w:p>
    <w:p w14:paraId="4C16D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kern w:val="0"/>
          <w:sz w:val="48"/>
          <w:szCs w:val="48"/>
          <w:lang w:val="en-US" w:eastAsia="zh-CN" w:bidi="ar"/>
        </w:rPr>
      </w:pPr>
    </w:p>
    <w:p w14:paraId="1293AE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drawing>
          <wp:inline distT="0" distB="0" distL="114300" distR="114300">
            <wp:extent cx="5257800" cy="3333750"/>
            <wp:effectExtent l="12700" t="12700" r="25400" b="254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57800" cy="3333750"/>
                    </a:xfrm>
                    <a:prstGeom prst="rect">
                      <a:avLst/>
                    </a:prstGeom>
                    <a:noFill/>
                    <a:ln w="12700" cmpd="sng">
                      <a:solidFill>
                        <a:schemeClr val="tx1"/>
                      </a:solidFill>
                      <a:prstDash val="solid"/>
                    </a:ln>
                  </pic:spPr>
                </pic:pic>
              </a:graphicData>
            </a:graphic>
          </wp:inline>
        </w:drawing>
      </w:r>
    </w:p>
    <w:p w14:paraId="274EE7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p>
    <w:p w14:paraId="248C03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358640" cy="430530"/>
                <wp:effectExtent l="0" t="0" r="0" b="0"/>
                <wp:wrapNone/>
                <wp:docPr id="5" name="矩形 8"/>
                <wp:cNvGraphicFramePr/>
                <a:graphic xmlns:a="http://schemas.openxmlformats.org/drawingml/2006/main">
                  <a:graphicData uri="http://schemas.microsoft.com/office/word/2010/wordprocessingShape">
                    <wps:wsp>
                      <wps:cNvSpPr>
                        <a:spLocks noChangeArrowheads="1"/>
                      </wps:cNvSpPr>
                      <wps:spPr bwMode="auto">
                        <a:xfrm>
                          <a:off x="0" y="0"/>
                          <a:ext cx="4358886" cy="430887"/>
                        </a:xfrm>
                        <a:prstGeom prst="rect">
                          <a:avLst/>
                        </a:prstGeom>
                        <a:noFill/>
                        <a:ln>
                          <a:noFill/>
                        </a:ln>
                      </wps:spPr>
                      <wps:txbx>
                        <w:txbxContent>
                          <w:p w14:paraId="303F0849">
                            <w:pPr>
                              <w:numPr>
                                <w:ilvl w:val="0"/>
                                <w:numId w:val="2"/>
                              </w:numPr>
                              <w:ind w:firstLineChars="0"/>
                              <w:rPr>
                                <w:sz w:val="30"/>
                                <w:szCs w:val="30"/>
                              </w:rPr>
                            </w:pPr>
                            <w:r>
                              <w:rPr>
                                <w:rFonts w:ascii="Arial" w:eastAsia="宋体"/>
                                <w:color w:val="000000" w:themeColor="text1"/>
                                <w:kern w:val="24"/>
                                <w:sz w:val="30"/>
                                <w:szCs w:val="30"/>
                                <w14:textFill>
                                  <w14:solidFill>
                                    <w14:schemeClr w14:val="tx1"/>
                                  </w14:solidFill>
                                </w14:textFill>
                              </w:rPr>
                              <w:t>近期有降水过程，请携带雨伞。</w:t>
                            </w:r>
                          </w:p>
                          <w:p w14:paraId="32025C82">
                            <w:pPr>
                              <w:numPr>
                                <w:ilvl w:val="0"/>
                                <w:numId w:val="2"/>
                              </w:numPr>
                              <w:ind w:firstLineChars="0"/>
                              <w:rPr>
                                <w:sz w:val="30"/>
                                <w:szCs w:val="30"/>
                              </w:rPr>
                            </w:pPr>
                            <w:r>
                              <w:rPr>
                                <w:rFonts w:hint="eastAsia"/>
                                <w:sz w:val="30"/>
                                <w:szCs w:val="30"/>
                              </w:rPr>
                              <w:t>天气闷热，请注意防暑降温</w:t>
                            </w:r>
                            <w:r>
                              <w:rPr>
                                <w:rFonts w:hint="eastAsia"/>
                                <w:sz w:val="30"/>
                                <w:szCs w:val="30"/>
                                <w:lang w:eastAsia="zh-CN"/>
                              </w:rPr>
                              <w:t>。</w:t>
                            </w:r>
                          </w:p>
                        </w:txbxContent>
                      </wps:txbx>
                      <wps:bodyPr wrap="none">
                        <a:spAutoFit/>
                      </wps:bodyPr>
                    </wps:wsp>
                  </a:graphicData>
                </a:graphic>
              </wp:anchor>
            </w:drawing>
          </mc:Choice>
          <mc:Fallback>
            <w:pict>
              <v:rect id="矩形 8" o:spid="_x0000_s1026" o:spt="1" style="position:absolute;left:0pt;margin-left:0pt;margin-top:0pt;height:33.9pt;width:343.2pt;mso-wrap-style:none;z-index:251659264;mso-width-relative:page;mso-height-relative:page;" filled="f" stroked="f" coordsize="21600,21600" o:gfxdata="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8y/50wAAAAQBAAAPAAAAAAAAAAEAIAAAACIA&#10;AABkcnMvZG93bnJldi54bWxQSwECFAAUAAAACACHTuJAbazBatUBAACZAwAADgAAAAAAAAABACAA&#10;AAAiAQAAZHJzL2Uyb0RvYy54bWxQSwUGAAAAAAYABgBZAQAAaQUAAAAA&#10;">
                <v:fill on="f" focussize="0,0"/>
                <v:stroke on="f"/>
                <v:imagedata o:title=""/>
                <o:lock v:ext="edit" aspectratio="f"/>
                <v:textbox style="mso-fit-shape-to-text:t;">
                  <w:txbxContent>
                    <w:p w14:paraId="303F0849">
                      <w:pPr>
                        <w:numPr>
                          <w:ilvl w:val="0"/>
                          <w:numId w:val="2"/>
                        </w:numPr>
                        <w:ind w:firstLineChars="0"/>
                        <w:rPr>
                          <w:sz w:val="30"/>
                          <w:szCs w:val="30"/>
                        </w:rPr>
                      </w:pPr>
                      <w:r>
                        <w:rPr>
                          <w:rFonts w:ascii="Arial" w:eastAsia="宋体"/>
                          <w:color w:val="000000" w:themeColor="text1"/>
                          <w:kern w:val="24"/>
                          <w:sz w:val="30"/>
                          <w:szCs w:val="30"/>
                          <w14:textFill>
                            <w14:solidFill>
                              <w14:schemeClr w14:val="tx1"/>
                            </w14:solidFill>
                          </w14:textFill>
                        </w:rPr>
                        <w:t>近期有降水过程，请携带雨伞。</w:t>
                      </w:r>
                    </w:p>
                    <w:p w14:paraId="32025C82">
                      <w:pPr>
                        <w:numPr>
                          <w:ilvl w:val="0"/>
                          <w:numId w:val="2"/>
                        </w:numPr>
                        <w:ind w:firstLineChars="0"/>
                        <w:rPr>
                          <w:sz w:val="30"/>
                          <w:szCs w:val="30"/>
                        </w:rPr>
                      </w:pPr>
                      <w:r>
                        <w:rPr>
                          <w:rFonts w:hint="eastAsia"/>
                          <w:sz w:val="30"/>
                          <w:szCs w:val="30"/>
                        </w:rPr>
                        <w:t>天气闷热，请注意防暑降温</w:t>
                      </w:r>
                      <w:r>
                        <w:rPr>
                          <w:rFonts w:hint="eastAsia"/>
                          <w:sz w:val="30"/>
                          <w:szCs w:val="30"/>
                          <w:lang w:eastAsia="zh-CN"/>
                        </w:rPr>
                        <w:t>。</w:t>
                      </w:r>
                    </w:p>
                  </w:txbxContent>
                </v:textbox>
              </v:rect>
            </w:pict>
          </mc:Fallback>
        </mc:AlternateContent>
      </w:r>
    </w:p>
    <w:sectPr>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28027"/>
    <w:multiLevelType w:val="multilevel"/>
    <w:tmpl w:val="8E028027"/>
    <w:lvl w:ilvl="0" w:tentative="0">
      <w:start w:val="1"/>
      <w:numFmt w:val="bullet"/>
      <w:lvlText w:val=""/>
      <w:lvlJc w:val="left"/>
      <w:pPr>
        <w:tabs>
          <w:tab w:val="left" w:pos="720"/>
        </w:tabs>
        <w:ind w:left="720" w:hanging="360"/>
      </w:pPr>
      <w:rPr>
        <w:rFonts w:hint="default" w:ascii="Wingdings" w:hAnsi="Wingdings" w:eastAsia="Wingdings" w:cs="Wingdings"/>
      </w:rPr>
    </w:lvl>
    <w:lvl w:ilvl="1" w:tentative="0">
      <w:start w:val="1"/>
      <w:numFmt w:val="bullet"/>
      <w:lvlText w:val=""/>
      <w:lvlJc w:val="left"/>
      <w:pPr>
        <w:tabs>
          <w:tab w:val="left" w:pos="1440"/>
        </w:tabs>
        <w:ind w:left="1440" w:hanging="360"/>
      </w:pPr>
      <w:rPr>
        <w:rFonts w:hint="default" w:ascii="Wingdings" w:hAnsi="Wingdings" w:eastAsia="Wingdings" w:cs="Wingdings"/>
      </w:rPr>
    </w:lvl>
    <w:lvl w:ilvl="2" w:tentative="0">
      <w:start w:val="1"/>
      <w:numFmt w:val="bullet"/>
      <w:lvlText w:val=""/>
      <w:lvlJc w:val="left"/>
      <w:pPr>
        <w:tabs>
          <w:tab w:val="left" w:pos="2160"/>
        </w:tabs>
        <w:ind w:left="2160" w:hanging="360"/>
      </w:pPr>
      <w:rPr>
        <w:rFonts w:hint="default" w:ascii="Wingdings" w:hAnsi="Wingdings" w:eastAsia="Wingdings" w:cs="Wingdings"/>
      </w:rPr>
    </w:lvl>
    <w:lvl w:ilvl="3" w:tentative="0">
      <w:start w:val="1"/>
      <w:numFmt w:val="bullet"/>
      <w:lvlText w:val=""/>
      <w:lvlJc w:val="left"/>
      <w:pPr>
        <w:tabs>
          <w:tab w:val="left" w:pos="2880"/>
        </w:tabs>
        <w:ind w:left="2880" w:hanging="360"/>
      </w:pPr>
      <w:rPr>
        <w:rFonts w:hint="default" w:ascii="Wingdings" w:hAnsi="Wingdings" w:eastAsia="Wingdings" w:cs="Wingdings"/>
      </w:rPr>
    </w:lvl>
    <w:lvl w:ilvl="4" w:tentative="0">
      <w:start w:val="1"/>
      <w:numFmt w:val="bullet"/>
      <w:lvlText w:val=""/>
      <w:lvlJc w:val="left"/>
      <w:pPr>
        <w:tabs>
          <w:tab w:val="left" w:pos="3600"/>
        </w:tabs>
        <w:ind w:left="3600" w:hanging="360"/>
      </w:pPr>
      <w:rPr>
        <w:rFonts w:hint="default" w:ascii="Wingdings" w:hAnsi="Wingdings" w:eastAsia="Wingdings" w:cs="Wingdings"/>
      </w:rPr>
    </w:lvl>
    <w:lvl w:ilvl="5" w:tentative="0">
      <w:start w:val="1"/>
      <w:numFmt w:val="bullet"/>
      <w:lvlText w:val=""/>
      <w:lvlJc w:val="left"/>
      <w:pPr>
        <w:tabs>
          <w:tab w:val="left" w:pos="4320"/>
        </w:tabs>
        <w:ind w:left="4320" w:hanging="360"/>
      </w:pPr>
      <w:rPr>
        <w:rFonts w:hint="default" w:ascii="Wingdings" w:hAnsi="Wingdings" w:eastAsia="Wingdings" w:cs="Wingdings"/>
      </w:rPr>
    </w:lvl>
    <w:lvl w:ilvl="6" w:tentative="0">
      <w:start w:val="1"/>
      <w:numFmt w:val="bullet"/>
      <w:lvlText w:val=""/>
      <w:lvlJc w:val="left"/>
      <w:pPr>
        <w:tabs>
          <w:tab w:val="left" w:pos="5040"/>
        </w:tabs>
        <w:ind w:left="5040" w:hanging="360"/>
      </w:pPr>
      <w:rPr>
        <w:rFonts w:hint="default" w:ascii="Wingdings" w:hAnsi="Wingdings" w:eastAsia="Wingdings" w:cs="Wingdings"/>
      </w:rPr>
    </w:lvl>
    <w:lvl w:ilvl="7" w:tentative="0">
      <w:start w:val="1"/>
      <w:numFmt w:val="bullet"/>
      <w:lvlText w:val=""/>
      <w:lvlJc w:val="left"/>
      <w:pPr>
        <w:tabs>
          <w:tab w:val="left" w:pos="5760"/>
        </w:tabs>
        <w:ind w:left="5760" w:hanging="360"/>
      </w:pPr>
      <w:rPr>
        <w:rFonts w:hint="default" w:ascii="Wingdings" w:hAnsi="Wingdings" w:eastAsia="Wingdings" w:cs="Wingdings"/>
      </w:rPr>
    </w:lvl>
    <w:lvl w:ilvl="8" w:tentative="0">
      <w:start w:val="1"/>
      <w:numFmt w:val="bullet"/>
      <w:lvlText w:val=""/>
      <w:lvlJc w:val="left"/>
      <w:pPr>
        <w:tabs>
          <w:tab w:val="left" w:pos="6480"/>
        </w:tabs>
        <w:ind w:left="6480" w:hanging="360"/>
      </w:pPr>
      <w:rPr>
        <w:rFonts w:hint="default" w:ascii="Wingdings" w:hAnsi="Wingdings" w:eastAsia="Wingdings" w:cs="Wingdings"/>
      </w:rPr>
    </w:lvl>
  </w:abstractNum>
  <w:abstractNum w:abstractNumId="1">
    <w:nsid w:val="BE5040E4"/>
    <w:multiLevelType w:val="singleLevel"/>
    <w:tmpl w:val="BE5040E4"/>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07DC9"/>
    <w:rsid w:val="0BF25F97"/>
    <w:rsid w:val="512467CC"/>
    <w:rsid w:val="561703EA"/>
    <w:rsid w:val="5CA060A1"/>
    <w:rsid w:val="60784048"/>
    <w:rsid w:val="70671EF1"/>
    <w:rsid w:val="71C26070"/>
    <w:rsid w:val="73BB7324"/>
    <w:rsid w:val="74C814B9"/>
    <w:rsid w:val="7699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1930</Words>
  <Characters>2002</Characters>
  <Lines>0</Lines>
  <Paragraphs>0</Paragraphs>
  <TotalTime>218</TotalTime>
  <ScaleCrop>false</ScaleCrop>
  <LinksUpToDate>false</LinksUpToDate>
  <CharactersWithSpaces>2005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2025-06-20T08:58:00Z</dcterms:created>
  <dc:creator>阿俊</dc:creator>
  <cp:lastModifiedBy>Tardis里加班的Sun</cp:lastModifiedBy>
  <cp:lastPrinted>2025-06-23T03:04:41Z</cp:lastPrinted>
  <dcterms:modified xsi:type="dcterms:W3CDTF">2025-06-23T03:30:45Z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eyJoZGlkIjoiMTcxMTk2YThlN2I5ZWQ2ZGNlNTkyY2JjZTM2YzdjNGYiLCJ1c2VySWQiOiIyMzc1MzIxMDMifQ==</vt:lpwstr>
  </property>
  <property fmtid="{D5CDD505-2E9C-101B-9397-08002B2CF9AE}" pid="4" name="ICV">
    <vt:lpwstr>BCEF11D000984289B236D0546F70065D_13</vt:lpwstr>
  </property>
</Properties>
</file>