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3252">
      <w:pPr>
        <w:widowControl/>
        <w:numPr>
          <w:ilvl w:val="0"/>
          <w:numId w:val="0"/>
        </w:numPr>
        <w:tabs>
          <w:tab w:val="clear" w:pos="6480"/>
        </w:tabs>
        <w:spacing w:after="0" w:line="240" w:lineRule="auto"/>
        <w:jc w:val="right"/>
        <w:rPr>
          <w:rFonts w:ascii="Times New Roman" w:hAnsi="Times New Roman" w:eastAsia="宋体" w:cs="Times New Roman"/>
          <w:kern w:val="0"/>
          <w:sz w:val="20"/>
          <w:szCs w:val="20"/>
          <w14:ligatures w14:val="none"/>
        </w:rPr>
      </w:pPr>
      <w:bookmarkStart w:id="0" w:name="SectionMark0"/>
    </w:p>
    <w:p w14:paraId="7E7D1A39">
      <w:pPr>
        <w:widowControl/>
        <w:numPr>
          <w:ilvl w:val="8"/>
          <w:numId w:val="0"/>
        </w:numPr>
        <w:spacing w:after="0" w:line="240" w:lineRule="auto"/>
        <w:ind w:left="6480" w:hanging="720"/>
        <w:rPr>
          <w:rFonts w:ascii="Times New Roman" w:hAnsi="Times New Roman" w:eastAsia="宋体" w:cs="Times New Roman"/>
          <w:kern w:val="0"/>
          <w:sz w:val="20"/>
          <w:szCs w:val="20"/>
          <w14:ligatures w14:val="none"/>
        </w:rPr>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0" w:footer="0" w:gutter="0"/>
          <w:pgNumType w:start="1"/>
          <w:cols w:space="720" w:num="1"/>
          <w:titlePg/>
          <w:docGrid w:type="lines" w:linePitch="312" w:charSpace="0"/>
        </w:sectPr>
      </w:pPr>
      <w:r>
        <w:rPr>
          <w:rFonts w:ascii="Times New Roman" w:hAnsi="Times New Roman" w:eastAsia="宋体" w:cs="Times New Roman"/>
          <w:kern w:val="0"/>
          <w:sz w:val="20"/>
          <w:szCs w:val="20"/>
          <w14:ligatures w14:val="none"/>
        </w:rPr>
        <w:t>1.</w: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9504" behindDoc="0" locked="0" layoutInCell="1" allowOverlap="1">
                <wp:simplePos x="0" y="0"/>
                <wp:positionH relativeFrom="column">
                  <wp:posOffset>15240</wp:posOffset>
                </wp:positionH>
                <wp:positionV relativeFrom="paragraph">
                  <wp:posOffset>8752840</wp:posOffset>
                </wp:positionV>
                <wp:extent cx="6121400" cy="0"/>
                <wp:effectExtent l="14605" t="8890" r="7620" b="10160"/>
                <wp:wrapNone/>
                <wp:docPr id="1407400469"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接连接符 17" o:spid="_x0000_s1026" o:spt="20" style="position:absolute;left:0pt;margin-left:1.2pt;margin-top:689.2pt;height:0pt;width:482pt;z-index:251669504;mso-width-relative:page;mso-height-relative:page;" filled="f" stroked="t" coordsize="21600,21600" o:gfxdata="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3l7K&#10;1QAAAAsBAAAPAAAAAAAAAAEAIAAAACIAAABkcnMvZG93bnJldi54bWxQSwECFAAUAAAACACHTuJA&#10;X2pdCesBAAC1AwAADgAAAAAAAAABACAAAAAkAQAAZHJzL2Uyb0RvYy54bWxQSwUGAAAAAAYABgBZ&#10;AQAAgQUAAAAA&#10;">
                <v:fill on="f" focussize="0,0"/>
                <v:stroke weight="1pt" color="#800008" joinstyle="round"/>
                <v:imagedata o:title=""/>
                <o:lock v:ext="edit" aspectratio="f"/>
              </v:lin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2273300</wp:posOffset>
                </wp:positionV>
                <wp:extent cx="6121400" cy="0"/>
                <wp:effectExtent l="14605" t="12065" r="7620" b="6985"/>
                <wp:wrapNone/>
                <wp:docPr id="1974207849"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ln>
                      </wps:spPr>
                      <wps:bodyPr/>
                    </wps:wsp>
                  </a:graphicData>
                </a:graphic>
              </wp:anchor>
            </w:drawing>
          </mc:Choice>
          <mc:Fallback>
            <w:pict>
              <v:line id="直接连接符 16" o:spid="_x0000_s1026" o:spt="20" style="position:absolute;left:0pt;margin-left:0pt;margin-top:179pt;height:0pt;width:482pt;z-index:251668480;mso-width-relative:page;mso-height-relative:page;" filled="f" stroked="t" coordsize="21600,21600" o:gfxdata="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8Si&#10;vtQAAAAIAQAADwAAAAAAAAABACAAAAAiAAAAZHJzL2Rvd25yZXYueG1sUEsBAhQAFAAAAAgAh07i&#10;QBqPqLHtAQAAtQMAAA4AAAAAAAAAAQAgAAAAIwEAAGRycy9lMm9Eb2MueG1sUEsFBgAAAAAGAAYA&#10;WQEAAIIFAAAAAA==&#10;">
                <v:fill on="f" focussize="0,0"/>
                <v:stroke weight="1pt" color="#800008" joinstyle="round"/>
                <v:imagedata o:title=""/>
                <o:lock v:ext="edit" aspectratio="f"/>
              </v:lin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7456" behindDoc="0" locked="1" layoutInCell="1" allowOverlap="1">
                <wp:simplePos x="0" y="0"/>
                <wp:positionH relativeFrom="margin">
                  <wp:posOffset>-106680</wp:posOffset>
                </wp:positionH>
                <wp:positionV relativeFrom="margin">
                  <wp:posOffset>8895080</wp:posOffset>
                </wp:positionV>
                <wp:extent cx="6120130" cy="363220"/>
                <wp:effectExtent l="0" t="635" r="0" b="0"/>
                <wp:wrapNone/>
                <wp:docPr id="658004484"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59149C83">
                            <w:pPr>
                              <w:pStyle w:val="23"/>
                            </w:pPr>
                            <w:r>
                              <w:rPr>
                                <w:rFonts w:hint="eastAsia"/>
                              </w:rPr>
                              <w:t>揭阳市市场监督管理局</w:t>
                            </w:r>
                            <w:r>
                              <w:rPr>
                                <w:rStyle w:val="20"/>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15" o:spid="_x0000_s1026" o:spt="202" type="#_x0000_t202" style="position:absolute;left:0pt;margin-left:-8.4pt;margin-top:700.4pt;height:28.6pt;width:481.9pt;mso-position-horizontal-relative:margin;mso-position-vertical-relative:margin;z-index:251667456;mso-width-relative:page;mso-height-relative:page;" fillcolor="#FFFFFF" filled="t" stroked="f" coordsize="21600,21600" o:gfxdata="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v7Nm2gAAAA0BAAAPAAAAAAAAAAEAIAAAACIAAABkcnMvZG93bnJldi54bWxQSwECFAAU&#10;AAAACACHTuJAvw9hOSgCAAA3BAAADgAAAAAAAAABACAAAAApAQAAZHJzL2Uyb0RvYy54bWxQSwUG&#10;AAAAAAYABgBZAQAAwwUAAAAA&#10;">
                <v:fill on="t" focussize="0,0"/>
                <v:stroke on="f"/>
                <v:imagedata o:title=""/>
                <o:lock v:ext="edit" aspectratio="f"/>
                <v:textbox inset="0mm,0mm,0mm,0mm">
                  <w:txbxContent>
                    <w:p w14:paraId="59149C83">
                      <w:pPr>
                        <w:pStyle w:val="23"/>
                      </w:pPr>
                      <w:r>
                        <w:rPr>
                          <w:rFonts w:hint="eastAsia"/>
                        </w:rPr>
                        <w:t>揭阳市市场监督管理局</w:t>
                      </w:r>
                      <w:r>
                        <w:rPr>
                          <w:rStyle w:val="20"/>
                          <w:rFonts w:hint="eastAsia"/>
                        </w:rPr>
                        <w:t xml:space="preserve"> 发布</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635" t="0" r="0" b="3175"/>
                <wp:wrapNone/>
                <wp:docPr id="2121104767"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8EA6611">
                            <w:pPr>
                              <w:pStyle w:val="28"/>
                            </w:pPr>
                            <w:r>
                              <w:rPr>
                                <w:rFonts w:hint="eastAsia"/>
                              </w:rPr>
                              <w:t>2025-XX-XX实施</w:t>
                            </w:r>
                          </w:p>
                        </w:txbxContent>
                      </wps:txbx>
                      <wps:bodyPr rot="0" vert="horz" wrap="square" lIns="0" tIns="0" rIns="0" bIns="0" anchor="t" anchorCtr="0" upright="1">
                        <a:noAutofit/>
                      </wps:bodyPr>
                    </wps:wsp>
                  </a:graphicData>
                </a:graphic>
              </wp:anchor>
            </w:drawing>
          </mc:Choice>
          <mc:Fallback>
            <w:pict>
              <v:shape id="文本框 14"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v2q19oAAAANAQAADwAAAAAAAAABACAAAAAiAAAAZHJzL2Rvd25yZXYueG1sUEsBAhQA&#10;FAAAAAgAh07iQOaN9lopAgAAOAQAAA4AAAAAAAAAAQAgAAAAKQEAAGRycy9lMm9Eb2MueG1sUEsF&#10;BgAAAAAGAAYAWQEAAMQFAAAAAA==&#10;">
                <v:fill on="t" focussize="0,0"/>
                <v:stroke on="f"/>
                <v:imagedata o:title=""/>
                <o:lock v:ext="edit" aspectratio="f"/>
                <v:textbox inset="0mm,0mm,0mm,0mm">
                  <w:txbxContent>
                    <w:p w14:paraId="58EA6611">
                      <w:pPr>
                        <w:pStyle w:val="28"/>
                      </w:pPr>
                      <w:r>
                        <w:rPr>
                          <w:rFonts w:hint="eastAsia"/>
                        </w:rPr>
                        <w:t>2025-XX-XX实施</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4445" b="3175"/>
                <wp:wrapNone/>
                <wp:docPr id="1691955378"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300D7008">
                            <w:pPr>
                              <w:pStyle w:val="29"/>
                            </w:pPr>
                            <w:r>
                              <w:rPr>
                                <w:rFonts w:hint="eastAsia"/>
                              </w:rPr>
                              <w:t>2025-XX-XX发布</w:t>
                            </w:r>
                          </w:p>
                        </w:txbxContent>
                      </wps:txbx>
                      <wps:bodyPr rot="0" vert="horz" wrap="square" lIns="0" tIns="0" rIns="0" bIns="0" anchor="t" anchorCtr="0" upright="1">
                        <a:noAutofit/>
                      </wps:bodyPr>
                    </wps:wsp>
                  </a:graphicData>
                </a:graphic>
              </wp:anchor>
            </w:drawing>
          </mc:Choice>
          <mc:Fallback>
            <w:pict>
              <v:shape id="文本框 13"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zbKiNgAAAAKAQAADwAAAAAAAAABACAAAAAiAAAAZHJzL2Rvd25yZXYueG1sUEsBAhQAFAAA&#10;AAgAh07iQJVQs6MoAgAAOAQAAA4AAAAAAAAAAQAgAAAAJwEAAGRycy9lMm9Eb2MueG1sUEsFBgAA&#10;AAAGAAYAWQEAAMEFAAAAAA==&#10;">
                <v:fill on="t" focussize="0,0"/>
                <v:stroke on="f"/>
                <v:imagedata o:title=""/>
                <o:lock v:ext="edit" aspectratio="f"/>
                <v:textbox inset="0mm,0mm,0mm,0mm">
                  <w:txbxContent>
                    <w:p w14:paraId="300D7008">
                      <w:pPr>
                        <w:pStyle w:val="29"/>
                      </w:pPr>
                      <w:r>
                        <w:rPr>
                          <w:rFonts w:hint="eastAsia"/>
                        </w:rPr>
                        <w:t>2025-XX-XX发布</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3804920"/>
                <wp:effectExtent l="0" t="0" r="5080" b="5080"/>
                <wp:wrapNone/>
                <wp:docPr id="52931060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969000" cy="3804920"/>
                        </a:xfrm>
                        <a:prstGeom prst="rect">
                          <a:avLst/>
                        </a:prstGeom>
                        <a:solidFill>
                          <a:srgbClr val="FFFFFF"/>
                        </a:solidFill>
                        <a:ln>
                          <a:noFill/>
                        </a:ln>
                      </wps:spPr>
                      <wps:txbx>
                        <w:txbxContent>
                          <w:p w14:paraId="39CA6E42">
                            <w:pPr>
                              <w:pStyle w:val="25"/>
                            </w:pPr>
                            <w:r>
                              <w:t>百香果栽培技术规程</w:t>
                            </w:r>
                          </w:p>
                          <w:p w14:paraId="25F4BE62">
                            <w:pPr>
                              <w:pStyle w:val="25"/>
                            </w:pPr>
                            <w:r>
                              <w:rPr>
                                <w:rFonts w:ascii="Times New Roman" w:eastAsia="宋体"/>
                                <w:color w:val="000000"/>
                                <w:sz w:val="28"/>
                                <w:szCs w:val="28"/>
                              </w:rPr>
                              <w:t xml:space="preserve">Technical </w:t>
                            </w:r>
                            <w:r>
                              <w:rPr>
                                <w:rFonts w:hint="eastAsia" w:ascii="Times New Roman" w:eastAsia="宋体"/>
                                <w:color w:val="000000"/>
                                <w:sz w:val="28"/>
                                <w:szCs w:val="28"/>
                              </w:rPr>
                              <w:t>re</w:t>
                            </w:r>
                            <w:r>
                              <w:rPr>
                                <w:rFonts w:ascii="Times New Roman" w:eastAsia="宋体"/>
                                <w:color w:val="000000"/>
                                <w:sz w:val="28"/>
                                <w:szCs w:val="28"/>
                              </w:rPr>
                              <w:t xml:space="preserve">gulations for </w:t>
                            </w:r>
                            <w:r>
                              <w:rPr>
                                <w:rFonts w:hint="eastAsia" w:ascii="Times New Roman" w:eastAsia="宋体"/>
                                <w:color w:val="000000"/>
                                <w:sz w:val="28"/>
                                <w:szCs w:val="28"/>
                              </w:rPr>
                              <w:t>p</w:t>
                            </w:r>
                            <w:r>
                              <w:rPr>
                                <w:rFonts w:ascii="Times New Roman" w:eastAsia="宋体"/>
                                <w:color w:val="000000"/>
                                <w:sz w:val="28"/>
                                <w:szCs w:val="28"/>
                              </w:rPr>
                              <w:t xml:space="preserve">lanting </w:t>
                            </w:r>
                            <w:r>
                              <w:rPr>
                                <w:rFonts w:hint="eastAsia" w:ascii="Times New Roman" w:eastAsia="宋体"/>
                                <w:color w:val="000000"/>
                                <w:sz w:val="28"/>
                                <w:szCs w:val="28"/>
                              </w:rPr>
                              <w:t>p</w:t>
                            </w:r>
                            <w:r>
                              <w:rPr>
                                <w:rFonts w:ascii="Times New Roman" w:eastAsia="宋体"/>
                                <w:color w:val="000000"/>
                                <w:sz w:val="28"/>
                                <w:szCs w:val="28"/>
                              </w:rPr>
                              <w:t>assion</w:t>
                            </w:r>
                            <w:r>
                              <w:rPr>
                                <w:rFonts w:hint="eastAsia" w:ascii="Times New Roman" w:eastAsia="宋体"/>
                                <w:color w:val="000000"/>
                                <w:sz w:val="28"/>
                                <w:szCs w:val="28"/>
                              </w:rPr>
                              <w:t xml:space="preserve"> f</w:t>
                            </w:r>
                            <w:r>
                              <w:rPr>
                                <w:rFonts w:ascii="Times New Roman" w:eastAsia="宋体"/>
                                <w:color w:val="000000"/>
                                <w:sz w:val="28"/>
                                <w:szCs w:val="28"/>
                              </w:rPr>
                              <w:t>ruit</w:t>
                            </w:r>
                          </w:p>
                          <w:p w14:paraId="3938785D">
                            <w:pPr>
                              <w:pStyle w:val="27"/>
                            </w:pPr>
                          </w:p>
                          <w:p w14:paraId="466E5B8E">
                            <w:pPr>
                              <w:pStyle w:val="33"/>
                            </w:pPr>
                            <w:r>
                              <w:rPr>
                                <w:rFonts w:hint="eastAsia"/>
                              </w:rPr>
                              <w:t>(征求意见稿)</w:t>
                            </w:r>
                          </w:p>
                          <w:p w14:paraId="12BB3346">
                            <w:pPr>
                              <w:pStyle w:val="32"/>
                            </w:pPr>
                          </w:p>
                          <w:p w14:paraId="32AAD25B">
                            <w:pPr>
                              <w:pStyle w:val="34"/>
                            </w:pPr>
                          </w:p>
                        </w:txbxContent>
                      </wps:txbx>
                      <wps:bodyPr rot="0" vert="horz" wrap="square" lIns="0" tIns="0" rIns="0" bIns="0" anchor="t" anchorCtr="0" upright="1">
                        <a:noAutofit/>
                      </wps:bodyPr>
                    </wps:wsp>
                  </a:graphicData>
                </a:graphic>
              </wp:anchor>
            </w:drawing>
          </mc:Choice>
          <mc:Fallback>
            <w:pict>
              <v:shape id="文本框 12" o:spid="_x0000_s1026" o:spt="202" type="#_x0000_t202" style="position:absolute;left:0pt;margin-left:0pt;margin-top:286.25pt;height:299.6pt;width:470pt;mso-position-horizontal-relative:margin;mso-position-vertical-relative:margin;z-index:251664384;mso-width-relative:page;mso-height-relative:page;" fillcolor="#FFFFFF" filled="t" stroked="f" coordsize="21600,21600" o:gfxdata="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vOr2AAAAAkBAAAPAAAAAAAAAAEAIAAAACIAAABkcnMvZG93bnJldi54bWxQSwECFAAU&#10;AAAACACHTuJA0ceVcSoCAAA4BAAADgAAAAAAAAABACAAAAAnAQAAZHJzL2Uyb0RvYy54bWxQSwUG&#10;AAAAAAYABgBZAQAAwwUAAAAA&#10;">
                <v:fill on="t" focussize="0,0"/>
                <v:stroke on="f"/>
                <v:imagedata o:title=""/>
                <o:lock v:ext="edit" aspectratio="f"/>
                <v:textbox inset="0mm,0mm,0mm,0mm">
                  <w:txbxContent>
                    <w:p w14:paraId="39CA6E42">
                      <w:pPr>
                        <w:pStyle w:val="25"/>
                      </w:pPr>
                      <w:r>
                        <w:t>百香果栽培技术规程</w:t>
                      </w:r>
                    </w:p>
                    <w:p w14:paraId="25F4BE62">
                      <w:pPr>
                        <w:pStyle w:val="25"/>
                      </w:pPr>
                      <w:r>
                        <w:rPr>
                          <w:rFonts w:ascii="Times New Roman" w:eastAsia="宋体"/>
                          <w:color w:val="000000"/>
                          <w:sz w:val="28"/>
                          <w:szCs w:val="28"/>
                        </w:rPr>
                        <w:t xml:space="preserve">Technical </w:t>
                      </w:r>
                      <w:r>
                        <w:rPr>
                          <w:rFonts w:hint="eastAsia" w:ascii="Times New Roman" w:eastAsia="宋体"/>
                          <w:color w:val="000000"/>
                          <w:sz w:val="28"/>
                          <w:szCs w:val="28"/>
                        </w:rPr>
                        <w:t>re</w:t>
                      </w:r>
                      <w:r>
                        <w:rPr>
                          <w:rFonts w:ascii="Times New Roman" w:eastAsia="宋体"/>
                          <w:color w:val="000000"/>
                          <w:sz w:val="28"/>
                          <w:szCs w:val="28"/>
                        </w:rPr>
                        <w:t xml:space="preserve">gulations for </w:t>
                      </w:r>
                      <w:r>
                        <w:rPr>
                          <w:rFonts w:hint="eastAsia" w:ascii="Times New Roman" w:eastAsia="宋体"/>
                          <w:color w:val="000000"/>
                          <w:sz w:val="28"/>
                          <w:szCs w:val="28"/>
                        </w:rPr>
                        <w:t>p</w:t>
                      </w:r>
                      <w:r>
                        <w:rPr>
                          <w:rFonts w:ascii="Times New Roman" w:eastAsia="宋体"/>
                          <w:color w:val="000000"/>
                          <w:sz w:val="28"/>
                          <w:szCs w:val="28"/>
                        </w:rPr>
                        <w:t xml:space="preserve">lanting </w:t>
                      </w:r>
                      <w:r>
                        <w:rPr>
                          <w:rFonts w:hint="eastAsia" w:ascii="Times New Roman" w:eastAsia="宋体"/>
                          <w:color w:val="000000"/>
                          <w:sz w:val="28"/>
                          <w:szCs w:val="28"/>
                        </w:rPr>
                        <w:t>p</w:t>
                      </w:r>
                      <w:r>
                        <w:rPr>
                          <w:rFonts w:ascii="Times New Roman" w:eastAsia="宋体"/>
                          <w:color w:val="000000"/>
                          <w:sz w:val="28"/>
                          <w:szCs w:val="28"/>
                        </w:rPr>
                        <w:t>assion</w:t>
                      </w:r>
                      <w:r>
                        <w:rPr>
                          <w:rFonts w:hint="eastAsia" w:ascii="Times New Roman" w:eastAsia="宋体"/>
                          <w:color w:val="000000"/>
                          <w:sz w:val="28"/>
                          <w:szCs w:val="28"/>
                        </w:rPr>
                        <w:t xml:space="preserve"> f</w:t>
                      </w:r>
                      <w:r>
                        <w:rPr>
                          <w:rFonts w:ascii="Times New Roman" w:eastAsia="宋体"/>
                          <w:color w:val="000000"/>
                          <w:sz w:val="28"/>
                          <w:szCs w:val="28"/>
                        </w:rPr>
                        <w:t>ruit</w:t>
                      </w:r>
                    </w:p>
                    <w:p w14:paraId="3938785D">
                      <w:pPr>
                        <w:pStyle w:val="27"/>
                      </w:pPr>
                    </w:p>
                    <w:p w14:paraId="466E5B8E">
                      <w:pPr>
                        <w:pStyle w:val="33"/>
                      </w:pPr>
                      <w:r>
                        <w:rPr>
                          <w:rFonts w:hint="eastAsia"/>
                        </w:rPr>
                        <w:t>(征求意见稿)</w:t>
                      </w:r>
                    </w:p>
                    <w:p w14:paraId="12BB3346">
                      <w:pPr>
                        <w:pStyle w:val="32"/>
                      </w:pPr>
                    </w:p>
                    <w:p w14:paraId="32AAD25B">
                      <w:pPr>
                        <w:pStyle w:val="34"/>
                      </w:pP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1401445</wp:posOffset>
                </wp:positionV>
                <wp:extent cx="5802630" cy="860425"/>
                <wp:effectExtent l="0" t="0" r="2540" b="0"/>
                <wp:wrapNone/>
                <wp:docPr id="123317419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74D53D6E">
                            <w:pPr>
                              <w:pStyle w:val="24"/>
                            </w:pPr>
                            <w:r>
                              <w:t>DB</w:t>
                            </w:r>
                            <w:r>
                              <w:rPr>
                                <w:rFonts w:hint="eastAsia"/>
                              </w:rPr>
                              <w:t>4452</w:t>
                            </w:r>
                            <w:r>
                              <w:t xml:space="preserve">/T </w:t>
                            </w:r>
                            <w:r>
                              <w:rPr>
                                <w:rFonts w:hint="eastAsia"/>
                              </w:rPr>
                              <w:t>XX-</w:t>
                            </w:r>
                            <w:r>
                              <w:t>20</w:t>
                            </w:r>
                            <w:r>
                              <w:rPr>
                                <w:rFonts w:hint="eastAsia"/>
                              </w:rPr>
                              <w:t>25</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0pt;margin-top:110.35pt;height:67.75pt;width:456.9pt;mso-position-horizontal-relative:margin;mso-position-vertical-relative:margin;z-index:251663360;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QGk+9gAAAAIAQAADwAAAAAAAAABACAAAAAiAAAAZHJzL2Rvd25yZXYueG1sUEsBAhQAFAAA&#10;AAgAh07iQMQebGMoAgAAOAQAAA4AAAAAAAAAAQAgAAAAJwEAAGRycy9lMm9Eb2MueG1sUEsFBgAA&#10;AAAGAAYAWQEAAMEFAAAAAA==&#10;">
                <v:fill on="t" focussize="0,0"/>
                <v:stroke on="f"/>
                <v:imagedata o:title=""/>
                <o:lock v:ext="edit" aspectratio="f"/>
                <v:textbox inset="0mm,0mm,0mm,0mm">
                  <w:txbxContent>
                    <w:p w14:paraId="74D53D6E">
                      <w:pPr>
                        <w:pStyle w:val="24"/>
                      </w:pPr>
                      <w:r>
                        <w:t>DB</w:t>
                      </w:r>
                      <w:r>
                        <w:rPr>
                          <w:rFonts w:hint="eastAsia"/>
                        </w:rPr>
                        <w:t>4452</w:t>
                      </w:r>
                      <w:r>
                        <w:t xml:space="preserve">/T </w:t>
                      </w:r>
                      <w:r>
                        <w:rPr>
                          <w:rFonts w:hint="eastAsia"/>
                        </w:rPr>
                        <w:t>XX-</w:t>
                      </w:r>
                      <w:r>
                        <w:t>20</w:t>
                      </w:r>
                      <w:r>
                        <w:rPr>
                          <w:rFonts w:hint="eastAsia"/>
                        </w:rPr>
                        <w:t>25</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2336" behindDoc="0" locked="1" layoutInCell="1" allowOverlap="1">
                <wp:simplePos x="0" y="0"/>
                <wp:positionH relativeFrom="margin">
                  <wp:posOffset>2549525</wp:posOffset>
                </wp:positionH>
                <wp:positionV relativeFrom="margin">
                  <wp:posOffset>107315</wp:posOffset>
                </wp:positionV>
                <wp:extent cx="3175000" cy="720090"/>
                <wp:effectExtent l="1905" t="635" r="4445" b="3175"/>
                <wp:wrapNone/>
                <wp:docPr id="35889481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027BC470">
                            <w:pPr>
                              <w:pStyle w:val="22"/>
                            </w:pPr>
                            <w:r>
                              <w:t>DB</w:t>
                            </w:r>
                            <w:r>
                              <w:rPr>
                                <w:rFonts w:hint="eastAsia"/>
                              </w:rPr>
                              <w:t>/4452</w:t>
                            </w:r>
                          </w:p>
                        </w:txbxContent>
                      </wps:txbx>
                      <wps:bodyPr rot="0" vert="horz" wrap="square" lIns="0" tIns="0" rIns="0" bIns="0" anchor="t" anchorCtr="0" upright="1">
                        <a:noAutofit/>
                      </wps:bodyPr>
                    </wps:wsp>
                  </a:graphicData>
                </a:graphic>
              </wp:anchor>
            </w:drawing>
          </mc:Choice>
          <mc:Fallback>
            <w:pict>
              <v:shape id="文本框 10" o:spid="_x0000_s1026" o:spt="202" type="#_x0000_t202" style="position:absolute;left:0pt;margin-left:200.75pt;margin-top:8.45pt;height:56.7pt;width:250pt;mso-position-horizontal-relative:margin;mso-position-vertical-relative:margin;z-index:251662336;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lZOzzYAAAACgEAAA8AAAAAAAAAAQAgAAAAIgAAAGRycy9kb3ducmV2LnhtbFBLAQIUABQA&#10;AAAIAIdO4kB2DkDoKQIAADcEAAAOAAAAAAAAAAEAIAAAACcBAABkcnMvZTJvRG9jLnhtbFBLBQYA&#10;AAAABgAGAFkBAADCBQAAAAA=&#10;">
                <v:fill on="t" focussize="0,0"/>
                <v:stroke on="f"/>
                <v:imagedata o:title=""/>
                <o:lock v:ext="edit" aspectratio="f"/>
                <v:textbox inset="0mm,0mm,0mm,0mm">
                  <w:txbxContent>
                    <w:p w14:paraId="027BC470">
                      <w:pPr>
                        <w:pStyle w:val="22"/>
                      </w:pPr>
                      <w:r>
                        <w:t>DB</w:t>
                      </w:r>
                      <w:r>
                        <w:rPr>
                          <w:rFonts w:hint="eastAsia"/>
                        </w:rPr>
                        <w:t>/4452</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428982026"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6556DE51">
                            <w:pPr>
                              <w:pStyle w:val="26"/>
                              <w:rPr>
                                <w:rFonts w:hint="eastAsia"/>
                              </w:rPr>
                            </w:pPr>
                            <w:r>
                              <w:rPr>
                                <w:rFonts w:hint="eastAsia"/>
                              </w:rPr>
                              <w:t>揭阳市地方标准</w:t>
                            </w:r>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YORwXXAAAACAEAAA8AAAAAAAAAAQAgAAAAIgAAAGRycy9kb3ducmV2LnhtbFBLAQIUABQAAAAI&#10;AIdO4kA72/5YJwIAADcEAAAOAAAAAAAAAAEAIAAAACYBAABkcnMvZTJvRG9jLnhtbFBLBQYAAAAA&#10;BgAGAFkBAAC/BQAAAAA=&#10;">
                <v:fill on="t" focussize="0,0"/>
                <v:stroke on="f"/>
                <v:imagedata o:title=""/>
                <o:lock v:ext="edit" aspectratio="f"/>
                <v:textbox inset="0mm,0mm,0mm,0mm">
                  <w:txbxContent>
                    <w:p w14:paraId="6556DE51">
                      <w:pPr>
                        <w:pStyle w:val="26"/>
                        <w:rPr>
                          <w:rFonts w:hint="eastAsia"/>
                        </w:rPr>
                      </w:pPr>
                      <w:r>
                        <w:rPr>
                          <w:rFonts w:hint="eastAsia"/>
                        </w:rPr>
                        <w:t>揭阳市地方标准</w:t>
                      </w:r>
                    </w:p>
                  </w:txbxContent>
                </v:textbox>
                <w10:anchorlock/>
              </v:shape>
            </w:pict>
          </mc:Fallback>
        </mc:AlternateContent>
      </w:r>
      <w:r>
        <w:rPr>
          <w:rFonts w:ascii="Times New Roman" w:hAnsi="Times New Roman" w:eastAsia="宋体" w:cs="Times New Roman"/>
          <w:kern w:val="0"/>
          <w:sz w:val="20"/>
          <w:szCs w:val="20"/>
          <w14:ligatures w14: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1800225" cy="657860"/>
                <wp:effectExtent l="0" t="0" r="4445" b="1270"/>
                <wp:wrapNone/>
                <wp:docPr id="775253784"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800225" cy="657860"/>
                        </a:xfrm>
                        <a:prstGeom prst="rect">
                          <a:avLst/>
                        </a:prstGeom>
                        <a:solidFill>
                          <a:srgbClr val="FFFFFF"/>
                        </a:solidFill>
                        <a:ln>
                          <a:noFill/>
                        </a:ln>
                      </wps:spPr>
                      <wps:txbx>
                        <w:txbxContent>
                          <w:p w14:paraId="00685BA2">
                            <w:pPr>
                              <w:pStyle w:val="30"/>
                            </w:pPr>
                            <w:r>
                              <w:t>ICS 65.020.20</w:t>
                            </w:r>
                          </w:p>
                          <w:p w14:paraId="3E90141E">
                            <w:pPr>
                              <w:pStyle w:val="30"/>
                            </w:pPr>
                            <w:r>
                              <w:rPr>
                                <w:rFonts w:hint="eastAsia"/>
                              </w:rPr>
                              <w:t xml:space="preserve">CCS </w:t>
                            </w:r>
                            <w:r>
                              <w:t>B 05</w:t>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left:0pt;margin-top:0pt;height:51.8pt;width:141.75pt;mso-position-horizontal-relative:margin;mso-position-vertical-relative:margin;z-index:251660288;mso-width-relative:page;mso-height-relative:page;" fillcolor="#FFFFFF" filled="t" stroked="f" coordsize="21600,21600" o:gfxdata="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KHXNUAAAAFAQAADwAAAAAAAAABACAAAAAiAAAAZHJzL2Rvd25yZXYueG1sUEsBAhQAFAAAAAgA&#10;h07iQOWIhqgoAgAANgQAAA4AAAAAAAAAAQAgAAAAJAEAAGRycy9lMm9Eb2MueG1sUEsFBgAAAAAG&#10;AAYAWQEAAL4FAAAAAA==&#10;">
                <v:fill on="t" focussize="0,0"/>
                <v:stroke on="f"/>
                <v:imagedata o:title=""/>
                <o:lock v:ext="edit" aspectratio="f"/>
                <v:textbox inset="0mm,0mm,0mm,0mm">
                  <w:txbxContent>
                    <w:p w14:paraId="00685BA2">
                      <w:pPr>
                        <w:pStyle w:val="30"/>
                      </w:pPr>
                      <w:r>
                        <w:t>ICS 65.020.20</w:t>
                      </w:r>
                    </w:p>
                    <w:p w14:paraId="3E90141E">
                      <w:pPr>
                        <w:pStyle w:val="30"/>
                      </w:pPr>
                      <w:r>
                        <w:rPr>
                          <w:rFonts w:hint="eastAsia"/>
                        </w:rPr>
                        <w:t xml:space="preserve">CCS </w:t>
                      </w:r>
                      <w:r>
                        <w:t>B 05</w:t>
                      </w:r>
                    </w:p>
                  </w:txbxContent>
                </v:textbox>
                <w10:anchorlock/>
              </v:shape>
            </w:pict>
          </mc:Fallback>
        </mc:AlternateContent>
      </w:r>
    </w:p>
    <w:bookmarkEnd w:id="0"/>
    <w:p w14:paraId="206403E2">
      <w:pPr>
        <w:pStyle w:val="36"/>
      </w:pPr>
      <w:r>
        <w:rPr>
          <w:rFonts w:hint="eastAsia"/>
        </w:rPr>
        <w:t>前    言</w:t>
      </w:r>
    </w:p>
    <w:p w14:paraId="37F5A7D4">
      <w:pPr>
        <w:pStyle w:val="3"/>
        <w:tabs>
          <w:tab w:val="clear" w:pos="6480"/>
        </w:tabs>
        <w:ind w:left="-199" w:leftChars="-95" w:firstLine="420" w:firstLineChars="200"/>
      </w:pPr>
      <w:r>
        <w:rPr>
          <w:rFonts w:hint="eastAsia"/>
        </w:rPr>
        <w:t>本文件按照</w:t>
      </w:r>
      <w:r>
        <w:t>GB/T 1.1—2020《标准化工作导则第1部分：标准化文件的结构和起草规则》的规定起草。</w:t>
      </w:r>
    </w:p>
    <w:p w14:paraId="663448BB">
      <w:pPr>
        <w:pStyle w:val="3"/>
        <w:ind w:left="-199" w:leftChars="-95" w:firstLine="420" w:firstLineChars="200"/>
      </w:pPr>
      <w:r>
        <w:rPr>
          <w:rFonts w:hint="eastAsia"/>
        </w:rPr>
        <w:t>请注意本文件的某些内容可能涉及专利。本文件的发布机构不承担识别专利的责任。</w:t>
      </w:r>
    </w:p>
    <w:p w14:paraId="7ED70A2B">
      <w:pPr>
        <w:pStyle w:val="3"/>
        <w:ind w:left="-199" w:leftChars="-95" w:firstLine="420" w:firstLineChars="200"/>
      </w:pPr>
      <w:r>
        <w:rPr>
          <w:rFonts w:hint="eastAsia"/>
        </w:rPr>
        <w:t>本标准由揭阳市农业农村局提出并归口。</w:t>
      </w:r>
    </w:p>
    <w:p w14:paraId="1AAE0477">
      <w:pPr>
        <w:pStyle w:val="3"/>
        <w:ind w:left="-199" w:leftChars="-95" w:firstLine="420" w:firstLineChars="200"/>
      </w:pPr>
      <w:r>
        <w:rPr>
          <w:rFonts w:hint="eastAsia"/>
        </w:rPr>
        <w:t>本标准起草单位：揭阳市农业科学研究所、广东省农业科学院果树研究所、揭阳市农业综合技术推广中心、惠来县祥泰农业科技有限公司。</w:t>
      </w:r>
    </w:p>
    <w:p w14:paraId="20EE11FD">
      <w:pPr>
        <w:pStyle w:val="3"/>
        <w:ind w:left="-199" w:leftChars="-95" w:firstLine="420" w:firstLineChars="200"/>
      </w:pPr>
      <w:r>
        <w:rPr>
          <w:rFonts w:hint="eastAsia"/>
        </w:rPr>
        <w:t>本标准主要起草人：庄庆礼、林浩群、周洁玲、罗克波、尤伟群、陈文耿、林桂芬、陈镇葵、肖维强、赖多、邵雪花、秦健、刘杰、陈阳、黄建生、李莹莹、黄扬明、吴丹淼、陈杏娟、江焕。</w:t>
      </w:r>
    </w:p>
    <w:p w14:paraId="6834D8B2">
      <w:pPr>
        <w:pStyle w:val="3"/>
        <w:ind w:left="-199" w:leftChars="-95" w:firstLine="420" w:firstLineChars="200"/>
      </w:pPr>
    </w:p>
    <w:p w14:paraId="4E6A10EF">
      <w:pPr>
        <w:pStyle w:val="3"/>
        <w:ind w:left="-199" w:leftChars="-95" w:firstLine="420" w:firstLineChars="200"/>
        <w:sectPr>
          <w:headerReference r:id="rId12" w:type="first"/>
          <w:footerReference r:id="rId14" w:type="first"/>
          <w:headerReference r:id="rId11" w:type="default"/>
          <w:footerReference r:id="rId13" w:type="default"/>
          <w:pgSz w:w="11906" w:h="16838"/>
          <w:pgMar w:top="1440" w:right="1800" w:bottom="1440" w:left="1800" w:header="1417" w:footer="850" w:gutter="0"/>
          <w:pgNumType w:start="0"/>
          <w:cols w:space="425" w:num="1"/>
          <w:docGrid w:type="lines" w:linePitch="312" w:charSpace="0"/>
        </w:sectPr>
      </w:pPr>
    </w:p>
    <w:p w14:paraId="56188CB8">
      <w:pPr>
        <w:pStyle w:val="38"/>
        <w:rPr>
          <w:rFonts w:ascii="Times New Roman"/>
        </w:rPr>
      </w:pPr>
      <w:r>
        <w:rPr>
          <w:rFonts w:hint="eastAsia" w:ascii="Times New Roman"/>
        </w:rPr>
        <w:t>百香果栽培技术规程</w:t>
      </w:r>
    </w:p>
    <w:p w14:paraId="06DB5E44">
      <w:pPr>
        <w:pStyle w:val="39"/>
        <w:spacing w:before="312" w:beforeLines="100" w:after="312" w:afterLines="100"/>
        <w:ind w:left="0"/>
        <w:rPr>
          <w:rFonts w:hint="eastAsia" w:hAnsi="黑体"/>
        </w:rPr>
      </w:pPr>
      <w:r>
        <w:rPr>
          <w:rFonts w:hint="eastAsia" w:hAnsi="黑体"/>
        </w:rPr>
        <w:t>1 范围</w:t>
      </w:r>
    </w:p>
    <w:p w14:paraId="28BC0E01">
      <w:pPr>
        <w:pStyle w:val="3"/>
        <w:tabs>
          <w:tab w:val="clear" w:pos="6480"/>
        </w:tabs>
        <w:ind w:left="0" w:firstLine="420" w:firstLineChars="200"/>
        <w:pPrChange w:id="0" w:author="pendy" w:date="2025-05-09T14:26:01Z">
          <w:pPr>
            <w:pStyle w:val="3"/>
            <w:tabs>
              <w:tab w:val="clear" w:pos="6480"/>
            </w:tabs>
            <w:ind w:firstLine="420" w:firstLineChars="200"/>
          </w:pPr>
        </w:pPrChange>
      </w:pPr>
      <w:r>
        <w:rPr>
          <w:rFonts w:hint="eastAsia"/>
        </w:rPr>
        <w:t>本标准规定了百香果栽培技术的术语与定义、种苗培育、栽培技术、生产管理、采收、运输与贮藏等环节的技术要求。</w:t>
      </w:r>
    </w:p>
    <w:p w14:paraId="5171F1C9">
      <w:pPr>
        <w:pStyle w:val="3"/>
        <w:tabs>
          <w:tab w:val="clear" w:pos="6480"/>
        </w:tabs>
        <w:ind w:left="0" w:firstLine="420" w:firstLineChars="200"/>
        <w:pPrChange w:id="1" w:author="pendy" w:date="2025-05-09T14:45:52Z">
          <w:pPr>
            <w:pStyle w:val="3"/>
            <w:tabs>
              <w:tab w:val="clear" w:pos="6480"/>
            </w:tabs>
            <w:ind w:firstLine="420" w:firstLineChars="200"/>
          </w:pPr>
        </w:pPrChange>
      </w:pPr>
      <w:r>
        <w:rPr>
          <w:rFonts w:hint="eastAsia"/>
        </w:rPr>
        <w:t>本标准适用于揭阳市百香果的栽培管理。</w:t>
      </w:r>
    </w:p>
    <w:p w14:paraId="1B55996B">
      <w:pPr>
        <w:pStyle w:val="39"/>
        <w:spacing w:before="312" w:beforeLines="100" w:after="312" w:afterLines="100"/>
        <w:ind w:left="0"/>
      </w:pPr>
      <w:r>
        <w:rPr>
          <w:rFonts w:hint="eastAsia"/>
        </w:rPr>
        <w:t>2 规范性引用文件</w:t>
      </w:r>
    </w:p>
    <w:p w14:paraId="3DEB58D7">
      <w:pPr>
        <w:pStyle w:val="4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BC0813">
      <w:pPr>
        <w:pStyle w:val="40"/>
        <w:ind w:firstLine="420"/>
      </w:pPr>
      <w:r>
        <w:t>GB/T 8321（所有部分）农药合理使用准则</w:t>
      </w:r>
    </w:p>
    <w:p w14:paraId="308E7DD2">
      <w:pPr>
        <w:pStyle w:val="40"/>
        <w:ind w:firstLine="420"/>
      </w:pPr>
      <w:r>
        <w:t>GB/T 40748</w:t>
      </w:r>
      <w:r>
        <w:rPr>
          <w:rFonts w:hint="eastAsia"/>
        </w:rPr>
        <w:t>-2021 百香果质量分级</w:t>
      </w:r>
    </w:p>
    <w:p w14:paraId="657DAE9D">
      <w:pPr>
        <w:pStyle w:val="40"/>
        <w:ind w:firstLine="420"/>
      </w:pPr>
      <w:r>
        <w:rPr>
          <w:rFonts w:hint="eastAsia"/>
        </w:rPr>
        <w:t>GH/T 1342-2021 百香果冷链流通技术规程</w:t>
      </w:r>
    </w:p>
    <w:p w14:paraId="2B63C30B">
      <w:pPr>
        <w:pStyle w:val="40"/>
        <w:ind w:firstLine="420"/>
      </w:pPr>
      <w:r>
        <w:rPr>
          <w:rFonts w:hint="eastAsia"/>
        </w:rPr>
        <w:t>NY/T 496-2010肥料合理使用准则通则NY/T 3972 西番莲 种苗</w:t>
      </w:r>
    </w:p>
    <w:p w14:paraId="2D3E5962">
      <w:pPr>
        <w:pStyle w:val="40"/>
        <w:ind w:firstLine="420"/>
      </w:pPr>
      <w:r>
        <w:rPr>
          <w:rFonts w:hint="eastAsia"/>
        </w:rPr>
        <w:t>NY/T 4240 西番莲良好农业规范</w:t>
      </w:r>
    </w:p>
    <w:p w14:paraId="4BF7DD04">
      <w:pPr>
        <w:pStyle w:val="40"/>
        <w:ind w:firstLine="420"/>
      </w:pPr>
      <w:r>
        <w:t>NY/T 5010 无公害农产品 种植业产地环境条件</w:t>
      </w:r>
    </w:p>
    <w:p w14:paraId="7EE6C92D">
      <w:pPr>
        <w:pStyle w:val="39"/>
        <w:spacing w:before="312" w:beforeLines="100" w:after="312" w:afterLines="100"/>
        <w:ind w:left="0"/>
      </w:pPr>
      <w:r>
        <w:rPr>
          <w:rFonts w:hint="eastAsia"/>
        </w:rPr>
        <w:t>3 术语和定义</w:t>
      </w:r>
    </w:p>
    <w:p w14:paraId="76C0C4AC">
      <w:pPr>
        <w:pStyle w:val="40"/>
        <w:ind w:firstLine="420"/>
      </w:pPr>
      <w:r>
        <w:rPr>
          <w:rFonts w:hint="eastAsia"/>
        </w:rPr>
        <w:t>GB/T 40748-2021第3章规定的术语和定义适用于本标准。</w:t>
      </w:r>
    </w:p>
    <w:p w14:paraId="5C45E81A">
      <w:pPr>
        <w:pStyle w:val="39"/>
        <w:spacing w:before="312" w:beforeLines="100" w:after="312" w:afterLines="100"/>
        <w:ind w:left="0"/>
      </w:pPr>
      <w:r>
        <w:rPr>
          <w:rFonts w:hint="eastAsia"/>
        </w:rPr>
        <w:t>4 种苗培育</w:t>
      </w:r>
    </w:p>
    <w:p w14:paraId="00E623C3">
      <w:pPr>
        <w:pStyle w:val="41"/>
        <w:rPr>
          <w:rFonts w:hint="eastAsia" w:ascii="黑体" w:hAnsi="黑体"/>
        </w:rPr>
      </w:pPr>
      <w:r>
        <w:rPr>
          <w:rFonts w:hint="eastAsia" w:ascii="黑体" w:hAnsi="黑体"/>
        </w:rPr>
        <w:t>4.1 苗圃选址</w:t>
      </w:r>
    </w:p>
    <w:p w14:paraId="17F69C0D">
      <w:pPr>
        <w:pStyle w:val="3"/>
        <w:spacing w:before="156" w:beforeLines="50" w:after="156" w:afterLines="50"/>
        <w:ind w:left="420"/>
        <w:rPr>
          <w:rFonts w:hint="eastAsia" w:asciiTheme="minorEastAsia" w:hAnsiTheme="minorEastAsia"/>
          <w:color w:val="000000"/>
        </w:rPr>
      </w:pPr>
      <w:r>
        <w:rPr>
          <w:rFonts w:hint="eastAsia" w:asciiTheme="minorEastAsia" w:hAnsiTheme="minorEastAsia"/>
          <w:color w:val="000000"/>
        </w:rPr>
        <w:t>选择南向或东南向、避风向阳、地势平坦、排灌方便的地块搭建苗圃。</w:t>
      </w:r>
    </w:p>
    <w:p w14:paraId="6ACD58A4">
      <w:pPr>
        <w:pStyle w:val="41"/>
        <w:rPr>
          <w:rFonts w:hint="eastAsia" w:ascii="黑体" w:hAnsi="黑体"/>
        </w:rPr>
      </w:pPr>
      <w:r>
        <w:rPr>
          <w:rFonts w:hint="eastAsia" w:ascii="黑体" w:hAnsi="黑体"/>
        </w:rPr>
        <w:t>4.2 苗棚搭建</w:t>
      </w:r>
    </w:p>
    <w:p w14:paraId="62CE8094">
      <w:pPr>
        <w:pStyle w:val="3"/>
        <w:tabs>
          <w:tab w:val="clear" w:pos="6480"/>
        </w:tabs>
        <w:spacing w:before="156" w:beforeLines="50" w:after="156" w:afterLines="50"/>
        <w:ind w:left="0" w:firstLine="420" w:firstLineChars="200"/>
        <w:rPr>
          <w:rFonts w:hint="eastAsia" w:hAnsi="宋体"/>
          <w:color w:val="000000"/>
        </w:rPr>
        <w:pPrChange w:id="2" w:author="pendy" w:date="2025-05-09T14:46:03Z">
          <w:pPr>
            <w:pStyle w:val="3"/>
            <w:tabs>
              <w:tab w:val="clear" w:pos="6480"/>
            </w:tabs>
            <w:spacing w:before="156" w:beforeLines="50" w:after="156" w:afterLines="50"/>
            <w:ind w:firstLine="420" w:firstLineChars="200"/>
          </w:pPr>
        </w:pPrChange>
      </w:pPr>
      <w:r>
        <w:rPr>
          <w:rFonts w:hint="eastAsia" w:hAnsi="宋体"/>
          <w:color w:val="000000"/>
        </w:rPr>
        <w:t>使用直径</w:t>
      </w:r>
      <w:r>
        <w:rPr>
          <w:rFonts w:hAnsi="宋体"/>
        </w:rPr>
        <w:t>3</w:t>
      </w:r>
      <w:r>
        <w:rPr>
          <w:rFonts w:hint="eastAsia" w:hAnsi="宋体"/>
        </w:rPr>
        <w:t xml:space="preserve"> cm</w:t>
      </w:r>
      <w:r>
        <w:rPr>
          <w:rFonts w:hAnsi="宋体"/>
          <w:color w:val="000000"/>
        </w:rPr>
        <w:t>以上的镀锌管搭建拱形苗棚</w:t>
      </w:r>
      <w:r>
        <w:rPr>
          <w:rFonts w:hint="eastAsia" w:hAnsi="宋体"/>
          <w:color w:val="000000"/>
        </w:rPr>
        <w:t>。</w:t>
      </w:r>
      <w:r>
        <w:rPr>
          <w:rFonts w:hAnsi="宋体"/>
          <w:color w:val="000000"/>
        </w:rPr>
        <w:t>拱管两端入土深度在50</w:t>
      </w:r>
      <w:r>
        <w:rPr>
          <w:rFonts w:hint="eastAsia" w:hAnsi="宋体"/>
          <w:color w:val="000000"/>
        </w:rPr>
        <w:t xml:space="preserve"> cm～</w:t>
      </w:r>
      <w:r>
        <w:rPr>
          <w:rFonts w:hAnsi="宋体"/>
          <w:color w:val="000000"/>
        </w:rPr>
        <w:t>60</w:t>
      </w:r>
      <w:r>
        <w:rPr>
          <w:rFonts w:hint="eastAsia" w:hAnsi="宋体"/>
          <w:color w:val="000000"/>
        </w:rPr>
        <w:t xml:space="preserve"> cm</w:t>
      </w:r>
      <w:r>
        <w:rPr>
          <w:rFonts w:hAnsi="宋体"/>
          <w:color w:val="000000"/>
        </w:rPr>
        <w:t>之间</w:t>
      </w:r>
      <w:r>
        <w:rPr>
          <w:rFonts w:hint="eastAsia" w:hAnsi="宋体"/>
          <w:color w:val="000000"/>
        </w:rPr>
        <w:t>，棚肩高</w:t>
      </w:r>
      <w:r>
        <w:rPr>
          <w:rFonts w:hAnsi="宋体"/>
          <w:color w:val="000000"/>
        </w:rPr>
        <w:t>不低于1.5</w:t>
      </w:r>
      <w:r>
        <w:rPr>
          <w:rFonts w:hint="eastAsia" w:hAnsi="宋体"/>
          <w:color w:val="000000"/>
        </w:rPr>
        <w:t xml:space="preserve"> m</w:t>
      </w:r>
      <w:r>
        <w:rPr>
          <w:rFonts w:hAnsi="宋体"/>
          <w:color w:val="000000"/>
        </w:rPr>
        <w:t>，</w:t>
      </w:r>
      <w:r>
        <w:rPr>
          <w:rFonts w:hint="eastAsia" w:hAnsi="宋体"/>
          <w:color w:val="000000"/>
        </w:rPr>
        <w:t>棚高</w:t>
      </w:r>
      <w:r>
        <w:rPr>
          <w:rFonts w:hAnsi="宋体"/>
          <w:color w:val="000000"/>
        </w:rPr>
        <w:t>不低于2.5</w:t>
      </w:r>
      <w:r>
        <w:rPr>
          <w:rFonts w:hint="eastAsia" w:hAnsi="宋体"/>
          <w:color w:val="000000"/>
        </w:rPr>
        <w:t xml:space="preserve"> m，相邻拱管间距小于80 cm</w:t>
      </w:r>
      <w:r>
        <w:rPr>
          <w:rFonts w:hAnsi="宋体"/>
          <w:color w:val="000000"/>
        </w:rPr>
        <w:t>。在骨架表面覆盖60目防虫网，防虫网表面覆盖薄膜</w:t>
      </w:r>
      <w:r>
        <w:rPr>
          <w:rFonts w:hint="eastAsia" w:hAnsi="宋体"/>
          <w:color w:val="000000"/>
        </w:rPr>
        <w:t>，</w:t>
      </w:r>
      <w:r>
        <w:rPr>
          <w:rFonts w:hAnsi="宋体"/>
          <w:color w:val="000000"/>
        </w:rPr>
        <w:t>薄膜表面覆盖一层遮阳率75%的遮阳网。</w:t>
      </w:r>
    </w:p>
    <w:p w14:paraId="27278CB4">
      <w:pPr>
        <w:pStyle w:val="41"/>
        <w:rPr>
          <w:rFonts w:hint="eastAsia" w:ascii="黑体" w:hAnsi="黑体"/>
        </w:rPr>
      </w:pPr>
      <w:r>
        <w:rPr>
          <w:rFonts w:hint="eastAsia" w:ascii="黑体" w:hAnsi="黑体"/>
        </w:rPr>
        <w:t>4.3 扦插苗繁育</w:t>
      </w:r>
    </w:p>
    <w:p w14:paraId="334D8E30">
      <w:pPr>
        <w:pStyle w:val="42"/>
        <w:spacing w:before="156" w:beforeLines="50" w:after="156" w:afterLines="50"/>
        <w:rPr>
          <w:rFonts w:hint="eastAsia" w:ascii="黑体" w:hAnsi="黑体"/>
        </w:rPr>
      </w:pPr>
      <w:r>
        <w:rPr>
          <w:rFonts w:hint="eastAsia" w:ascii="黑体" w:hAnsi="黑体"/>
        </w:rPr>
        <w:t>4.3.1 良种选择</w:t>
      </w:r>
    </w:p>
    <w:p w14:paraId="41549523">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适宜在广东地区种植的主要品种包括钦蜜</w:t>
      </w:r>
      <w:r>
        <w:rPr>
          <w:rFonts w:ascii="宋体" w:hAnsi="宋体" w:eastAsia="宋体"/>
          <w:color w:val="000000"/>
          <w:szCs w:val="21"/>
        </w:rPr>
        <w:t>9号</w:t>
      </w:r>
      <w:r>
        <w:rPr>
          <w:rFonts w:hint="eastAsia" w:ascii="宋体" w:hAnsi="宋体" w:eastAsia="宋体"/>
          <w:color w:val="000000"/>
          <w:szCs w:val="21"/>
        </w:rPr>
        <w:t>、长黄</w:t>
      </w:r>
      <w:r>
        <w:rPr>
          <w:rFonts w:ascii="宋体" w:hAnsi="宋体" w:eastAsia="宋体"/>
          <w:color w:val="000000"/>
          <w:szCs w:val="21"/>
        </w:rPr>
        <w:t>511、紫香一号、满天星和台农一号等。</w:t>
      </w:r>
      <w:r>
        <w:rPr>
          <w:rFonts w:hint="eastAsia" w:ascii="宋体" w:hAnsi="宋体" w:eastAsia="宋体"/>
          <w:color w:val="000000"/>
          <w:szCs w:val="21"/>
        </w:rPr>
        <w:t>在选择</w:t>
      </w:r>
      <w:r>
        <w:rPr>
          <w:rFonts w:ascii="宋体" w:hAnsi="宋体" w:eastAsia="宋体"/>
          <w:color w:val="000000"/>
          <w:szCs w:val="21"/>
        </w:rPr>
        <w:t>种植品种时，</w:t>
      </w:r>
      <w:r>
        <w:rPr>
          <w:rFonts w:hint="eastAsia" w:ascii="宋体" w:hAnsi="宋体" w:eastAsia="宋体"/>
          <w:color w:val="000000"/>
          <w:szCs w:val="21"/>
        </w:rPr>
        <w:t>应</w:t>
      </w:r>
      <w:r>
        <w:rPr>
          <w:rFonts w:ascii="宋体" w:hAnsi="宋体" w:eastAsia="宋体"/>
          <w:color w:val="000000"/>
          <w:szCs w:val="21"/>
        </w:rPr>
        <w:t>综合考虑当地的市场需求、气候条件、水文情况以及土壤状况等因素</w:t>
      </w:r>
      <w:r>
        <w:rPr>
          <w:rFonts w:hint="eastAsia" w:ascii="宋体" w:hAnsi="宋体" w:eastAsia="宋体"/>
          <w:color w:val="000000"/>
          <w:szCs w:val="21"/>
        </w:rPr>
        <w:t>。</w:t>
      </w:r>
      <w:r>
        <w:rPr>
          <w:rFonts w:ascii="宋体" w:hAnsi="宋体" w:eastAsia="宋体"/>
          <w:color w:val="000000"/>
          <w:szCs w:val="21"/>
        </w:rPr>
        <w:t>以揭阳市</w:t>
      </w:r>
      <w:r>
        <w:rPr>
          <w:rFonts w:hint="eastAsia" w:ascii="宋体" w:hAnsi="宋体" w:eastAsia="宋体"/>
          <w:color w:val="000000"/>
          <w:szCs w:val="21"/>
        </w:rPr>
        <w:t>惠来县</w:t>
      </w:r>
      <w:r>
        <w:rPr>
          <w:rFonts w:ascii="宋体" w:hAnsi="宋体" w:eastAsia="宋体"/>
          <w:color w:val="000000"/>
          <w:szCs w:val="21"/>
        </w:rPr>
        <w:t>为例，该地区主推</w:t>
      </w:r>
      <w:r>
        <w:rPr>
          <w:rFonts w:hint="eastAsia" w:ascii="宋体" w:hAnsi="宋体" w:eastAsia="宋体"/>
          <w:color w:val="000000"/>
          <w:szCs w:val="21"/>
        </w:rPr>
        <w:t>钦蜜</w:t>
      </w:r>
      <w:r>
        <w:rPr>
          <w:rFonts w:ascii="宋体" w:hAnsi="宋体" w:eastAsia="宋体"/>
          <w:color w:val="000000"/>
          <w:szCs w:val="21"/>
        </w:rPr>
        <w:t>9号黄金百香果，</w:t>
      </w:r>
      <w:r>
        <w:rPr>
          <w:rFonts w:hint="eastAsia" w:ascii="宋体" w:hAnsi="宋体" w:eastAsia="宋体"/>
          <w:color w:val="000000"/>
          <w:szCs w:val="21"/>
        </w:rPr>
        <w:t>该品种具有品质优、</w:t>
      </w:r>
      <w:r>
        <w:rPr>
          <w:rFonts w:ascii="宋体" w:hAnsi="宋体" w:eastAsia="宋体"/>
          <w:color w:val="000000"/>
          <w:szCs w:val="21"/>
        </w:rPr>
        <w:t>丰产性</w:t>
      </w:r>
      <w:r>
        <w:rPr>
          <w:rFonts w:hint="eastAsia" w:ascii="宋体" w:hAnsi="宋体" w:eastAsia="宋体"/>
          <w:color w:val="000000"/>
          <w:szCs w:val="21"/>
        </w:rPr>
        <w:t>好、抗性强等特点，非常适合在该地区进行种植。</w:t>
      </w:r>
    </w:p>
    <w:p w14:paraId="64EA476A">
      <w:pPr>
        <w:pStyle w:val="42"/>
        <w:spacing w:before="156" w:beforeLines="50" w:after="156" w:afterLines="50"/>
        <w:rPr>
          <w:rFonts w:hint="eastAsia" w:ascii="黑体" w:hAnsi="黑体"/>
        </w:rPr>
      </w:pPr>
      <w:r>
        <w:rPr>
          <w:rFonts w:hint="eastAsia" w:ascii="黑体" w:hAnsi="黑体"/>
        </w:rPr>
        <w:t>4.3.2 种苗质量</w:t>
      </w:r>
    </w:p>
    <w:p w14:paraId="0AC29656">
      <w:pPr>
        <w:numPr>
          <w:ilvl w:val="0"/>
          <w:numId w:val="0"/>
        </w:numPr>
        <w:spacing w:line="240" w:lineRule="auto"/>
        <w:ind w:firstLine="420" w:firstLineChars="200"/>
        <w:rPr>
          <w:rFonts w:hint="eastAsia" w:ascii="宋体" w:hAnsi="宋体" w:eastAsia="宋体"/>
          <w:szCs w:val="21"/>
        </w:rPr>
      </w:pPr>
      <w:r>
        <w:rPr>
          <w:rFonts w:hint="eastAsia" w:ascii="宋体" w:hAnsi="宋体" w:eastAsia="宋体"/>
          <w:szCs w:val="21"/>
        </w:rPr>
        <w:t>应符合NY/T 3972的规定。</w:t>
      </w:r>
    </w:p>
    <w:p w14:paraId="660E1923">
      <w:pPr>
        <w:pStyle w:val="42"/>
        <w:spacing w:before="156" w:beforeLines="50" w:after="156" w:afterLines="50"/>
        <w:rPr>
          <w:rFonts w:hint="eastAsia" w:ascii="黑体" w:hAnsi="黑体"/>
        </w:rPr>
      </w:pPr>
      <w:r>
        <w:rPr>
          <w:rFonts w:hint="eastAsia" w:ascii="黑体" w:hAnsi="黑体"/>
        </w:rPr>
        <w:t>4.3.3 育苗袋准备</w:t>
      </w:r>
    </w:p>
    <w:p w14:paraId="45E740E3">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使用口径为</w:t>
      </w:r>
      <w:r>
        <w:rPr>
          <w:rFonts w:ascii="宋体" w:hAnsi="宋体" w:eastAsia="宋体"/>
          <w:color w:val="000000"/>
          <w:szCs w:val="21"/>
        </w:rPr>
        <w:t>6.0</w:t>
      </w:r>
      <w:r>
        <w:rPr>
          <w:rFonts w:hint="eastAsia" w:ascii="宋体" w:hAnsi="宋体" w:eastAsia="宋体"/>
          <w:color w:val="000000"/>
          <w:szCs w:val="21"/>
        </w:rPr>
        <w:t xml:space="preserve"> cm</w:t>
      </w:r>
      <w:r>
        <w:rPr>
          <w:rFonts w:ascii="宋体" w:hAnsi="宋体" w:eastAsia="宋体"/>
          <w:color w:val="000000"/>
          <w:szCs w:val="21"/>
        </w:rPr>
        <w:t>且周围有孔的塑料育苗袋。</w:t>
      </w:r>
      <w:r>
        <w:rPr>
          <w:rFonts w:hint="eastAsia" w:ascii="宋体" w:hAnsi="宋体" w:eastAsia="宋体"/>
          <w:color w:val="000000"/>
          <w:szCs w:val="21"/>
        </w:rPr>
        <w:t>按照</w:t>
      </w:r>
      <w:r>
        <w:rPr>
          <w:rFonts w:ascii="宋体" w:hAnsi="宋体" w:eastAsia="宋体"/>
          <w:color w:val="000000"/>
          <w:szCs w:val="21"/>
        </w:rPr>
        <w:t>泥炭土</w:t>
      </w:r>
      <w:r>
        <w:rPr>
          <w:rFonts w:hint="eastAsia" w:ascii="宋体" w:hAnsi="宋体" w:eastAsia="宋体"/>
          <w:color w:val="000000"/>
          <w:szCs w:val="21"/>
        </w:rPr>
        <w:t>（0 mm</w:t>
      </w:r>
      <w:r>
        <w:rPr>
          <w:rFonts w:hint="eastAsia" w:ascii="宋体" w:hAnsi="宋体" w:eastAsia="宋体"/>
          <w:szCs w:val="21"/>
        </w:rPr>
        <w:t>～</w:t>
      </w:r>
      <w:r>
        <w:rPr>
          <w:rFonts w:hint="eastAsia" w:ascii="宋体" w:hAnsi="宋体" w:eastAsia="宋体"/>
          <w:color w:val="000000"/>
          <w:szCs w:val="21"/>
        </w:rPr>
        <w:t>5 mm）</w:t>
      </w:r>
      <w:r>
        <w:rPr>
          <w:rFonts w:ascii="宋体" w:hAnsi="宋体" w:eastAsia="宋体"/>
          <w:color w:val="000000"/>
          <w:szCs w:val="21"/>
        </w:rPr>
        <w:t>和苗圃地表土的体积比例为4:1，配置营养土。用搅拌机将泥炭土和苗圃地表土混合均匀</w:t>
      </w:r>
      <w:r>
        <w:rPr>
          <w:rFonts w:hint="eastAsia" w:ascii="宋体" w:hAnsi="宋体" w:eastAsia="宋体"/>
          <w:color w:val="000000"/>
          <w:szCs w:val="21"/>
        </w:rPr>
        <w:t>，每立方米加入50%多菌灵可湿性粉剂200g进行消毒，随后</w:t>
      </w:r>
      <w:r>
        <w:rPr>
          <w:rFonts w:ascii="宋体" w:hAnsi="宋体" w:eastAsia="宋体"/>
          <w:color w:val="000000"/>
          <w:szCs w:val="21"/>
        </w:rPr>
        <w:t>将混合</w:t>
      </w:r>
      <w:r>
        <w:rPr>
          <w:rFonts w:hint="eastAsia" w:ascii="宋体" w:hAnsi="宋体" w:eastAsia="宋体"/>
          <w:color w:val="000000"/>
          <w:szCs w:val="21"/>
        </w:rPr>
        <w:t>均匀的营养土装入</w:t>
      </w:r>
      <w:r>
        <w:rPr>
          <w:rFonts w:ascii="宋体" w:hAnsi="宋体" w:eastAsia="宋体"/>
          <w:color w:val="000000"/>
          <w:szCs w:val="21"/>
        </w:rPr>
        <w:t>育苗袋</w:t>
      </w:r>
      <w:r>
        <w:rPr>
          <w:rFonts w:hint="eastAsia" w:ascii="宋体" w:hAnsi="宋体" w:eastAsia="宋体"/>
          <w:color w:val="000000"/>
          <w:szCs w:val="21"/>
        </w:rPr>
        <w:t>中待用。育苗袋排放于苗棚中</w:t>
      </w:r>
      <w:r>
        <w:rPr>
          <w:rFonts w:ascii="宋体" w:hAnsi="宋体" w:eastAsia="宋体"/>
          <w:color w:val="000000"/>
          <w:szCs w:val="21"/>
        </w:rPr>
        <w:t>，四周培上泥土，步道宽留40</w:t>
      </w:r>
      <w:r>
        <w:rPr>
          <w:rFonts w:hint="eastAsia" w:ascii="宋体" w:hAnsi="宋体" w:eastAsia="宋体"/>
          <w:color w:val="000000"/>
          <w:szCs w:val="21"/>
        </w:rPr>
        <w:t xml:space="preserve"> </w:t>
      </w:r>
      <w:r>
        <w:rPr>
          <w:rFonts w:ascii="宋体" w:hAnsi="宋体" w:eastAsia="宋体"/>
          <w:color w:val="000000"/>
          <w:szCs w:val="21"/>
        </w:rPr>
        <w:t>cm。</w:t>
      </w:r>
    </w:p>
    <w:p w14:paraId="53B110E4">
      <w:pPr>
        <w:pStyle w:val="42"/>
        <w:spacing w:before="156" w:beforeLines="50" w:after="156" w:afterLines="50"/>
        <w:rPr>
          <w:rFonts w:hint="eastAsia" w:ascii="黑体" w:hAnsi="黑体"/>
        </w:rPr>
      </w:pPr>
      <w:r>
        <w:rPr>
          <w:rFonts w:hint="eastAsia" w:ascii="黑体" w:hAnsi="黑体"/>
        </w:rPr>
        <w:t>4.3.4 插穗扦插</w:t>
      </w:r>
    </w:p>
    <w:p w14:paraId="4AE1DF28">
      <w:pPr>
        <w:numPr>
          <w:ilvl w:val="0"/>
          <w:numId w:val="0"/>
        </w:numPr>
        <w:spacing w:line="240" w:lineRule="auto"/>
        <w:ind w:firstLine="420" w:firstLineChars="200"/>
        <w:rPr>
          <w:rFonts w:hint="eastAsia" w:ascii="宋体" w:hAnsi="宋体" w:eastAsia="宋体"/>
          <w:szCs w:val="21"/>
        </w:rPr>
      </w:pPr>
      <w:r>
        <w:rPr>
          <w:rFonts w:hint="eastAsia" w:ascii="宋体" w:hAnsi="宋体" w:eastAsia="宋体"/>
          <w:szCs w:val="21"/>
        </w:rPr>
        <w:t xml:space="preserve">挑选品种纯正、结果性状好、品质优、且无病虫害的健康良种百香果母株，剪取长度在7 cm～10 cm之间的当年生半木质化枝条作为扦插材料。将扦插材料剪为带1个节的插穗，剪去其上叶片的1/2，上端剪口距离芽眼1.5 cm～2.0 cm，下端削成楔形。用100 mg～200 </w:t>
      </w:r>
      <w:r>
        <w:rPr>
          <w:rFonts w:ascii="宋体" w:hAnsi="宋体" w:eastAsia="宋体"/>
          <w:szCs w:val="21"/>
        </w:rPr>
        <w:t>mg/L的萘乙酸水溶液浸泡</w:t>
      </w:r>
      <w:r>
        <w:rPr>
          <w:rFonts w:hint="eastAsia" w:ascii="黑体" w:hAnsi="黑体"/>
        </w:rPr>
        <w:t>插穗基部</w:t>
      </w:r>
      <w:r>
        <w:rPr>
          <w:rFonts w:ascii="宋体" w:hAnsi="宋体" w:eastAsia="宋体"/>
          <w:szCs w:val="21"/>
        </w:rPr>
        <w:t>8秒后，将插穗基部垂直插入</w:t>
      </w:r>
      <w:r>
        <w:rPr>
          <w:rFonts w:hint="eastAsia" w:ascii="宋体" w:hAnsi="宋体" w:eastAsia="宋体"/>
          <w:szCs w:val="21"/>
        </w:rPr>
        <w:t>育苗袋</w:t>
      </w:r>
      <w:r>
        <w:rPr>
          <w:rFonts w:ascii="宋体" w:hAnsi="宋体" w:eastAsia="宋体"/>
          <w:szCs w:val="21"/>
        </w:rPr>
        <w:t>中，然后用清水浇透营养土。</w:t>
      </w:r>
    </w:p>
    <w:p w14:paraId="563AE3B0">
      <w:pPr>
        <w:pStyle w:val="42"/>
        <w:spacing w:before="156" w:beforeLines="50" w:after="156" w:afterLines="50"/>
        <w:rPr>
          <w:rFonts w:hint="eastAsia" w:ascii="黑体" w:hAnsi="黑体"/>
        </w:rPr>
      </w:pPr>
      <w:r>
        <w:rPr>
          <w:rFonts w:hint="eastAsia" w:ascii="黑体" w:hAnsi="黑体"/>
        </w:rPr>
        <w:t>4.3.5 扦插苗管理</w:t>
      </w:r>
    </w:p>
    <w:p w14:paraId="2C3DAED4">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扦插期间，要确保晴天有阳光时遮盖遮阳网，淋施清水将营养土含水量维持在50%～60%之间。扦插7 d后，新根萌发，</w:t>
      </w:r>
      <w:r>
        <w:rPr>
          <w:rFonts w:ascii="宋体" w:hAnsi="宋体" w:eastAsia="宋体"/>
          <w:color w:val="000000"/>
          <w:szCs w:val="21"/>
        </w:rPr>
        <w:t>开始浇施</w:t>
      </w:r>
      <w:r>
        <w:rPr>
          <w:rFonts w:hint="eastAsia" w:ascii="宋体" w:hAnsi="宋体" w:eastAsia="宋体"/>
          <w:color w:val="000000"/>
          <w:szCs w:val="21"/>
        </w:rPr>
        <w:t>1000倍</w:t>
      </w:r>
      <w:bookmarkStart w:id="1" w:name="_Hlk166054944"/>
      <w:r>
        <w:rPr>
          <w:rFonts w:hint="eastAsia" w:ascii="宋体" w:hAnsi="宋体" w:eastAsia="宋体"/>
          <w:color w:val="000000"/>
          <w:szCs w:val="21"/>
        </w:rPr>
        <w:t>稀释</w:t>
      </w:r>
      <w:r>
        <w:rPr>
          <w:rFonts w:ascii="宋体" w:hAnsi="宋体" w:eastAsia="宋体"/>
          <w:color w:val="000000"/>
          <w:szCs w:val="21"/>
        </w:rPr>
        <w:t>水溶性复合肥</w:t>
      </w:r>
      <w:bookmarkEnd w:id="1"/>
      <w:r>
        <w:rPr>
          <w:rFonts w:hint="eastAsia" w:ascii="宋体" w:hAnsi="宋体" w:eastAsia="宋体"/>
          <w:color w:val="000000"/>
          <w:szCs w:val="21"/>
        </w:rPr>
        <w:t>（N:P</w:t>
      </w:r>
      <w:r>
        <w:rPr>
          <w:rFonts w:hint="eastAsia" w:ascii="宋体" w:hAnsi="宋体" w:eastAsia="宋体"/>
          <w:color w:val="000000"/>
          <w:szCs w:val="21"/>
          <w:vertAlign w:val="subscript"/>
        </w:rPr>
        <w:t>2</w:t>
      </w:r>
      <w:r>
        <w:rPr>
          <w:rFonts w:hint="eastAsia" w:ascii="宋体" w:hAnsi="宋体" w:eastAsia="宋体"/>
          <w:color w:val="000000"/>
          <w:szCs w:val="21"/>
        </w:rPr>
        <w:t>O</w:t>
      </w:r>
      <w:r>
        <w:rPr>
          <w:rFonts w:hint="eastAsia" w:ascii="宋体" w:hAnsi="宋体" w:eastAsia="宋体"/>
          <w:color w:val="000000"/>
          <w:szCs w:val="21"/>
          <w:vertAlign w:val="subscript"/>
        </w:rPr>
        <w:t>5</w:t>
      </w:r>
      <w:r>
        <w:rPr>
          <w:rFonts w:hint="eastAsia" w:ascii="宋体" w:hAnsi="宋体" w:eastAsia="宋体"/>
          <w:color w:val="000000"/>
          <w:szCs w:val="21"/>
        </w:rPr>
        <w:t>:K</w:t>
      </w:r>
      <w:r>
        <w:rPr>
          <w:rFonts w:hint="eastAsia" w:ascii="宋体" w:hAnsi="宋体" w:eastAsia="宋体"/>
          <w:color w:val="000000"/>
          <w:szCs w:val="21"/>
          <w:vertAlign w:val="subscript"/>
        </w:rPr>
        <w:t>2</w:t>
      </w:r>
      <w:r>
        <w:rPr>
          <w:rFonts w:hint="eastAsia" w:ascii="宋体" w:hAnsi="宋体" w:eastAsia="宋体"/>
          <w:color w:val="000000"/>
          <w:szCs w:val="21"/>
        </w:rPr>
        <w:t>O=20:15:10），</w:t>
      </w:r>
      <w:r>
        <w:rPr>
          <w:rFonts w:ascii="宋体" w:hAnsi="宋体" w:eastAsia="宋体"/>
          <w:color w:val="000000"/>
          <w:szCs w:val="21"/>
        </w:rPr>
        <w:t>每隔7</w:t>
      </w:r>
      <w:r>
        <w:rPr>
          <w:rFonts w:hint="eastAsia" w:ascii="宋体" w:hAnsi="宋体" w:eastAsia="宋体"/>
          <w:color w:val="000000"/>
          <w:szCs w:val="21"/>
        </w:rPr>
        <w:t xml:space="preserve"> d</w:t>
      </w:r>
      <w:r>
        <w:rPr>
          <w:rFonts w:ascii="宋体" w:hAnsi="宋体" w:eastAsia="宋体"/>
          <w:color w:val="000000"/>
          <w:szCs w:val="21"/>
        </w:rPr>
        <w:t>～10</w:t>
      </w:r>
      <w:r>
        <w:rPr>
          <w:rFonts w:hint="eastAsia" w:ascii="宋体" w:hAnsi="宋体" w:eastAsia="宋体"/>
          <w:color w:val="000000"/>
          <w:szCs w:val="21"/>
        </w:rPr>
        <w:t xml:space="preserve"> d</w:t>
      </w:r>
      <w:r>
        <w:rPr>
          <w:rFonts w:ascii="宋体" w:hAnsi="宋体" w:eastAsia="宋体"/>
          <w:color w:val="000000"/>
          <w:szCs w:val="21"/>
        </w:rPr>
        <w:t>施一次</w:t>
      </w:r>
      <w:r>
        <w:rPr>
          <w:rFonts w:hint="eastAsia" w:ascii="宋体" w:hAnsi="宋体" w:eastAsia="宋体"/>
          <w:color w:val="000000"/>
          <w:szCs w:val="21"/>
        </w:rPr>
        <w:t>。</w:t>
      </w:r>
    </w:p>
    <w:p w14:paraId="5568D754">
      <w:pPr>
        <w:pStyle w:val="41"/>
      </w:pPr>
      <w:r>
        <w:rPr>
          <w:rFonts w:hint="eastAsia"/>
        </w:rPr>
        <w:t>4.4 苗木假植</w:t>
      </w:r>
    </w:p>
    <w:p w14:paraId="321982F7">
      <w:pPr>
        <w:pStyle w:val="42"/>
        <w:spacing w:before="156" w:beforeLines="50" w:after="156" w:afterLines="50"/>
        <w:rPr>
          <w:rFonts w:hint="eastAsia" w:ascii="黑体" w:hAnsi="黑体"/>
        </w:rPr>
      </w:pPr>
      <w:r>
        <w:rPr>
          <w:rFonts w:hint="eastAsia" w:ascii="黑体" w:hAnsi="黑体"/>
        </w:rPr>
        <w:t>4.4.1 假植方法</w:t>
      </w:r>
    </w:p>
    <w:p w14:paraId="17C20238">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使用口径为15 cm</w:t>
      </w:r>
      <w:r>
        <w:rPr>
          <w:rFonts w:ascii="宋体" w:hAnsi="宋体" w:eastAsia="宋体"/>
          <w:color w:val="000000"/>
          <w:szCs w:val="21"/>
        </w:rPr>
        <w:t>且周围有孔的塑料育苗袋</w:t>
      </w:r>
      <w:r>
        <w:rPr>
          <w:rFonts w:hint="eastAsia" w:ascii="宋体" w:hAnsi="宋体" w:eastAsia="宋体"/>
          <w:color w:val="000000"/>
          <w:szCs w:val="21"/>
        </w:rPr>
        <w:t>，在</w:t>
      </w:r>
      <w:r>
        <w:rPr>
          <w:rFonts w:ascii="宋体" w:hAnsi="宋体" w:eastAsia="宋体"/>
          <w:color w:val="000000"/>
          <w:szCs w:val="21"/>
        </w:rPr>
        <w:t>育苗袋</w:t>
      </w:r>
      <w:r>
        <w:rPr>
          <w:rFonts w:hint="eastAsia" w:ascii="宋体" w:hAnsi="宋体" w:eastAsia="宋体"/>
          <w:color w:val="000000"/>
          <w:szCs w:val="21"/>
        </w:rPr>
        <w:t>中装入2 cm</w:t>
      </w:r>
      <w:r>
        <w:rPr>
          <w:rFonts w:ascii="宋体" w:hAnsi="宋体" w:eastAsia="宋体"/>
          <w:color w:val="000000"/>
          <w:szCs w:val="21"/>
        </w:rPr>
        <w:t>～</w:t>
      </w:r>
      <w:r>
        <w:rPr>
          <w:rFonts w:hint="eastAsia" w:ascii="宋体" w:hAnsi="宋体" w:eastAsia="宋体"/>
          <w:color w:val="000000"/>
          <w:szCs w:val="21"/>
        </w:rPr>
        <w:t>3 cm的营养土</w:t>
      </w:r>
      <w:r>
        <w:rPr>
          <w:rFonts w:ascii="宋体" w:hAnsi="宋体" w:eastAsia="宋体"/>
          <w:color w:val="000000"/>
          <w:szCs w:val="21"/>
        </w:rPr>
        <w:t>。首先，将扦插小苗从</w:t>
      </w:r>
      <w:r>
        <w:rPr>
          <w:rFonts w:hint="eastAsia" w:ascii="宋体" w:hAnsi="宋体" w:eastAsia="宋体"/>
          <w:color w:val="000000"/>
          <w:szCs w:val="21"/>
        </w:rPr>
        <w:t>旧</w:t>
      </w:r>
      <w:r>
        <w:rPr>
          <w:rFonts w:ascii="宋体" w:hAnsi="宋体" w:eastAsia="宋体"/>
          <w:color w:val="000000"/>
          <w:szCs w:val="21"/>
        </w:rPr>
        <w:t>育苗袋中取出，</w:t>
      </w:r>
      <w:r>
        <w:rPr>
          <w:rFonts w:hint="eastAsia" w:ascii="宋体" w:hAnsi="宋体" w:eastAsia="宋体"/>
          <w:color w:val="000000"/>
          <w:szCs w:val="21"/>
        </w:rPr>
        <w:t>然后将带土球的小苗置于口径为15 cm的新</w:t>
      </w:r>
      <w:r>
        <w:rPr>
          <w:rFonts w:ascii="宋体" w:hAnsi="宋体" w:eastAsia="宋体"/>
          <w:color w:val="000000"/>
          <w:szCs w:val="21"/>
        </w:rPr>
        <w:t>育苗袋中，填入营养土</w:t>
      </w:r>
      <w:r>
        <w:rPr>
          <w:rFonts w:hint="eastAsia" w:ascii="宋体" w:hAnsi="宋体" w:eastAsia="宋体"/>
          <w:color w:val="000000"/>
          <w:szCs w:val="21"/>
        </w:rPr>
        <w:t>，沿袋缘缓慢淋施定根水（每袋500 ml）。</w:t>
      </w:r>
      <w:r>
        <w:rPr>
          <w:rFonts w:ascii="宋体" w:hAnsi="宋体" w:eastAsia="宋体"/>
          <w:color w:val="000000"/>
          <w:szCs w:val="21"/>
        </w:rPr>
        <w:t>在育苗袋中</w:t>
      </w:r>
      <w:r>
        <w:rPr>
          <w:rFonts w:hint="eastAsia" w:ascii="宋体" w:hAnsi="宋体" w:eastAsia="宋体"/>
          <w:color w:val="000000"/>
          <w:szCs w:val="21"/>
        </w:rPr>
        <w:t>插</w:t>
      </w:r>
      <w:r>
        <w:rPr>
          <w:rFonts w:ascii="宋体" w:hAnsi="宋体" w:eastAsia="宋体"/>
          <w:color w:val="000000"/>
          <w:szCs w:val="21"/>
        </w:rPr>
        <w:t>入一根</w:t>
      </w:r>
      <w:r>
        <w:rPr>
          <w:rFonts w:hint="eastAsia" w:ascii="宋体" w:hAnsi="宋体" w:eastAsia="宋体"/>
          <w:color w:val="000000"/>
          <w:szCs w:val="21"/>
        </w:rPr>
        <w:t>长100 cm的塑料棒，</w:t>
      </w:r>
      <w:r>
        <w:rPr>
          <w:rFonts w:ascii="宋体" w:hAnsi="宋体" w:eastAsia="宋体"/>
          <w:color w:val="000000"/>
          <w:szCs w:val="21"/>
        </w:rPr>
        <w:t>以</w:t>
      </w:r>
      <w:r>
        <w:rPr>
          <w:rFonts w:hint="eastAsia" w:ascii="宋体" w:hAnsi="宋体" w:eastAsia="宋体"/>
          <w:color w:val="000000"/>
          <w:szCs w:val="21"/>
        </w:rPr>
        <w:t>便</w:t>
      </w:r>
      <w:r>
        <w:rPr>
          <w:rFonts w:ascii="宋体" w:hAnsi="宋体" w:eastAsia="宋体"/>
          <w:color w:val="000000"/>
          <w:szCs w:val="21"/>
        </w:rPr>
        <w:t>苗木卷须攀援，随后充分浇透清水。</w:t>
      </w:r>
    </w:p>
    <w:p w14:paraId="08DBD293">
      <w:pPr>
        <w:pStyle w:val="42"/>
        <w:spacing w:before="156" w:beforeLines="50" w:after="156" w:afterLines="50"/>
        <w:rPr>
          <w:rFonts w:hint="eastAsia" w:ascii="黑体" w:hAnsi="黑体"/>
        </w:rPr>
      </w:pPr>
      <w:r>
        <w:rPr>
          <w:rFonts w:hint="eastAsia" w:ascii="黑体" w:hAnsi="黑体"/>
        </w:rPr>
        <w:t>4.4.2 假植苗木管理</w:t>
      </w:r>
    </w:p>
    <w:p w14:paraId="5BAD8483">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淋施清水将营养土含水量维持在50%～60%之间。更换育苗袋7 d后，开始浇施300倍稀释</w:t>
      </w:r>
      <w:r>
        <w:rPr>
          <w:rFonts w:ascii="宋体" w:hAnsi="宋体" w:eastAsia="宋体"/>
          <w:color w:val="000000"/>
          <w:szCs w:val="21"/>
        </w:rPr>
        <w:t>水溶性复合肥</w:t>
      </w:r>
      <w:r>
        <w:rPr>
          <w:rFonts w:hint="eastAsia" w:ascii="宋体" w:hAnsi="宋体" w:eastAsia="宋体"/>
          <w:color w:val="000000"/>
          <w:szCs w:val="21"/>
        </w:rPr>
        <w:t>（N:P</w:t>
      </w:r>
      <w:r>
        <w:rPr>
          <w:rFonts w:hint="eastAsia" w:ascii="宋体" w:hAnsi="宋体" w:eastAsia="宋体"/>
          <w:color w:val="000000"/>
          <w:szCs w:val="21"/>
          <w:vertAlign w:val="subscript"/>
        </w:rPr>
        <w:t>2</w:t>
      </w:r>
      <w:r>
        <w:rPr>
          <w:rFonts w:hint="eastAsia" w:ascii="宋体" w:hAnsi="宋体" w:eastAsia="宋体"/>
          <w:color w:val="000000"/>
          <w:szCs w:val="21"/>
        </w:rPr>
        <w:t>O</w:t>
      </w:r>
      <w:r>
        <w:rPr>
          <w:rFonts w:hint="eastAsia" w:ascii="宋体" w:hAnsi="宋体" w:eastAsia="宋体"/>
          <w:color w:val="000000"/>
          <w:szCs w:val="21"/>
          <w:vertAlign w:val="subscript"/>
        </w:rPr>
        <w:t>5</w:t>
      </w:r>
      <w:r>
        <w:rPr>
          <w:rFonts w:hint="eastAsia" w:ascii="宋体" w:hAnsi="宋体" w:eastAsia="宋体"/>
          <w:color w:val="000000"/>
          <w:szCs w:val="21"/>
        </w:rPr>
        <w:t>:K</w:t>
      </w:r>
      <w:r>
        <w:rPr>
          <w:rFonts w:hint="eastAsia" w:ascii="宋体" w:hAnsi="宋体" w:eastAsia="宋体"/>
          <w:color w:val="000000"/>
          <w:szCs w:val="21"/>
          <w:vertAlign w:val="subscript"/>
        </w:rPr>
        <w:t>2</w:t>
      </w:r>
      <w:r>
        <w:rPr>
          <w:rFonts w:hint="eastAsia" w:ascii="宋体" w:hAnsi="宋体" w:eastAsia="宋体"/>
          <w:color w:val="000000"/>
          <w:szCs w:val="21"/>
        </w:rPr>
        <w:t>O=20:15:10），</w:t>
      </w:r>
      <w:r>
        <w:rPr>
          <w:rFonts w:ascii="宋体" w:hAnsi="宋体" w:eastAsia="宋体"/>
          <w:color w:val="000000"/>
          <w:szCs w:val="21"/>
        </w:rPr>
        <w:t>每隔</w:t>
      </w:r>
      <w:r>
        <w:rPr>
          <w:rFonts w:hint="eastAsia" w:ascii="宋体" w:hAnsi="宋体" w:eastAsia="宋体"/>
          <w:color w:val="000000"/>
          <w:szCs w:val="21"/>
        </w:rPr>
        <w:t>7 d</w:t>
      </w:r>
      <w:r>
        <w:rPr>
          <w:rFonts w:ascii="宋体" w:hAnsi="宋体" w:eastAsia="宋体"/>
          <w:color w:val="000000"/>
          <w:szCs w:val="21"/>
        </w:rPr>
        <w:t>～</w:t>
      </w:r>
      <w:r>
        <w:rPr>
          <w:rFonts w:hint="eastAsia" w:ascii="宋体" w:hAnsi="宋体" w:eastAsia="宋体"/>
          <w:color w:val="000000"/>
          <w:szCs w:val="21"/>
        </w:rPr>
        <w:t>10 d</w:t>
      </w:r>
      <w:r>
        <w:rPr>
          <w:rFonts w:ascii="宋体" w:hAnsi="宋体" w:eastAsia="宋体"/>
          <w:color w:val="000000"/>
          <w:szCs w:val="21"/>
        </w:rPr>
        <w:t>施一次</w:t>
      </w:r>
      <w:r>
        <w:rPr>
          <w:rFonts w:hint="eastAsia" w:ascii="宋体" w:hAnsi="宋体" w:eastAsia="宋体"/>
          <w:color w:val="000000"/>
          <w:szCs w:val="21"/>
        </w:rPr>
        <w:t>。</w:t>
      </w:r>
    </w:p>
    <w:p w14:paraId="4E6C6AA6">
      <w:pPr>
        <w:pStyle w:val="42"/>
        <w:spacing w:before="156" w:beforeLines="50" w:after="156" w:afterLines="50"/>
        <w:rPr>
          <w:rFonts w:hint="eastAsia" w:ascii="黑体" w:hAnsi="黑体"/>
        </w:rPr>
      </w:pPr>
      <w:r>
        <w:rPr>
          <w:rFonts w:hint="eastAsia" w:ascii="黑体" w:hAnsi="黑体"/>
        </w:rPr>
        <w:t>4.4.3 病虫害防治措施</w:t>
      </w:r>
    </w:p>
    <w:p w14:paraId="7429F5AA">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每周喷施1次70%甲基硫菌灵800倍液预防病害，发现蚜虫及时喷施20%吡虫啉2500倍液。保持育苗区通风透光，及时清除落叶。</w:t>
      </w:r>
    </w:p>
    <w:p w14:paraId="08C277AB">
      <w:pPr>
        <w:pStyle w:val="42"/>
        <w:spacing w:before="156" w:beforeLines="50" w:after="156" w:afterLines="50"/>
        <w:rPr>
          <w:rFonts w:hint="eastAsia" w:ascii="黑体" w:hAnsi="黑体"/>
        </w:rPr>
      </w:pPr>
      <w:r>
        <w:rPr>
          <w:rFonts w:hint="eastAsia" w:ascii="黑体" w:hAnsi="黑体"/>
        </w:rPr>
        <w:t>4.5 苗木出圃要求</w:t>
      </w:r>
    </w:p>
    <w:p w14:paraId="277586CE">
      <w:pPr>
        <w:numPr>
          <w:ilvl w:val="0"/>
          <w:numId w:val="0"/>
        </w:numPr>
        <w:spacing w:line="240" w:lineRule="auto"/>
        <w:ind w:firstLine="420" w:firstLineChars="200"/>
        <w:rPr>
          <w:rFonts w:hint="eastAsia" w:ascii="宋体" w:hAnsi="宋体" w:eastAsia="宋体"/>
          <w:color w:val="000000"/>
          <w:szCs w:val="21"/>
        </w:rPr>
      </w:pPr>
      <w:r>
        <w:rPr>
          <w:rFonts w:ascii="宋体" w:hAnsi="宋体" w:eastAsia="宋体"/>
          <w:color w:val="000000"/>
          <w:szCs w:val="21"/>
        </w:rPr>
        <w:t>枝叶浓绿，叶片完整</w:t>
      </w:r>
      <w:r>
        <w:rPr>
          <w:rFonts w:hint="eastAsia" w:ascii="宋体" w:hAnsi="宋体" w:eastAsia="宋体"/>
          <w:color w:val="000000"/>
          <w:szCs w:val="21"/>
        </w:rPr>
        <w:t>，新梢长度大于20 cm，单株有长度大于</w:t>
      </w:r>
      <w:r>
        <w:rPr>
          <w:rFonts w:ascii="宋体" w:hAnsi="宋体" w:eastAsia="宋体"/>
          <w:color w:val="000000"/>
          <w:szCs w:val="21"/>
        </w:rPr>
        <w:t>10cm的新根4</w:t>
      </w:r>
      <w:r>
        <w:rPr>
          <w:rFonts w:hint="eastAsia" w:ascii="宋体" w:hAnsi="宋体" w:eastAsia="宋体"/>
          <w:color w:val="000000"/>
          <w:szCs w:val="21"/>
        </w:rPr>
        <w:t>条以上</w:t>
      </w:r>
      <w:r>
        <w:rPr>
          <w:rFonts w:ascii="宋体" w:hAnsi="宋体" w:eastAsia="宋体"/>
          <w:color w:val="000000"/>
          <w:szCs w:val="21"/>
        </w:rPr>
        <w:t>，无</w:t>
      </w:r>
      <w:r>
        <w:rPr>
          <w:rFonts w:hint="eastAsia" w:ascii="宋体" w:hAnsi="宋体" w:eastAsia="宋体"/>
          <w:color w:val="000000"/>
          <w:szCs w:val="21"/>
        </w:rPr>
        <w:t>病虫害，育苗</w:t>
      </w:r>
      <w:r>
        <w:rPr>
          <w:rFonts w:ascii="宋体" w:hAnsi="宋体" w:eastAsia="宋体"/>
          <w:color w:val="000000"/>
          <w:szCs w:val="21"/>
        </w:rPr>
        <w:t>袋</w:t>
      </w:r>
      <w:r>
        <w:rPr>
          <w:rFonts w:hint="eastAsia" w:ascii="宋体" w:hAnsi="宋体" w:eastAsia="宋体"/>
          <w:color w:val="000000"/>
          <w:szCs w:val="21"/>
        </w:rPr>
        <w:t>无老化或破裂。</w:t>
      </w:r>
    </w:p>
    <w:p w14:paraId="62C162B4">
      <w:pPr>
        <w:pStyle w:val="39"/>
        <w:spacing w:before="312" w:beforeLines="100" w:after="312" w:afterLines="100"/>
        <w:ind w:left="0"/>
      </w:pPr>
      <w:r>
        <w:rPr>
          <w:rFonts w:hint="eastAsia"/>
        </w:rPr>
        <w:t>5 栽培技术</w:t>
      </w:r>
    </w:p>
    <w:p w14:paraId="2FF47360">
      <w:pPr>
        <w:pStyle w:val="41"/>
        <w:spacing w:before="156" w:beforeLines="50" w:after="156" w:afterLines="50"/>
        <w:rPr>
          <w:rFonts w:hint="eastAsia" w:ascii="黑体" w:hAnsi="黑体"/>
        </w:rPr>
      </w:pPr>
      <w:r>
        <w:rPr>
          <w:rFonts w:hint="eastAsia" w:ascii="黑体" w:hAnsi="黑体"/>
        </w:rPr>
        <w:t>5.1 园地选定</w:t>
      </w:r>
    </w:p>
    <w:p w14:paraId="4FFAF780">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应符合</w:t>
      </w:r>
      <w:r>
        <w:rPr>
          <w:rFonts w:ascii="宋体" w:hAnsi="宋体" w:eastAsia="宋体"/>
          <w:color w:val="000000"/>
          <w:szCs w:val="21"/>
        </w:rPr>
        <w:t>NY/T 5010的规定。</w:t>
      </w:r>
      <w:r>
        <w:rPr>
          <w:rFonts w:hint="eastAsia" w:ascii="宋体" w:hAnsi="宋体" w:eastAsia="宋体"/>
          <w:color w:val="000000"/>
          <w:szCs w:val="21"/>
        </w:rPr>
        <w:t>园地</w:t>
      </w:r>
      <w:r>
        <w:rPr>
          <w:rFonts w:ascii="宋体" w:hAnsi="宋体" w:eastAsia="宋体"/>
          <w:color w:val="231F20"/>
          <w:szCs w:val="21"/>
        </w:rPr>
        <w:t>坡度</w:t>
      </w:r>
      <w:r>
        <w:rPr>
          <w:rFonts w:hint="eastAsia" w:ascii="宋体" w:hAnsi="宋体" w:eastAsia="宋体"/>
          <w:color w:val="231F20"/>
          <w:szCs w:val="21"/>
        </w:rPr>
        <w:t>要求</w:t>
      </w:r>
      <w:r>
        <w:rPr>
          <w:rFonts w:ascii="宋体" w:hAnsi="宋体" w:eastAsia="宋体"/>
          <w:color w:val="231F20"/>
          <w:szCs w:val="21"/>
        </w:rPr>
        <w:t>小于20°</w:t>
      </w:r>
      <w:r>
        <w:rPr>
          <w:rFonts w:hint="eastAsia" w:ascii="宋体" w:hAnsi="宋体" w:eastAsia="宋体"/>
          <w:color w:val="000000"/>
          <w:szCs w:val="21"/>
        </w:rPr>
        <w:t>，年平均温度大于</w:t>
      </w:r>
      <w:r>
        <w:rPr>
          <w:rFonts w:ascii="宋体" w:hAnsi="宋体" w:eastAsia="宋体"/>
          <w:color w:val="000000"/>
          <w:szCs w:val="21"/>
        </w:rPr>
        <w:t>19℃</w:t>
      </w:r>
      <w:r>
        <w:rPr>
          <w:rFonts w:hint="eastAsia" w:ascii="宋体" w:hAnsi="宋体" w:eastAsia="宋体"/>
          <w:color w:val="000000"/>
          <w:szCs w:val="21"/>
        </w:rPr>
        <w:t>，年最低温大于5℃，背风向阳，水源充足，排灌方便。</w:t>
      </w:r>
      <w:r>
        <w:rPr>
          <w:rFonts w:ascii="宋体" w:hAnsi="宋体" w:eastAsia="宋体"/>
          <w:color w:val="000000"/>
          <w:szCs w:val="21"/>
        </w:rPr>
        <w:t>土壤方面，要求</w:t>
      </w:r>
      <w:r>
        <w:rPr>
          <w:rFonts w:hint="eastAsia" w:ascii="宋体" w:hAnsi="宋体" w:eastAsia="宋体"/>
          <w:color w:val="000000"/>
          <w:szCs w:val="21"/>
        </w:rPr>
        <w:t>土层深厚（</w:t>
      </w:r>
      <w:r>
        <w:rPr>
          <w:rFonts w:ascii="宋体" w:hAnsi="宋体" w:eastAsia="宋体"/>
          <w:color w:val="000000"/>
          <w:szCs w:val="21"/>
        </w:rPr>
        <w:t>1 m以上</w:t>
      </w:r>
      <w:r>
        <w:rPr>
          <w:rFonts w:hint="eastAsia" w:ascii="宋体" w:hAnsi="宋体" w:eastAsia="宋体"/>
          <w:color w:val="000000"/>
          <w:szCs w:val="21"/>
        </w:rPr>
        <w:t>），土壤疏松肥沃</w:t>
      </w:r>
      <w:r>
        <w:rPr>
          <w:rFonts w:ascii="宋体" w:hAnsi="宋体" w:eastAsia="宋体"/>
          <w:color w:val="000000"/>
          <w:szCs w:val="21"/>
        </w:rPr>
        <w:t>（含有机质</w:t>
      </w:r>
      <w:r>
        <w:rPr>
          <w:rFonts w:hint="eastAsia" w:ascii="宋体" w:hAnsi="宋体" w:eastAsia="宋体"/>
          <w:color w:val="000000"/>
          <w:szCs w:val="21"/>
        </w:rPr>
        <w:t>不低于</w:t>
      </w:r>
      <w:r>
        <w:rPr>
          <w:rFonts w:ascii="宋体" w:hAnsi="宋体" w:eastAsia="宋体"/>
          <w:color w:val="000000"/>
          <w:szCs w:val="21"/>
        </w:rPr>
        <w:t>2%）</w:t>
      </w:r>
      <w:r>
        <w:rPr>
          <w:rFonts w:hint="eastAsia" w:ascii="宋体" w:hAnsi="宋体" w:eastAsia="宋体"/>
          <w:color w:val="000000"/>
          <w:szCs w:val="21"/>
        </w:rPr>
        <w:t>，</w:t>
      </w:r>
      <w:r>
        <w:rPr>
          <w:rFonts w:ascii="宋体" w:hAnsi="宋体" w:eastAsia="宋体"/>
          <w:color w:val="000000"/>
          <w:szCs w:val="21"/>
        </w:rPr>
        <w:t>微酸性</w:t>
      </w:r>
      <w:r>
        <w:rPr>
          <w:rFonts w:hint="eastAsia" w:ascii="宋体" w:hAnsi="宋体" w:eastAsia="宋体"/>
          <w:color w:val="000000"/>
          <w:szCs w:val="21"/>
        </w:rPr>
        <w:t>（pH=5.5</w:t>
      </w:r>
      <w:r>
        <w:rPr>
          <w:rFonts w:ascii="宋体" w:hAnsi="宋体" w:eastAsia="宋体"/>
          <w:color w:val="000000"/>
          <w:szCs w:val="21"/>
        </w:rPr>
        <w:t>～</w:t>
      </w:r>
      <w:r>
        <w:rPr>
          <w:rFonts w:hint="eastAsia" w:ascii="宋体" w:hAnsi="宋体" w:eastAsia="宋体"/>
          <w:color w:val="000000"/>
          <w:szCs w:val="21"/>
        </w:rPr>
        <w:t>6.5）。</w:t>
      </w:r>
    </w:p>
    <w:p w14:paraId="69F5CA3B">
      <w:pPr>
        <w:pStyle w:val="41"/>
        <w:spacing w:before="156" w:beforeLines="50" w:after="156" w:afterLines="50"/>
        <w:rPr>
          <w:rFonts w:hint="eastAsia" w:ascii="黑体" w:hAnsi="黑体"/>
        </w:rPr>
      </w:pPr>
      <w:r>
        <w:rPr>
          <w:rFonts w:hint="eastAsia" w:ascii="黑体" w:hAnsi="黑体"/>
        </w:rPr>
        <w:t>5.2 园地</w:t>
      </w:r>
      <w:r>
        <w:rPr>
          <w:rFonts w:ascii="黑体" w:hAnsi="黑体"/>
        </w:rPr>
        <w:t>整备</w:t>
      </w:r>
    </w:p>
    <w:p w14:paraId="155C2662">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园地需配套</w:t>
      </w:r>
      <w:r>
        <w:rPr>
          <w:rFonts w:ascii="宋体" w:hAnsi="宋体" w:eastAsia="宋体"/>
          <w:color w:val="000000"/>
          <w:szCs w:val="21"/>
        </w:rPr>
        <w:t>蓄水池，修排灌水沟</w:t>
      </w:r>
      <w:r>
        <w:rPr>
          <w:rFonts w:hint="eastAsia" w:ascii="宋体" w:hAnsi="宋体" w:eastAsia="宋体"/>
          <w:color w:val="000000"/>
          <w:szCs w:val="21"/>
        </w:rPr>
        <w:t>。在十二月中下旬，进行地块清理，清除石块、树枝、残株等杂物。若为旧园，则还需清除老株和树根，并使用</w:t>
      </w:r>
      <w:r>
        <w:rPr>
          <w:rFonts w:ascii="宋体" w:hAnsi="宋体" w:eastAsia="宋体"/>
          <w:color w:val="000000"/>
          <w:szCs w:val="21"/>
        </w:rPr>
        <w:t>20倍稀释45％晶体石硫合剂进行喷雾消毒。</w:t>
      </w:r>
      <w:r>
        <w:rPr>
          <w:rFonts w:hint="eastAsia" w:ascii="宋体" w:hAnsi="宋体" w:eastAsia="宋体"/>
          <w:color w:val="000000"/>
          <w:szCs w:val="21"/>
        </w:rPr>
        <w:t>撒施石灰800 kg/hm</w:t>
      </w:r>
      <w:r>
        <w:rPr>
          <w:rFonts w:hint="eastAsia" w:ascii="宋体" w:hAnsi="宋体" w:eastAsia="宋体"/>
          <w:color w:val="000000"/>
          <w:szCs w:val="21"/>
          <w:vertAlign w:val="superscript"/>
        </w:rPr>
        <w:t>2</w:t>
      </w:r>
      <w:r>
        <w:rPr>
          <w:rFonts w:hint="eastAsia" w:ascii="宋体" w:hAnsi="宋体" w:eastAsia="宋体"/>
          <w:color w:val="000000"/>
          <w:szCs w:val="21"/>
        </w:rPr>
        <w:t>，然后泡水机耕，</w:t>
      </w:r>
      <w:r>
        <w:rPr>
          <w:rFonts w:ascii="宋体" w:hAnsi="宋体" w:eastAsia="宋体"/>
          <w:color w:val="000000"/>
          <w:szCs w:val="21"/>
        </w:rPr>
        <w:t>并将土壤</w:t>
      </w:r>
      <w:r>
        <w:rPr>
          <w:rFonts w:hint="eastAsia" w:ascii="宋体" w:hAnsi="宋体" w:eastAsia="宋体"/>
          <w:color w:val="000000"/>
          <w:szCs w:val="21"/>
        </w:rPr>
        <w:t>淹水20 d～30 d。撒施沤熟优质有机肥2000 kg/hm</w:t>
      </w:r>
      <w:r>
        <w:rPr>
          <w:rFonts w:hint="eastAsia" w:ascii="宋体" w:hAnsi="宋体" w:eastAsia="宋体"/>
          <w:color w:val="000000"/>
          <w:szCs w:val="21"/>
          <w:vertAlign w:val="superscript"/>
        </w:rPr>
        <w:t>2</w:t>
      </w:r>
      <w:r>
        <w:rPr>
          <w:rFonts w:hint="eastAsia" w:ascii="宋体" w:hAnsi="宋体" w:eastAsia="宋体"/>
          <w:color w:val="000000"/>
          <w:szCs w:val="21"/>
        </w:rPr>
        <w:t>。根据</w:t>
      </w:r>
      <w:r>
        <w:rPr>
          <w:rFonts w:ascii="宋体" w:hAnsi="宋体" w:eastAsia="宋体"/>
          <w:color w:val="000000"/>
          <w:szCs w:val="21"/>
        </w:rPr>
        <w:t>垄</w:t>
      </w:r>
      <w:r>
        <w:rPr>
          <w:rFonts w:hint="eastAsia" w:ascii="宋体" w:hAnsi="宋体" w:eastAsia="宋体"/>
          <w:color w:val="000000"/>
          <w:szCs w:val="21"/>
        </w:rPr>
        <w:t>宽4 m、</w:t>
      </w:r>
      <w:r>
        <w:rPr>
          <w:rFonts w:ascii="宋体" w:hAnsi="宋体" w:eastAsia="宋体"/>
          <w:color w:val="000000"/>
          <w:szCs w:val="21"/>
        </w:rPr>
        <w:t>垄高40</w:t>
      </w:r>
      <w:r>
        <w:rPr>
          <w:rFonts w:hint="eastAsia" w:ascii="宋体" w:hAnsi="宋体" w:eastAsia="宋体"/>
          <w:color w:val="000000"/>
          <w:szCs w:val="21"/>
        </w:rPr>
        <w:t xml:space="preserve"> cm～</w:t>
      </w:r>
      <w:r>
        <w:rPr>
          <w:rFonts w:ascii="宋体" w:hAnsi="宋体" w:eastAsia="宋体"/>
          <w:color w:val="000000"/>
          <w:szCs w:val="21"/>
        </w:rPr>
        <w:t>50</w:t>
      </w:r>
      <w:r>
        <w:rPr>
          <w:rFonts w:hint="eastAsia" w:ascii="宋体" w:hAnsi="宋体" w:eastAsia="宋体"/>
          <w:color w:val="000000"/>
          <w:szCs w:val="21"/>
        </w:rPr>
        <w:t xml:space="preserve"> cm</w:t>
      </w:r>
      <w:r>
        <w:rPr>
          <w:rFonts w:ascii="宋体" w:hAnsi="宋体" w:eastAsia="宋体"/>
          <w:color w:val="000000"/>
          <w:szCs w:val="21"/>
        </w:rPr>
        <w:t>、</w:t>
      </w:r>
      <w:r>
        <w:rPr>
          <w:rFonts w:hint="eastAsia" w:ascii="宋体" w:hAnsi="宋体" w:eastAsia="宋体"/>
          <w:color w:val="000000"/>
          <w:szCs w:val="21"/>
        </w:rPr>
        <w:t>行距2 m</w:t>
      </w:r>
      <w:r>
        <w:rPr>
          <w:rFonts w:ascii="宋体" w:hAnsi="宋体" w:eastAsia="宋体"/>
          <w:color w:val="000000"/>
          <w:szCs w:val="21"/>
        </w:rPr>
        <w:t>的要求，进行机耕翻土。</w:t>
      </w:r>
      <w:r>
        <w:rPr>
          <w:rFonts w:hint="eastAsia" w:ascii="宋体" w:hAnsi="宋体" w:eastAsia="宋体"/>
          <w:color w:val="000000"/>
          <w:szCs w:val="21"/>
        </w:rPr>
        <w:t>在此期间，撒施复合肥（N:P</w:t>
      </w:r>
      <w:r>
        <w:rPr>
          <w:rFonts w:hint="eastAsia" w:ascii="宋体" w:hAnsi="宋体" w:eastAsia="宋体"/>
          <w:color w:val="000000"/>
          <w:szCs w:val="21"/>
          <w:vertAlign w:val="subscript"/>
        </w:rPr>
        <w:t>2</w:t>
      </w:r>
      <w:r>
        <w:rPr>
          <w:rFonts w:hint="eastAsia" w:ascii="宋体" w:hAnsi="宋体" w:eastAsia="宋体"/>
          <w:color w:val="000000"/>
          <w:szCs w:val="21"/>
        </w:rPr>
        <w:t>O</w:t>
      </w:r>
      <w:r>
        <w:rPr>
          <w:rFonts w:hint="eastAsia" w:ascii="宋体" w:hAnsi="宋体" w:eastAsia="宋体"/>
          <w:color w:val="000000"/>
          <w:szCs w:val="21"/>
          <w:vertAlign w:val="subscript"/>
        </w:rPr>
        <w:t>5</w:t>
      </w:r>
      <w:r>
        <w:rPr>
          <w:rFonts w:hint="eastAsia" w:ascii="宋体" w:hAnsi="宋体" w:eastAsia="宋体"/>
          <w:color w:val="000000"/>
          <w:szCs w:val="21"/>
        </w:rPr>
        <w:t>:K</w:t>
      </w:r>
      <w:r>
        <w:rPr>
          <w:rFonts w:hint="eastAsia" w:ascii="宋体" w:hAnsi="宋体" w:eastAsia="宋体"/>
          <w:color w:val="000000"/>
          <w:szCs w:val="21"/>
          <w:vertAlign w:val="subscript"/>
        </w:rPr>
        <w:t>2</w:t>
      </w:r>
      <w:r>
        <w:rPr>
          <w:rFonts w:hint="eastAsia" w:ascii="宋体" w:hAnsi="宋体" w:eastAsia="宋体"/>
          <w:color w:val="000000"/>
          <w:szCs w:val="21"/>
        </w:rPr>
        <w:t>O=15:15:15） 800 kg/hm</w:t>
      </w:r>
      <w:r>
        <w:rPr>
          <w:rFonts w:hint="eastAsia" w:ascii="宋体" w:hAnsi="宋体" w:eastAsia="宋体"/>
          <w:color w:val="000000"/>
          <w:szCs w:val="21"/>
          <w:vertAlign w:val="superscript"/>
        </w:rPr>
        <w:t>2</w:t>
      </w:r>
      <w:r>
        <w:rPr>
          <w:rFonts w:ascii="宋体" w:hAnsi="宋体" w:eastAsia="宋体"/>
          <w:color w:val="000000"/>
          <w:szCs w:val="21"/>
        </w:rPr>
        <w:t>。将肥料和泥土充分拌匀后，平整畦面，并等待</w:t>
      </w:r>
      <w:r>
        <w:rPr>
          <w:rFonts w:hint="eastAsia" w:ascii="宋体" w:hAnsi="宋体" w:eastAsia="宋体"/>
          <w:color w:val="000000"/>
          <w:szCs w:val="21"/>
        </w:rPr>
        <w:t>降雨充分湿透土壤后覆盖地膜。</w:t>
      </w:r>
    </w:p>
    <w:p w14:paraId="0B393521">
      <w:pPr>
        <w:pStyle w:val="41"/>
        <w:rPr>
          <w:rFonts w:hint="eastAsia" w:ascii="黑体" w:hAnsi="黑体"/>
        </w:rPr>
      </w:pPr>
      <w:r>
        <w:rPr>
          <w:rFonts w:hint="eastAsia" w:ascii="黑体" w:hAnsi="黑体"/>
        </w:rPr>
        <w:t>5.3 棚架</w:t>
      </w:r>
    </w:p>
    <w:p w14:paraId="2CB7D6F5">
      <w:pPr>
        <w:pStyle w:val="42"/>
        <w:spacing w:before="156" w:beforeLines="50" w:after="156" w:afterLines="50"/>
        <w:rPr>
          <w:rFonts w:hint="eastAsia" w:ascii="黑体" w:hAnsi="黑体"/>
        </w:rPr>
      </w:pPr>
      <w:r>
        <w:rPr>
          <w:rFonts w:hint="eastAsia" w:ascii="黑体" w:hAnsi="黑体"/>
        </w:rPr>
        <w:t xml:space="preserve">5.3.1 </w:t>
      </w:r>
      <w:r>
        <w:rPr>
          <w:rFonts w:ascii="黑体" w:hAnsi="黑体"/>
        </w:rPr>
        <w:t>架式选择</w:t>
      </w:r>
    </w:p>
    <w:p w14:paraId="23BE2FAD">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对于地势平缓、无障碍物的园地，建议选用平棚+垂帘式架式，以达到提效增产；而对于地势不平、有障碍物的园地，建议选择平棚式。</w:t>
      </w:r>
    </w:p>
    <w:p w14:paraId="5237BBF0">
      <w:pPr>
        <w:pStyle w:val="42"/>
        <w:spacing w:before="156" w:beforeLines="50" w:after="156" w:afterLines="50"/>
        <w:rPr>
          <w:rFonts w:hint="eastAsia" w:ascii="黑体" w:hAnsi="黑体"/>
        </w:rPr>
      </w:pPr>
      <w:r>
        <w:rPr>
          <w:rFonts w:hint="eastAsia" w:ascii="黑体" w:hAnsi="黑体"/>
        </w:rPr>
        <w:t>5.3.2 棚架搭建</w:t>
      </w:r>
    </w:p>
    <w:p w14:paraId="3F31D9F4">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5.3.2.1 基本要求</w:t>
      </w:r>
    </w:p>
    <w:p w14:paraId="76833177">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立杆入土深度为50 cm，立杆材料为镀锌钢管。</w:t>
      </w:r>
    </w:p>
    <w:p w14:paraId="220D9B8B">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5.3.2.2 篱架式</w:t>
      </w:r>
    </w:p>
    <w:p w14:paraId="7F14D9F7">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立杆长度为</w:t>
      </w:r>
      <w:r>
        <w:rPr>
          <w:rFonts w:ascii="宋体" w:hAnsi="宋体" w:eastAsia="宋体"/>
          <w:color w:val="000000"/>
          <w:szCs w:val="21"/>
        </w:rPr>
        <w:t>2.4 m，立杆行间距</w:t>
      </w:r>
      <w:r>
        <w:rPr>
          <w:rFonts w:hint="eastAsia" w:ascii="宋体" w:hAnsi="宋体" w:eastAsia="宋体"/>
          <w:color w:val="000000"/>
          <w:szCs w:val="21"/>
        </w:rPr>
        <w:t>为</w:t>
      </w:r>
      <w:r>
        <w:rPr>
          <w:rFonts w:ascii="宋体" w:hAnsi="宋体" w:eastAsia="宋体"/>
          <w:color w:val="000000"/>
          <w:szCs w:val="21"/>
        </w:rPr>
        <w:t>2 m，</w:t>
      </w:r>
      <w:r>
        <w:rPr>
          <w:rFonts w:hint="eastAsia" w:ascii="宋体" w:hAnsi="宋体" w:eastAsia="宋体"/>
          <w:color w:val="000000"/>
          <w:szCs w:val="21"/>
        </w:rPr>
        <w:t>立</w:t>
      </w:r>
      <w:r>
        <w:rPr>
          <w:rFonts w:ascii="宋体" w:hAnsi="宋体" w:eastAsia="宋体"/>
          <w:color w:val="000000"/>
          <w:szCs w:val="21"/>
        </w:rPr>
        <w:t>杆间距</w:t>
      </w:r>
      <w:r>
        <w:rPr>
          <w:rFonts w:hint="eastAsia" w:ascii="宋体" w:hAnsi="宋体" w:eastAsia="宋体"/>
          <w:color w:val="000000"/>
          <w:szCs w:val="21"/>
        </w:rPr>
        <w:t>为</w:t>
      </w:r>
      <w:r>
        <w:rPr>
          <w:rFonts w:ascii="宋体" w:hAnsi="宋体" w:eastAsia="宋体"/>
          <w:color w:val="000000"/>
          <w:szCs w:val="21"/>
        </w:rPr>
        <w:t>4.0 m。</w:t>
      </w:r>
      <w:r>
        <w:rPr>
          <w:rFonts w:hint="eastAsia" w:ascii="宋体" w:hAnsi="宋体" w:eastAsia="宋体"/>
          <w:color w:val="000000"/>
          <w:szCs w:val="21"/>
        </w:rPr>
        <w:t>通过均匀拉伸镀锌绞线形成网状篱面，共有三</w:t>
      </w:r>
      <w:r>
        <w:rPr>
          <w:rFonts w:ascii="宋体" w:hAnsi="宋体" w:eastAsia="宋体"/>
          <w:color w:val="000000"/>
          <w:szCs w:val="21"/>
        </w:rPr>
        <w:t>层篱面</w:t>
      </w:r>
      <w:r>
        <w:rPr>
          <w:rFonts w:hint="eastAsia" w:ascii="宋体" w:hAnsi="宋体" w:eastAsia="宋体"/>
          <w:color w:val="000000"/>
          <w:szCs w:val="21"/>
        </w:rPr>
        <w:t>，第</w:t>
      </w:r>
      <w:r>
        <w:rPr>
          <w:rFonts w:ascii="宋体" w:hAnsi="宋体" w:eastAsia="宋体"/>
          <w:color w:val="000000"/>
          <w:szCs w:val="21"/>
        </w:rPr>
        <w:t>一层</w:t>
      </w:r>
      <w:r>
        <w:rPr>
          <w:rFonts w:hint="eastAsia" w:ascii="宋体" w:hAnsi="宋体" w:eastAsia="宋体"/>
          <w:color w:val="000000"/>
          <w:szCs w:val="21"/>
        </w:rPr>
        <w:t>距离地面80 cm，</w:t>
      </w:r>
      <w:r>
        <w:rPr>
          <w:rFonts w:ascii="宋体" w:hAnsi="宋体" w:eastAsia="宋体"/>
          <w:color w:val="000000"/>
          <w:szCs w:val="21"/>
        </w:rPr>
        <w:t>篱面之间的间距为</w:t>
      </w:r>
      <w:r>
        <w:rPr>
          <w:rFonts w:hint="eastAsia" w:ascii="宋体" w:hAnsi="宋体" w:eastAsia="宋体"/>
          <w:color w:val="000000"/>
          <w:szCs w:val="21"/>
        </w:rPr>
        <w:t>50 cm。</w:t>
      </w:r>
    </w:p>
    <w:p w14:paraId="5DFADAF4">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5.3.2.3 平棚式</w:t>
      </w:r>
    </w:p>
    <w:p w14:paraId="7BAEB727">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立杆长度为</w:t>
      </w:r>
      <w:r>
        <w:rPr>
          <w:rFonts w:ascii="宋体" w:hAnsi="宋体" w:eastAsia="宋体"/>
          <w:color w:val="000000"/>
          <w:szCs w:val="21"/>
        </w:rPr>
        <w:t>2.4 m</w:t>
      </w:r>
      <w:r>
        <w:rPr>
          <w:rFonts w:hint="eastAsia" w:ascii="宋体" w:hAnsi="宋体" w:eastAsia="宋体"/>
          <w:color w:val="000000"/>
          <w:szCs w:val="21"/>
        </w:rPr>
        <w:t>，</w:t>
      </w:r>
      <w:r>
        <w:rPr>
          <w:rFonts w:ascii="宋体" w:hAnsi="宋体" w:eastAsia="宋体"/>
          <w:color w:val="000000"/>
          <w:szCs w:val="21"/>
        </w:rPr>
        <w:t>立杆行间距</w:t>
      </w:r>
      <w:r>
        <w:rPr>
          <w:rFonts w:hint="eastAsia" w:ascii="宋体" w:hAnsi="宋体" w:eastAsia="宋体"/>
          <w:color w:val="000000"/>
          <w:szCs w:val="21"/>
        </w:rPr>
        <w:t>为</w:t>
      </w:r>
      <w:r>
        <w:rPr>
          <w:rFonts w:ascii="宋体" w:hAnsi="宋体" w:eastAsia="宋体"/>
          <w:color w:val="000000"/>
          <w:szCs w:val="21"/>
        </w:rPr>
        <w:t>2 m，立杆间距</w:t>
      </w:r>
      <w:r>
        <w:rPr>
          <w:rFonts w:hint="eastAsia" w:ascii="宋体" w:hAnsi="宋体" w:eastAsia="宋体"/>
          <w:color w:val="000000"/>
          <w:szCs w:val="21"/>
        </w:rPr>
        <w:t>为</w:t>
      </w:r>
      <w:r>
        <w:rPr>
          <w:rFonts w:ascii="宋体" w:hAnsi="宋体" w:eastAsia="宋体"/>
          <w:color w:val="000000"/>
          <w:szCs w:val="21"/>
        </w:rPr>
        <w:t>4.0 m。</w:t>
      </w:r>
      <w:r>
        <w:rPr>
          <w:rFonts w:hint="eastAsia" w:ascii="宋体" w:hAnsi="宋体" w:eastAsia="宋体"/>
          <w:color w:val="000000"/>
          <w:szCs w:val="21"/>
        </w:rPr>
        <w:t>通过均匀拉伸镀锌绞线形成网状棚面，棚面高1.8 m。</w:t>
      </w:r>
    </w:p>
    <w:p w14:paraId="78B53E50">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5.3.2.4 平棚+垂帘式</w:t>
      </w:r>
    </w:p>
    <w:p w14:paraId="14E9905B">
      <w:pPr>
        <w:numPr>
          <w:ilvl w:val="0"/>
          <w:numId w:val="0"/>
        </w:numPr>
        <w:spacing w:line="240" w:lineRule="auto"/>
        <w:ind w:firstLine="420" w:firstLineChars="200"/>
        <w:rPr>
          <w:rFonts w:hint="eastAsia" w:ascii="宋体" w:hAnsi="宋体" w:eastAsia="宋体"/>
          <w:szCs w:val="21"/>
        </w:rPr>
      </w:pPr>
      <w:r>
        <w:rPr>
          <w:rFonts w:hint="eastAsia" w:ascii="宋体" w:hAnsi="宋体" w:eastAsia="宋体"/>
          <w:szCs w:val="21"/>
        </w:rPr>
        <w:t>平棚+垂帘式棚架在平棚式基础上，于前后间距0.85 m、左右间距1.1 m设置棚顶网格，一级蔓管理采用双蔓整枝法，选择2条健壮主蔓沿网格向左右两侧水平牵引，其余侧芽抹除以集中养分；二级蔓管理遵循“去弱留强”原则，待一级蔓长至第6节位时，每节保留1条二级蔓垂直下拉，其余副梢留2叶摘心；三级蔓作为结果枝，仅保留二级蔓基部3-4节位的健壮新梢，其余疏除，以方便日常修剪和采摘。</w:t>
      </w:r>
    </w:p>
    <w:p w14:paraId="7E5CAA00">
      <w:pPr>
        <w:pStyle w:val="41"/>
        <w:spacing w:before="156" w:beforeLines="50" w:after="156" w:afterLines="50"/>
      </w:pPr>
      <w:r>
        <w:rPr>
          <w:rFonts w:hint="eastAsia"/>
        </w:rPr>
        <w:t>5.4 种植密度</w:t>
      </w:r>
    </w:p>
    <w:p w14:paraId="43F2BF21">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适度密植，株距80 cm</w:t>
      </w:r>
      <w:r>
        <w:rPr>
          <w:rFonts w:ascii="宋体" w:hAnsi="宋体" w:eastAsia="宋体"/>
          <w:color w:val="000000"/>
          <w:szCs w:val="21"/>
        </w:rPr>
        <w:t>，行距</w:t>
      </w:r>
      <w:r>
        <w:rPr>
          <w:rFonts w:hint="eastAsia" w:ascii="宋体" w:hAnsi="宋体" w:eastAsia="宋体"/>
          <w:color w:val="000000"/>
          <w:szCs w:val="21"/>
        </w:rPr>
        <w:t>2.5 m</w:t>
      </w:r>
      <w:r>
        <w:rPr>
          <w:rFonts w:ascii="宋体" w:hAnsi="宋体" w:eastAsia="宋体"/>
          <w:color w:val="000000"/>
          <w:szCs w:val="21"/>
        </w:rPr>
        <w:t>～</w:t>
      </w:r>
      <w:r>
        <w:rPr>
          <w:rFonts w:hint="eastAsia" w:ascii="宋体" w:hAnsi="宋体" w:eastAsia="宋体"/>
          <w:color w:val="000000"/>
          <w:szCs w:val="21"/>
        </w:rPr>
        <w:t xml:space="preserve">3 </w:t>
      </w:r>
      <w:r>
        <w:rPr>
          <w:rFonts w:ascii="宋体" w:hAnsi="宋体" w:eastAsia="宋体"/>
          <w:color w:val="000000"/>
          <w:szCs w:val="21"/>
        </w:rPr>
        <w:t>m</w:t>
      </w:r>
      <w:r>
        <w:rPr>
          <w:rFonts w:hint="eastAsia" w:ascii="宋体" w:hAnsi="宋体" w:eastAsia="宋体"/>
          <w:color w:val="000000"/>
          <w:szCs w:val="21"/>
        </w:rPr>
        <w:t>，6000株～6750株/hm</w:t>
      </w:r>
      <w:r>
        <w:rPr>
          <w:rFonts w:hint="eastAsia" w:ascii="宋体" w:hAnsi="宋体" w:eastAsia="宋体"/>
          <w:color w:val="000000"/>
          <w:szCs w:val="21"/>
          <w:vertAlign w:val="superscript"/>
        </w:rPr>
        <w:t>2</w:t>
      </w:r>
      <w:r>
        <w:rPr>
          <w:rFonts w:hint="eastAsia" w:ascii="宋体" w:hAnsi="宋体" w:eastAsia="宋体"/>
          <w:color w:val="000000"/>
          <w:szCs w:val="21"/>
        </w:rPr>
        <w:t>（400株</w:t>
      </w:r>
      <w:r>
        <w:rPr>
          <w:rFonts w:ascii="宋体" w:hAnsi="宋体" w:eastAsia="宋体"/>
          <w:color w:val="000000"/>
          <w:szCs w:val="21"/>
        </w:rPr>
        <w:t>/亩～</w:t>
      </w:r>
      <w:r>
        <w:rPr>
          <w:rFonts w:hint="eastAsia" w:ascii="宋体" w:hAnsi="宋体" w:eastAsia="宋体"/>
          <w:color w:val="000000"/>
          <w:szCs w:val="21"/>
        </w:rPr>
        <w:t>450株</w:t>
      </w:r>
      <w:r>
        <w:rPr>
          <w:rFonts w:ascii="宋体" w:hAnsi="宋体" w:eastAsia="宋体"/>
          <w:color w:val="000000"/>
          <w:szCs w:val="21"/>
        </w:rPr>
        <w:t>/亩</w:t>
      </w:r>
      <w:r>
        <w:rPr>
          <w:rFonts w:hint="eastAsia" w:ascii="宋体" w:hAnsi="宋体" w:eastAsia="宋体"/>
          <w:color w:val="000000"/>
          <w:szCs w:val="21"/>
        </w:rPr>
        <w:t>）</w:t>
      </w:r>
      <w:r>
        <w:rPr>
          <w:rFonts w:ascii="宋体" w:hAnsi="宋体" w:eastAsia="宋体"/>
          <w:color w:val="000000"/>
          <w:szCs w:val="21"/>
        </w:rPr>
        <w:t>。</w:t>
      </w:r>
    </w:p>
    <w:p w14:paraId="529B3C04">
      <w:pPr>
        <w:pStyle w:val="41"/>
        <w:spacing w:before="156" w:beforeLines="50" w:after="156" w:afterLines="50"/>
      </w:pPr>
      <w:r>
        <w:rPr>
          <w:rFonts w:hint="eastAsia"/>
        </w:rPr>
        <w:t>5.5 定植方法与时间</w:t>
      </w:r>
    </w:p>
    <w:p w14:paraId="285A35EE">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选定种植位置，挖一个比育苗袋更宽更深的种植穴。将带土的苗木置于穴中心，轻填土后淋水。整理树盘，并浇灌适量的定根水。建议于2月下旬至4月上旬选择晴暖天气定植，应选择阴天或晴天傍晚后进行，避开高温强光时段（10:00-15:00）。</w:t>
      </w:r>
    </w:p>
    <w:p w14:paraId="27D3A216">
      <w:pPr>
        <w:pStyle w:val="41"/>
      </w:pPr>
      <w:r>
        <w:rPr>
          <w:rFonts w:hint="eastAsia"/>
        </w:rPr>
        <w:t xml:space="preserve">5.6 </w:t>
      </w:r>
      <w:r>
        <w:t>整形管理</w:t>
      </w:r>
    </w:p>
    <w:p w14:paraId="7CFDE96D">
      <w:pPr>
        <w:pStyle w:val="42"/>
        <w:spacing w:before="156" w:beforeLines="50" w:after="156" w:afterLines="50"/>
        <w:rPr>
          <w:rFonts w:hint="eastAsia" w:ascii="黑体" w:hAnsi="黑体"/>
        </w:rPr>
      </w:pPr>
      <w:r>
        <w:rPr>
          <w:rFonts w:hint="eastAsia" w:ascii="黑体" w:hAnsi="黑体"/>
        </w:rPr>
        <w:t>5.6.1 篱架式栽培</w:t>
      </w:r>
    </w:p>
    <w:p w14:paraId="33F0E6B8">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在主蔓长至</w:t>
      </w:r>
      <w:r>
        <w:rPr>
          <w:rFonts w:ascii="宋体" w:hAnsi="宋体" w:eastAsia="宋体"/>
          <w:color w:val="000000"/>
          <w:szCs w:val="21"/>
        </w:rPr>
        <w:t>0.7 m～0.8 m</w:t>
      </w:r>
      <w:r>
        <w:rPr>
          <w:rFonts w:hint="eastAsia" w:ascii="宋体" w:hAnsi="宋体" w:eastAsia="宋体"/>
          <w:color w:val="000000"/>
          <w:szCs w:val="21"/>
        </w:rPr>
        <w:t>时，</w:t>
      </w:r>
      <w:r>
        <w:rPr>
          <w:rFonts w:ascii="宋体" w:hAnsi="宋体" w:eastAsia="宋体"/>
          <w:color w:val="000000"/>
          <w:szCs w:val="21"/>
        </w:rPr>
        <w:t>进行</w:t>
      </w:r>
      <w:r>
        <w:rPr>
          <w:rFonts w:hint="eastAsia" w:ascii="宋体" w:hAnsi="宋体" w:eastAsia="宋体"/>
          <w:color w:val="000000"/>
          <w:szCs w:val="21"/>
        </w:rPr>
        <w:t>摘心促发</w:t>
      </w:r>
      <w:r>
        <w:rPr>
          <w:rFonts w:ascii="宋体" w:hAnsi="宋体" w:eastAsia="宋体"/>
          <w:color w:val="000000"/>
          <w:szCs w:val="21"/>
        </w:rPr>
        <w:t>一级蔓</w:t>
      </w:r>
      <w:r>
        <w:rPr>
          <w:rFonts w:hint="eastAsia" w:ascii="宋体" w:hAnsi="宋体" w:eastAsia="宋体"/>
          <w:color w:val="000000"/>
          <w:szCs w:val="21"/>
        </w:rPr>
        <w:t>，选留</w:t>
      </w:r>
      <w:r>
        <w:rPr>
          <w:rFonts w:ascii="宋体" w:hAnsi="宋体" w:eastAsia="宋体"/>
          <w:color w:val="000000"/>
          <w:szCs w:val="21"/>
        </w:rPr>
        <w:t>3</w:t>
      </w:r>
      <w:r>
        <w:rPr>
          <w:rFonts w:hint="eastAsia" w:ascii="宋体" w:hAnsi="宋体" w:eastAsia="宋体"/>
          <w:color w:val="000000"/>
          <w:szCs w:val="21"/>
        </w:rPr>
        <w:t>条</w:t>
      </w:r>
      <w:r>
        <w:rPr>
          <w:rFonts w:ascii="宋体" w:hAnsi="宋体" w:eastAsia="宋体"/>
          <w:color w:val="000000"/>
          <w:szCs w:val="21"/>
        </w:rPr>
        <w:t>一级蔓</w:t>
      </w:r>
      <w:r>
        <w:rPr>
          <w:rFonts w:hint="eastAsia" w:ascii="宋体" w:hAnsi="宋体" w:eastAsia="宋体"/>
          <w:color w:val="000000"/>
          <w:szCs w:val="21"/>
        </w:rPr>
        <w:t>，并沿篱架一层平行生长；每条一级蔓上选留6条～8条二级蔓，沿着篱架向上生长；在二级蔓上选留</w:t>
      </w:r>
      <w:r>
        <w:rPr>
          <w:rFonts w:ascii="宋体" w:hAnsi="宋体" w:eastAsia="宋体"/>
          <w:color w:val="000000"/>
          <w:szCs w:val="21"/>
        </w:rPr>
        <w:t>15</w:t>
      </w:r>
      <w:r>
        <w:rPr>
          <w:rFonts w:hint="eastAsia" w:ascii="宋体" w:hAnsi="宋体" w:eastAsia="宋体"/>
          <w:color w:val="000000"/>
          <w:szCs w:val="21"/>
        </w:rPr>
        <w:t>条</w:t>
      </w:r>
      <w:r>
        <w:rPr>
          <w:rFonts w:ascii="宋体" w:hAnsi="宋体" w:eastAsia="宋体"/>
          <w:color w:val="000000"/>
          <w:szCs w:val="21"/>
        </w:rPr>
        <w:t>～20条三级蔓</w:t>
      </w:r>
      <w:r>
        <w:rPr>
          <w:rFonts w:hint="eastAsia" w:ascii="宋体" w:hAnsi="宋体" w:eastAsia="宋体"/>
          <w:color w:val="000000"/>
          <w:szCs w:val="21"/>
        </w:rPr>
        <w:t>；</w:t>
      </w:r>
      <w:r>
        <w:rPr>
          <w:rFonts w:ascii="宋体" w:hAnsi="宋体" w:eastAsia="宋体"/>
          <w:color w:val="000000"/>
          <w:szCs w:val="21"/>
        </w:rPr>
        <w:t>一级蔓的定长为</w:t>
      </w:r>
      <w:r>
        <w:rPr>
          <w:rFonts w:hint="eastAsia" w:ascii="宋体" w:hAnsi="宋体" w:eastAsia="宋体"/>
          <w:color w:val="000000"/>
          <w:szCs w:val="21"/>
        </w:rPr>
        <w:t>0.5 m～0.7 m，</w:t>
      </w:r>
      <w:r>
        <w:rPr>
          <w:rFonts w:ascii="宋体" w:hAnsi="宋体" w:eastAsia="宋体"/>
          <w:color w:val="000000"/>
          <w:szCs w:val="21"/>
        </w:rPr>
        <w:t>而二级蔓的定长为</w:t>
      </w:r>
      <w:r>
        <w:rPr>
          <w:rFonts w:hint="eastAsia" w:ascii="宋体" w:hAnsi="宋体" w:eastAsia="宋体"/>
          <w:color w:val="000000"/>
          <w:szCs w:val="21"/>
        </w:rPr>
        <w:t>0.8 m～1.2 m。</w:t>
      </w:r>
    </w:p>
    <w:p w14:paraId="3BCFFEE1">
      <w:pPr>
        <w:pStyle w:val="42"/>
        <w:spacing w:before="156" w:beforeLines="50" w:after="156" w:afterLines="50"/>
        <w:rPr>
          <w:rFonts w:hint="eastAsia" w:ascii="黑体" w:hAnsi="黑体"/>
        </w:rPr>
      </w:pPr>
      <w:r>
        <w:rPr>
          <w:rFonts w:hint="eastAsia" w:ascii="黑体" w:hAnsi="黑体"/>
        </w:rPr>
        <w:t>5.6.2 平棚式栽培</w:t>
      </w:r>
    </w:p>
    <w:p w14:paraId="3571D601">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在引主蔓上棚时，同时清除主蔓上的全部腋芽、卷须和花序；在主蔓上棚后，进行摘心促发一级蔓生长，然后选留</w:t>
      </w:r>
      <w:r>
        <w:rPr>
          <w:rFonts w:ascii="宋体" w:hAnsi="宋体" w:eastAsia="宋体"/>
          <w:color w:val="000000"/>
          <w:szCs w:val="21"/>
        </w:rPr>
        <w:t>3</w:t>
      </w:r>
      <w:r>
        <w:rPr>
          <w:rFonts w:hint="eastAsia" w:ascii="宋体" w:hAnsi="宋体" w:eastAsia="宋体"/>
          <w:color w:val="000000"/>
          <w:szCs w:val="21"/>
        </w:rPr>
        <w:t>条</w:t>
      </w:r>
      <w:r>
        <w:rPr>
          <w:rFonts w:ascii="宋体" w:hAnsi="宋体" w:eastAsia="宋体"/>
          <w:color w:val="000000"/>
          <w:szCs w:val="21"/>
        </w:rPr>
        <w:t>～4</w:t>
      </w:r>
      <w:r>
        <w:rPr>
          <w:rFonts w:hint="eastAsia" w:ascii="宋体" w:hAnsi="宋体" w:eastAsia="宋体"/>
          <w:color w:val="000000"/>
          <w:szCs w:val="21"/>
        </w:rPr>
        <w:t>条</w:t>
      </w:r>
      <w:r>
        <w:rPr>
          <w:rFonts w:ascii="宋体" w:hAnsi="宋体" w:eastAsia="宋体"/>
          <w:color w:val="000000"/>
          <w:szCs w:val="21"/>
        </w:rPr>
        <w:t>一级蔓向不同方向延伸；当一级蔓达到15节后，进行打顶以促发二级蔓的生成</w:t>
      </w:r>
      <w:r>
        <w:rPr>
          <w:rFonts w:hint="eastAsia" w:ascii="宋体" w:hAnsi="宋体" w:eastAsia="宋体"/>
          <w:color w:val="000000"/>
          <w:szCs w:val="21"/>
        </w:rPr>
        <w:t>；</w:t>
      </w:r>
      <w:r>
        <w:rPr>
          <w:rFonts w:ascii="宋体" w:hAnsi="宋体" w:eastAsia="宋体"/>
          <w:color w:val="000000"/>
          <w:szCs w:val="21"/>
        </w:rPr>
        <w:t>每条一级蔓上</w:t>
      </w:r>
      <w:r>
        <w:rPr>
          <w:rFonts w:hint="eastAsia" w:ascii="宋体" w:hAnsi="宋体" w:eastAsia="宋体"/>
          <w:color w:val="000000"/>
          <w:szCs w:val="21"/>
        </w:rPr>
        <w:t>选留2条</w:t>
      </w:r>
      <w:r>
        <w:rPr>
          <w:rFonts w:ascii="宋体" w:hAnsi="宋体" w:eastAsia="宋体"/>
          <w:color w:val="000000"/>
          <w:szCs w:val="21"/>
        </w:rPr>
        <w:t>～</w:t>
      </w:r>
      <w:r>
        <w:rPr>
          <w:rFonts w:hint="eastAsia" w:ascii="宋体" w:hAnsi="宋体" w:eastAsia="宋体"/>
          <w:color w:val="000000"/>
          <w:szCs w:val="21"/>
        </w:rPr>
        <w:t>3条</w:t>
      </w:r>
      <w:r>
        <w:rPr>
          <w:rFonts w:ascii="宋体" w:hAnsi="宋体" w:eastAsia="宋体"/>
          <w:color w:val="000000"/>
          <w:szCs w:val="21"/>
        </w:rPr>
        <w:t>二级蔓</w:t>
      </w:r>
      <w:r>
        <w:rPr>
          <w:rFonts w:hint="eastAsia" w:ascii="宋体" w:hAnsi="宋体" w:eastAsia="宋体"/>
          <w:color w:val="000000"/>
          <w:szCs w:val="21"/>
        </w:rPr>
        <w:t>，</w:t>
      </w:r>
      <w:r>
        <w:rPr>
          <w:rFonts w:ascii="宋体" w:hAnsi="宋体" w:eastAsia="宋体"/>
          <w:color w:val="000000"/>
          <w:szCs w:val="21"/>
        </w:rPr>
        <w:t>每条二级蔓上</w:t>
      </w:r>
      <w:r>
        <w:rPr>
          <w:rFonts w:hint="eastAsia" w:ascii="宋体" w:hAnsi="宋体" w:eastAsia="宋体"/>
          <w:color w:val="000000"/>
          <w:szCs w:val="21"/>
        </w:rPr>
        <w:t>选留15条</w:t>
      </w:r>
      <w:r>
        <w:rPr>
          <w:rFonts w:ascii="宋体" w:hAnsi="宋体" w:eastAsia="宋体"/>
          <w:color w:val="000000"/>
          <w:szCs w:val="21"/>
        </w:rPr>
        <w:t>～</w:t>
      </w:r>
      <w:r>
        <w:rPr>
          <w:rFonts w:hint="eastAsia" w:ascii="宋体" w:hAnsi="宋体" w:eastAsia="宋体"/>
          <w:color w:val="000000"/>
          <w:szCs w:val="21"/>
        </w:rPr>
        <w:t>20条</w:t>
      </w:r>
      <w:r>
        <w:rPr>
          <w:rFonts w:ascii="宋体" w:hAnsi="宋体" w:eastAsia="宋体"/>
          <w:color w:val="000000"/>
          <w:szCs w:val="21"/>
        </w:rPr>
        <w:t>三级蔓</w:t>
      </w:r>
      <w:r>
        <w:rPr>
          <w:rFonts w:hint="eastAsia" w:ascii="宋体" w:hAnsi="宋体" w:eastAsia="宋体"/>
          <w:color w:val="000000"/>
          <w:szCs w:val="21"/>
        </w:rPr>
        <w:t>；一级蔓</w:t>
      </w:r>
      <w:r>
        <w:rPr>
          <w:rFonts w:ascii="宋体" w:hAnsi="宋体" w:eastAsia="宋体"/>
          <w:color w:val="000000"/>
          <w:szCs w:val="21"/>
        </w:rPr>
        <w:t>的定长为</w:t>
      </w:r>
      <w:r>
        <w:rPr>
          <w:rFonts w:hint="eastAsia" w:ascii="宋体" w:hAnsi="宋体" w:eastAsia="宋体"/>
          <w:color w:val="000000"/>
          <w:szCs w:val="21"/>
        </w:rPr>
        <w:t>0.6 m</w:t>
      </w:r>
      <w:r>
        <w:rPr>
          <w:rFonts w:ascii="宋体" w:hAnsi="宋体" w:eastAsia="宋体"/>
          <w:color w:val="000000"/>
          <w:szCs w:val="21"/>
        </w:rPr>
        <w:t>～</w:t>
      </w:r>
      <w:r>
        <w:rPr>
          <w:rFonts w:hint="eastAsia" w:ascii="宋体" w:hAnsi="宋体" w:eastAsia="宋体"/>
          <w:color w:val="000000"/>
          <w:szCs w:val="21"/>
        </w:rPr>
        <w:t>0.8 m，二级蔓</w:t>
      </w:r>
      <w:r>
        <w:rPr>
          <w:rFonts w:ascii="宋体" w:hAnsi="宋体" w:eastAsia="宋体"/>
          <w:color w:val="000000"/>
          <w:szCs w:val="21"/>
        </w:rPr>
        <w:t>的定长为</w:t>
      </w:r>
      <w:r>
        <w:rPr>
          <w:rFonts w:hint="eastAsia" w:ascii="宋体" w:hAnsi="宋体" w:eastAsia="宋体"/>
          <w:color w:val="000000"/>
          <w:szCs w:val="21"/>
        </w:rPr>
        <w:t>1 m</w:t>
      </w:r>
      <w:r>
        <w:rPr>
          <w:rFonts w:ascii="宋体" w:hAnsi="宋体" w:eastAsia="宋体"/>
          <w:color w:val="000000"/>
          <w:szCs w:val="21"/>
        </w:rPr>
        <w:t>～</w:t>
      </w:r>
      <w:r>
        <w:rPr>
          <w:rFonts w:hint="eastAsia" w:ascii="宋体" w:hAnsi="宋体" w:eastAsia="宋体"/>
          <w:color w:val="000000"/>
          <w:szCs w:val="21"/>
        </w:rPr>
        <w:t>1.2 m。</w:t>
      </w:r>
    </w:p>
    <w:p w14:paraId="6B2BBD27">
      <w:pPr>
        <w:pStyle w:val="42"/>
        <w:spacing w:before="156" w:beforeLines="50" w:after="156" w:afterLines="50"/>
        <w:rPr>
          <w:rFonts w:hint="eastAsia" w:ascii="黑体" w:hAnsi="黑体"/>
        </w:rPr>
      </w:pPr>
      <w:r>
        <w:rPr>
          <w:rFonts w:hint="eastAsia" w:ascii="黑体" w:hAnsi="黑体"/>
        </w:rPr>
        <w:t>5.6.3 平棚+垂帘式栽培</w:t>
      </w:r>
    </w:p>
    <w:p w14:paraId="08046460">
      <w:pPr>
        <w:numPr>
          <w:ilvl w:val="0"/>
          <w:numId w:val="0"/>
        </w:numPr>
        <w:spacing w:line="240" w:lineRule="auto"/>
        <w:ind w:firstLine="420" w:firstLineChars="200"/>
        <w:rPr>
          <w:rFonts w:hint="eastAsia" w:ascii="宋体" w:hAnsi="宋体" w:eastAsia="宋体"/>
          <w:color w:val="000000"/>
          <w:szCs w:val="21"/>
        </w:rPr>
      </w:pPr>
      <w:r>
        <w:rPr>
          <w:rFonts w:ascii="宋体" w:hAnsi="宋体" w:eastAsia="宋体"/>
          <w:color w:val="000000"/>
          <w:szCs w:val="21"/>
        </w:rPr>
        <w:t>选留</w:t>
      </w:r>
      <w:r>
        <w:rPr>
          <w:rFonts w:hint="eastAsia" w:ascii="宋体" w:hAnsi="宋体" w:eastAsia="宋体"/>
          <w:color w:val="000000"/>
          <w:szCs w:val="21"/>
        </w:rPr>
        <w:t>4条二级蔓沿着棚架主线生长，左右各两条；当二级蔓</w:t>
      </w:r>
      <w:r>
        <w:rPr>
          <w:rFonts w:ascii="宋体" w:hAnsi="宋体" w:eastAsia="宋体"/>
          <w:color w:val="000000"/>
          <w:szCs w:val="21"/>
        </w:rPr>
        <w:t>达到1.5 m</w:t>
      </w:r>
      <w:r>
        <w:rPr>
          <w:rFonts w:hint="eastAsia" w:ascii="宋体" w:hAnsi="宋体" w:eastAsia="宋体"/>
          <w:color w:val="000000"/>
          <w:szCs w:val="21"/>
        </w:rPr>
        <w:t>后，摘顶促发三级蔓，让三级蔓下垂挂果；每条三级蔓挂果数量达到</w:t>
      </w:r>
      <w:r>
        <w:rPr>
          <w:rFonts w:ascii="宋体" w:hAnsi="宋体" w:eastAsia="宋体"/>
          <w:color w:val="000000"/>
          <w:szCs w:val="21"/>
        </w:rPr>
        <w:t>3</w:t>
      </w:r>
      <w:r>
        <w:rPr>
          <w:rFonts w:hint="eastAsia" w:ascii="宋体" w:hAnsi="宋体" w:eastAsia="宋体"/>
          <w:color w:val="000000"/>
          <w:szCs w:val="21"/>
        </w:rPr>
        <w:t>个</w:t>
      </w:r>
      <w:r>
        <w:rPr>
          <w:rFonts w:ascii="宋体" w:hAnsi="宋体" w:eastAsia="宋体"/>
          <w:color w:val="000000"/>
          <w:szCs w:val="21"/>
        </w:rPr>
        <w:t>～5个时</w:t>
      </w:r>
      <w:r>
        <w:rPr>
          <w:rFonts w:hint="eastAsia" w:ascii="宋体" w:hAnsi="宋体" w:eastAsia="宋体"/>
          <w:color w:val="000000"/>
          <w:szCs w:val="21"/>
        </w:rPr>
        <w:t>进行打顶；在每条三级蔓采完果后，截断三级蔓，促发新的挂果枝条。</w:t>
      </w:r>
    </w:p>
    <w:p w14:paraId="2B8B7D3C">
      <w:pPr>
        <w:pStyle w:val="41"/>
      </w:pPr>
      <w:r>
        <w:rPr>
          <w:rFonts w:hint="eastAsia"/>
        </w:rPr>
        <w:t>5.7 水肥管理</w:t>
      </w:r>
    </w:p>
    <w:p w14:paraId="21502FC7">
      <w:pPr>
        <w:pStyle w:val="42"/>
        <w:spacing w:before="156" w:beforeLines="50" w:after="156" w:afterLines="50"/>
        <w:rPr>
          <w:rFonts w:hint="eastAsia" w:ascii="黑体" w:hAnsi="黑体"/>
        </w:rPr>
      </w:pPr>
      <w:r>
        <w:rPr>
          <w:rFonts w:hint="eastAsia" w:ascii="黑体" w:hAnsi="黑体"/>
        </w:rPr>
        <w:t>5.7.1 水分管理</w:t>
      </w:r>
    </w:p>
    <w:p w14:paraId="1C45BBFD">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苗木定植后的前5 d，每天浇水一次；此后，相隔2 d～3 d浇水一次；在干旱季节，土壤水分维持在田间最大持水量的</w:t>
      </w:r>
      <w:r>
        <w:rPr>
          <w:rFonts w:ascii="宋体" w:hAnsi="宋体" w:eastAsia="宋体"/>
          <w:color w:val="000000"/>
          <w:szCs w:val="21"/>
        </w:rPr>
        <w:t>60%～80%。</w:t>
      </w:r>
    </w:p>
    <w:p w14:paraId="3A499275">
      <w:pPr>
        <w:pStyle w:val="42"/>
        <w:spacing w:before="156" w:beforeLines="50" w:after="156" w:afterLines="50"/>
        <w:rPr>
          <w:rFonts w:hint="eastAsia" w:ascii="黑体" w:hAnsi="黑体"/>
        </w:rPr>
      </w:pPr>
      <w:r>
        <w:rPr>
          <w:rFonts w:hint="eastAsia" w:ascii="黑体" w:hAnsi="黑体"/>
        </w:rPr>
        <w:t>5.7.2 施肥管理</w:t>
      </w:r>
    </w:p>
    <w:p w14:paraId="3384592A">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按</w:t>
      </w:r>
      <w:r>
        <w:rPr>
          <w:rFonts w:ascii="宋体" w:hAnsi="宋体" w:eastAsia="宋体"/>
          <w:color w:val="000000"/>
          <w:szCs w:val="21"/>
        </w:rPr>
        <w:t>NY/T 496的规定执行。</w:t>
      </w:r>
      <w:r>
        <w:rPr>
          <w:rFonts w:hint="eastAsia" w:ascii="宋体" w:hAnsi="宋体" w:eastAsia="宋体"/>
          <w:color w:val="000000"/>
          <w:szCs w:val="21"/>
        </w:rPr>
        <w:t>推荐使用含枯草芽孢杆菌、解淀粉芽孢杆菌的微生物菌肥，施用量不超过化肥总量的30%。</w:t>
      </w:r>
      <w:r>
        <w:rPr>
          <w:rFonts w:ascii="宋体" w:hAnsi="宋体" w:eastAsia="宋体"/>
          <w:color w:val="000000"/>
          <w:szCs w:val="21"/>
        </w:rPr>
        <w:t>严禁使用未经过无害化处理的农家肥、污泥和城市垃圾等。</w:t>
      </w:r>
    </w:p>
    <w:p w14:paraId="775D5EBF">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 xml:space="preserve">5.7.2.1 </w:t>
      </w:r>
      <w:r>
        <w:rPr>
          <w:rFonts w:ascii="黑体" w:hAnsi="黑体" w:eastAsia="黑体"/>
          <w:color w:val="000000"/>
          <w:szCs w:val="21"/>
        </w:rPr>
        <w:t>壮苗肥</w:t>
      </w:r>
    </w:p>
    <w:p w14:paraId="5408B1F5">
      <w:pPr>
        <w:numPr>
          <w:ilvl w:val="0"/>
          <w:numId w:val="0"/>
        </w:numPr>
        <w:spacing w:line="240" w:lineRule="auto"/>
        <w:ind w:left="420"/>
        <w:rPr>
          <w:rFonts w:hint="eastAsia" w:ascii="宋体" w:hAnsi="宋体" w:eastAsia="宋体"/>
          <w:color w:val="000000"/>
          <w:szCs w:val="21"/>
        </w:rPr>
      </w:pPr>
      <w:r>
        <w:rPr>
          <w:rFonts w:hint="eastAsia" w:ascii="宋体" w:hAnsi="宋体" w:eastAsia="宋体"/>
          <w:color w:val="000000"/>
          <w:szCs w:val="21"/>
        </w:rPr>
        <w:t>定植10 d后至一级蔓上架前，每隔8 d</w:t>
      </w:r>
      <w:r>
        <w:rPr>
          <w:rFonts w:ascii="宋体" w:hAnsi="宋体" w:eastAsia="宋体"/>
          <w:color w:val="000000"/>
          <w:szCs w:val="21"/>
        </w:rPr>
        <w:t>～</w:t>
      </w:r>
      <w:r>
        <w:rPr>
          <w:rFonts w:hint="eastAsia" w:ascii="宋体" w:hAnsi="宋体" w:eastAsia="宋体"/>
          <w:color w:val="000000"/>
          <w:szCs w:val="21"/>
        </w:rPr>
        <w:t>10 d</w:t>
      </w:r>
      <w:r>
        <w:rPr>
          <w:rFonts w:ascii="宋体" w:hAnsi="宋体" w:eastAsia="宋体"/>
          <w:color w:val="000000"/>
          <w:szCs w:val="21"/>
        </w:rPr>
        <w:t>淋</w:t>
      </w:r>
      <w:r>
        <w:rPr>
          <w:rFonts w:hint="eastAsia" w:ascii="宋体" w:hAnsi="宋体" w:eastAsia="宋体"/>
          <w:color w:val="000000"/>
          <w:szCs w:val="21"/>
        </w:rPr>
        <w:t>施一次</w:t>
      </w:r>
      <w:r>
        <w:rPr>
          <w:rFonts w:ascii="宋体" w:hAnsi="宋体" w:eastAsia="宋体"/>
          <w:color w:val="000000"/>
          <w:szCs w:val="21"/>
        </w:rPr>
        <w:t>0.3％～0.5％</w:t>
      </w:r>
      <w:r>
        <w:rPr>
          <w:rFonts w:hint="eastAsia" w:ascii="宋体" w:hAnsi="宋体" w:eastAsia="宋体"/>
          <w:color w:val="000000"/>
          <w:szCs w:val="21"/>
        </w:rPr>
        <w:t>浓度的</w:t>
      </w:r>
      <w:r>
        <w:rPr>
          <w:rFonts w:ascii="宋体" w:hAnsi="宋体" w:eastAsia="宋体"/>
          <w:color w:val="000000"/>
          <w:szCs w:val="21"/>
        </w:rPr>
        <w:t>尿素</w:t>
      </w:r>
      <w:r>
        <w:rPr>
          <w:rFonts w:hint="eastAsia" w:ascii="宋体" w:hAnsi="宋体" w:eastAsia="宋体"/>
          <w:color w:val="000000"/>
          <w:szCs w:val="21"/>
        </w:rPr>
        <w:t>。</w:t>
      </w:r>
    </w:p>
    <w:p w14:paraId="6C9FE57C">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 xml:space="preserve">5.7.2.2 </w:t>
      </w:r>
      <w:r>
        <w:rPr>
          <w:rFonts w:ascii="黑体" w:hAnsi="黑体" w:eastAsia="黑体"/>
          <w:color w:val="000000"/>
          <w:szCs w:val="21"/>
        </w:rPr>
        <w:t>促花肥</w:t>
      </w:r>
    </w:p>
    <w:p w14:paraId="4D33ABF3">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一级蔓上架</w:t>
      </w:r>
      <w:r>
        <w:rPr>
          <w:rFonts w:ascii="宋体" w:hAnsi="宋体" w:eastAsia="宋体"/>
          <w:color w:val="000000"/>
          <w:szCs w:val="21"/>
        </w:rPr>
        <w:t>至开花前</w:t>
      </w:r>
      <w:r>
        <w:rPr>
          <w:rFonts w:hint="eastAsia" w:ascii="宋体" w:hAnsi="宋体" w:eastAsia="宋体"/>
          <w:color w:val="000000"/>
          <w:szCs w:val="21"/>
        </w:rPr>
        <w:t>，每株施入0.75 kg</w:t>
      </w:r>
      <w:r>
        <w:rPr>
          <w:rFonts w:ascii="宋体" w:hAnsi="宋体" w:eastAsia="宋体"/>
          <w:color w:val="000000"/>
          <w:szCs w:val="21"/>
        </w:rPr>
        <w:t>复合肥</w:t>
      </w:r>
      <w:r>
        <w:rPr>
          <w:rFonts w:hint="eastAsia" w:ascii="宋体" w:hAnsi="宋体" w:eastAsia="宋体"/>
          <w:color w:val="000000"/>
          <w:szCs w:val="21"/>
        </w:rPr>
        <w:t>（N:P</w:t>
      </w:r>
      <w:r>
        <w:rPr>
          <w:rFonts w:hint="eastAsia" w:ascii="宋体" w:hAnsi="宋体" w:eastAsia="宋体"/>
          <w:color w:val="000000"/>
          <w:szCs w:val="21"/>
          <w:vertAlign w:val="subscript"/>
        </w:rPr>
        <w:t>2</w:t>
      </w:r>
      <w:r>
        <w:rPr>
          <w:rFonts w:hint="eastAsia" w:ascii="宋体" w:hAnsi="宋体" w:eastAsia="宋体"/>
          <w:color w:val="000000"/>
          <w:szCs w:val="21"/>
        </w:rPr>
        <w:t>O</w:t>
      </w:r>
      <w:r>
        <w:rPr>
          <w:rFonts w:hint="eastAsia" w:ascii="宋体" w:hAnsi="宋体" w:eastAsia="宋体"/>
          <w:color w:val="000000"/>
          <w:szCs w:val="21"/>
          <w:vertAlign w:val="subscript"/>
        </w:rPr>
        <w:t>5</w:t>
      </w:r>
      <w:r>
        <w:rPr>
          <w:rFonts w:hint="eastAsia" w:ascii="宋体" w:hAnsi="宋体" w:eastAsia="宋体"/>
          <w:color w:val="000000"/>
          <w:szCs w:val="21"/>
        </w:rPr>
        <w:t>:K</w:t>
      </w:r>
      <w:r>
        <w:rPr>
          <w:rFonts w:hint="eastAsia" w:ascii="宋体" w:hAnsi="宋体" w:eastAsia="宋体"/>
          <w:color w:val="000000"/>
          <w:szCs w:val="21"/>
          <w:vertAlign w:val="subscript"/>
        </w:rPr>
        <w:t>2</w:t>
      </w:r>
      <w:r>
        <w:rPr>
          <w:rFonts w:hint="eastAsia" w:ascii="宋体" w:hAnsi="宋体" w:eastAsia="宋体"/>
          <w:color w:val="000000"/>
          <w:szCs w:val="21"/>
        </w:rPr>
        <w:t>O=15:15:15）和</w:t>
      </w:r>
      <w:r>
        <w:rPr>
          <w:rFonts w:ascii="宋体" w:hAnsi="宋体" w:eastAsia="宋体"/>
          <w:color w:val="000000"/>
          <w:szCs w:val="21"/>
        </w:rPr>
        <w:t>0.2 kg 50％硫酸钾</w:t>
      </w:r>
      <w:r>
        <w:rPr>
          <w:rFonts w:hint="eastAsia" w:ascii="宋体" w:hAnsi="宋体" w:eastAsia="宋体"/>
          <w:color w:val="000000"/>
          <w:szCs w:val="21"/>
        </w:rPr>
        <w:t>。</w:t>
      </w:r>
      <w:r>
        <w:rPr>
          <w:rFonts w:ascii="宋体" w:hAnsi="宋体" w:eastAsia="宋体"/>
          <w:color w:val="000000"/>
          <w:szCs w:val="21"/>
        </w:rPr>
        <w:t>施肥时，将肥料多点穴施于距苗木基部30 cm处，每个施肥穴的规格为宽18</w:t>
      </w:r>
      <w:r>
        <w:rPr>
          <w:rFonts w:hint="eastAsia" w:ascii="宋体" w:hAnsi="宋体" w:eastAsia="宋体"/>
          <w:color w:val="000000"/>
          <w:szCs w:val="21"/>
        </w:rPr>
        <w:t xml:space="preserve"> cm</w:t>
      </w:r>
      <w:r>
        <w:rPr>
          <w:rFonts w:ascii="宋体" w:hAnsi="宋体" w:eastAsia="宋体"/>
          <w:color w:val="000000"/>
          <w:szCs w:val="21"/>
        </w:rPr>
        <w:t>～20 cm，深20</w:t>
      </w:r>
      <w:r>
        <w:rPr>
          <w:rFonts w:hint="eastAsia" w:ascii="宋体" w:hAnsi="宋体" w:eastAsia="宋体"/>
          <w:color w:val="000000"/>
          <w:szCs w:val="21"/>
        </w:rPr>
        <w:t xml:space="preserve"> cm</w:t>
      </w:r>
      <w:r>
        <w:rPr>
          <w:rFonts w:ascii="宋体" w:hAnsi="宋体" w:eastAsia="宋体"/>
          <w:color w:val="000000"/>
          <w:szCs w:val="21"/>
        </w:rPr>
        <w:t>～25 cm。</w:t>
      </w:r>
    </w:p>
    <w:p w14:paraId="52586450">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 xml:space="preserve">5.7.2.3 </w:t>
      </w:r>
      <w:r>
        <w:rPr>
          <w:rFonts w:ascii="黑体" w:hAnsi="黑体" w:eastAsia="黑体"/>
          <w:color w:val="000000"/>
          <w:szCs w:val="21"/>
        </w:rPr>
        <w:t>壮果肥</w:t>
      </w:r>
    </w:p>
    <w:p w14:paraId="240D4581">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谢花后至幼果期，每株施入0.2 kg</w:t>
      </w:r>
      <w:r>
        <w:rPr>
          <w:rFonts w:ascii="宋体" w:hAnsi="宋体" w:eastAsia="宋体"/>
          <w:color w:val="000000"/>
          <w:szCs w:val="21"/>
        </w:rPr>
        <w:t>复合肥</w:t>
      </w:r>
      <w:r>
        <w:rPr>
          <w:rFonts w:hint="eastAsia" w:ascii="宋体" w:hAnsi="宋体" w:eastAsia="宋体"/>
          <w:color w:val="000000"/>
          <w:szCs w:val="21"/>
        </w:rPr>
        <w:t>（N:P</w:t>
      </w:r>
      <w:r>
        <w:rPr>
          <w:rFonts w:hint="eastAsia" w:ascii="宋体" w:hAnsi="宋体" w:eastAsia="宋体"/>
          <w:color w:val="000000"/>
          <w:szCs w:val="21"/>
          <w:vertAlign w:val="subscript"/>
        </w:rPr>
        <w:t>2</w:t>
      </w:r>
      <w:r>
        <w:rPr>
          <w:rFonts w:hint="eastAsia" w:ascii="宋体" w:hAnsi="宋体" w:eastAsia="宋体"/>
          <w:color w:val="000000"/>
          <w:szCs w:val="21"/>
        </w:rPr>
        <w:t>O</w:t>
      </w:r>
      <w:r>
        <w:rPr>
          <w:rFonts w:hint="eastAsia" w:ascii="宋体" w:hAnsi="宋体" w:eastAsia="宋体"/>
          <w:color w:val="000000"/>
          <w:szCs w:val="21"/>
          <w:vertAlign w:val="subscript"/>
        </w:rPr>
        <w:t>5</w:t>
      </w:r>
      <w:r>
        <w:rPr>
          <w:rFonts w:hint="eastAsia" w:ascii="宋体" w:hAnsi="宋体" w:eastAsia="宋体"/>
          <w:color w:val="000000"/>
          <w:szCs w:val="21"/>
        </w:rPr>
        <w:t>:K</w:t>
      </w:r>
      <w:r>
        <w:rPr>
          <w:rFonts w:hint="eastAsia" w:ascii="宋体" w:hAnsi="宋体" w:eastAsia="宋体"/>
          <w:color w:val="000000"/>
          <w:szCs w:val="21"/>
          <w:vertAlign w:val="subscript"/>
        </w:rPr>
        <w:t>2</w:t>
      </w:r>
      <w:r>
        <w:rPr>
          <w:rFonts w:hint="eastAsia" w:ascii="宋体" w:hAnsi="宋体" w:eastAsia="宋体"/>
          <w:color w:val="000000"/>
          <w:szCs w:val="21"/>
        </w:rPr>
        <w:t xml:space="preserve">O=15:15:15）和0.2 kg </w:t>
      </w:r>
      <w:r>
        <w:rPr>
          <w:rFonts w:ascii="宋体" w:hAnsi="宋体" w:eastAsia="宋体"/>
          <w:color w:val="000000"/>
          <w:szCs w:val="21"/>
        </w:rPr>
        <w:t>50％硫酸钾</w:t>
      </w:r>
      <w:r>
        <w:rPr>
          <w:rFonts w:hint="eastAsia" w:ascii="宋体" w:hAnsi="宋体" w:eastAsia="宋体"/>
          <w:color w:val="000000"/>
          <w:szCs w:val="21"/>
        </w:rPr>
        <w:t>。</w:t>
      </w:r>
      <w:r>
        <w:rPr>
          <w:rFonts w:ascii="宋体" w:hAnsi="宋体" w:eastAsia="宋体"/>
          <w:color w:val="000000"/>
          <w:szCs w:val="21"/>
        </w:rPr>
        <w:t>施肥时，将肥料多点穴施于距苗木基部30 cm处，每个施肥穴的规格为宽30</w:t>
      </w:r>
      <w:r>
        <w:rPr>
          <w:rFonts w:hint="eastAsia" w:ascii="宋体" w:hAnsi="宋体" w:eastAsia="宋体"/>
          <w:color w:val="000000"/>
          <w:szCs w:val="21"/>
        </w:rPr>
        <w:t xml:space="preserve"> cm</w:t>
      </w:r>
      <w:r>
        <w:rPr>
          <w:rFonts w:ascii="宋体" w:hAnsi="宋体" w:eastAsia="宋体"/>
          <w:color w:val="000000"/>
          <w:szCs w:val="21"/>
        </w:rPr>
        <w:t>～35 cm，深20</w:t>
      </w:r>
      <w:r>
        <w:rPr>
          <w:rFonts w:hint="eastAsia" w:ascii="宋体" w:hAnsi="宋体" w:eastAsia="宋体"/>
          <w:color w:val="000000"/>
          <w:szCs w:val="21"/>
        </w:rPr>
        <w:t xml:space="preserve"> cm</w:t>
      </w:r>
      <w:r>
        <w:rPr>
          <w:rFonts w:ascii="宋体" w:hAnsi="宋体" w:eastAsia="宋体"/>
          <w:color w:val="000000"/>
          <w:szCs w:val="21"/>
        </w:rPr>
        <w:t>～25 cm</w:t>
      </w:r>
      <w:r>
        <w:rPr>
          <w:rFonts w:hint="eastAsia" w:ascii="宋体" w:hAnsi="宋体" w:eastAsia="宋体"/>
          <w:color w:val="000000"/>
          <w:szCs w:val="21"/>
        </w:rPr>
        <w:t>。</w:t>
      </w:r>
    </w:p>
    <w:p w14:paraId="2C3023AE">
      <w:pPr>
        <w:numPr>
          <w:ilvl w:val="0"/>
          <w:numId w:val="0"/>
        </w:numPr>
        <w:spacing w:line="240" w:lineRule="auto"/>
        <w:rPr>
          <w:rFonts w:hint="eastAsia" w:ascii="黑体" w:hAnsi="黑体" w:eastAsia="黑体"/>
          <w:color w:val="000000"/>
          <w:szCs w:val="21"/>
        </w:rPr>
      </w:pPr>
      <w:r>
        <w:rPr>
          <w:rFonts w:hint="eastAsia" w:ascii="黑体" w:hAnsi="黑体" w:eastAsia="黑体"/>
          <w:color w:val="000000"/>
          <w:szCs w:val="21"/>
        </w:rPr>
        <w:t>5.7.2.4 叶面</w:t>
      </w:r>
      <w:r>
        <w:rPr>
          <w:rFonts w:ascii="黑体" w:hAnsi="黑体" w:eastAsia="黑体"/>
          <w:color w:val="000000"/>
          <w:szCs w:val="21"/>
        </w:rPr>
        <w:t>追肥</w:t>
      </w:r>
    </w:p>
    <w:p w14:paraId="4DD59E6E">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花蕾期和幼果期，各喷施一次</w:t>
      </w:r>
      <w:r>
        <w:rPr>
          <w:rFonts w:ascii="宋体" w:hAnsi="宋体" w:eastAsia="宋体"/>
          <w:color w:val="000000"/>
          <w:szCs w:val="21"/>
        </w:rPr>
        <w:t>0.3％磷酸二氢钾液肥</w:t>
      </w:r>
      <w:r>
        <w:rPr>
          <w:rFonts w:hint="eastAsia" w:ascii="宋体" w:hAnsi="宋体" w:eastAsia="宋体"/>
          <w:color w:val="000000"/>
          <w:szCs w:val="21"/>
        </w:rPr>
        <w:t>和</w:t>
      </w:r>
      <w:r>
        <w:rPr>
          <w:rFonts w:ascii="宋体" w:hAnsi="宋体" w:eastAsia="宋体"/>
          <w:color w:val="000000"/>
          <w:szCs w:val="21"/>
        </w:rPr>
        <w:t>0.2％硼酸</w:t>
      </w:r>
      <w:r>
        <w:rPr>
          <w:rFonts w:hint="eastAsia" w:ascii="宋体" w:hAnsi="宋体" w:eastAsia="宋体"/>
          <w:color w:val="000000"/>
          <w:szCs w:val="21"/>
        </w:rPr>
        <w:t>。</w:t>
      </w:r>
    </w:p>
    <w:p w14:paraId="172BC219">
      <w:pPr>
        <w:pStyle w:val="41"/>
        <w:spacing w:before="156" w:beforeLines="50" w:after="156" w:afterLines="50"/>
        <w:rPr>
          <w:rFonts w:hint="eastAsia" w:ascii="黑体" w:hAnsi="黑体"/>
        </w:rPr>
      </w:pPr>
      <w:r>
        <w:rPr>
          <w:rFonts w:hint="eastAsia" w:ascii="黑体" w:hAnsi="黑体"/>
        </w:rPr>
        <w:t>5.8 授粉</w:t>
      </w:r>
    </w:p>
    <w:p w14:paraId="04C1EE49">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开花后，在晴天进行人工授粉时，要根据不同品种的特性来确定最佳授粉时间。以钦蜜</w:t>
      </w:r>
      <w:r>
        <w:rPr>
          <w:rFonts w:ascii="宋体" w:hAnsi="宋体" w:eastAsia="宋体"/>
          <w:color w:val="000000"/>
          <w:szCs w:val="21"/>
        </w:rPr>
        <w:t>9号为例，最适合的授粉时段为上午</w:t>
      </w:r>
      <w:r>
        <w:rPr>
          <w:rFonts w:hint="eastAsia" w:ascii="宋体" w:hAnsi="宋体" w:eastAsia="宋体"/>
          <w:color w:val="000000"/>
          <w:szCs w:val="21"/>
        </w:rPr>
        <w:t>8时</w:t>
      </w:r>
      <w:r>
        <w:rPr>
          <w:rFonts w:ascii="宋体" w:hAnsi="宋体" w:eastAsia="宋体"/>
          <w:color w:val="000000"/>
          <w:szCs w:val="21"/>
        </w:rPr>
        <w:t>至下午</w:t>
      </w:r>
      <w:r>
        <w:rPr>
          <w:rFonts w:hint="eastAsia" w:ascii="宋体" w:hAnsi="宋体" w:eastAsia="宋体"/>
          <w:color w:val="000000"/>
          <w:szCs w:val="21"/>
        </w:rPr>
        <w:t>10时</w:t>
      </w:r>
      <w:r>
        <w:rPr>
          <w:rFonts w:ascii="宋体" w:hAnsi="宋体" w:eastAsia="宋体"/>
          <w:color w:val="000000"/>
          <w:szCs w:val="21"/>
        </w:rPr>
        <w:t>。</w:t>
      </w:r>
    </w:p>
    <w:p w14:paraId="1EDF18A6">
      <w:pPr>
        <w:pStyle w:val="41"/>
        <w:rPr>
          <w:rFonts w:hint="eastAsia" w:ascii="黑体" w:hAnsi="黑体"/>
        </w:rPr>
      </w:pPr>
      <w:r>
        <w:rPr>
          <w:rFonts w:hint="eastAsia" w:ascii="黑体" w:hAnsi="黑体"/>
        </w:rPr>
        <w:t>5.9 主要</w:t>
      </w:r>
      <w:r>
        <w:rPr>
          <w:rFonts w:ascii="黑体" w:hAnsi="黑体"/>
        </w:rPr>
        <w:t>病虫害防治</w:t>
      </w:r>
    </w:p>
    <w:p w14:paraId="6FC15FA2">
      <w:pPr>
        <w:pStyle w:val="42"/>
        <w:spacing w:before="156" w:beforeLines="50" w:after="156" w:afterLines="50"/>
        <w:rPr>
          <w:rFonts w:hint="eastAsia" w:ascii="黑体" w:hAnsi="黑体"/>
        </w:rPr>
      </w:pPr>
      <w:r>
        <w:rPr>
          <w:rFonts w:hint="eastAsia" w:ascii="黑体" w:hAnsi="黑体"/>
        </w:rPr>
        <w:t>5.9.1 防治原则</w:t>
      </w:r>
    </w:p>
    <w:p w14:paraId="687EC70E">
      <w:pPr>
        <w:numPr>
          <w:ilvl w:val="0"/>
          <w:numId w:val="0"/>
        </w:numPr>
        <w:spacing w:line="240" w:lineRule="auto"/>
        <w:ind w:firstLine="420" w:firstLineChars="200"/>
        <w:rPr>
          <w:rFonts w:hint="eastAsia" w:ascii="宋体" w:hAnsi="宋体" w:eastAsia="宋体"/>
          <w:color w:val="000000"/>
          <w:szCs w:val="21"/>
        </w:rPr>
      </w:pPr>
      <w:r>
        <w:rPr>
          <w:rFonts w:ascii="宋体" w:hAnsi="宋体" w:eastAsia="宋体"/>
          <w:color w:val="000000"/>
          <w:szCs w:val="21"/>
        </w:rPr>
        <w:t>病虫害防治</w:t>
      </w:r>
      <w:r>
        <w:rPr>
          <w:rFonts w:hint="eastAsia" w:ascii="宋体" w:hAnsi="宋体" w:eastAsia="宋体"/>
          <w:color w:val="000000"/>
          <w:szCs w:val="21"/>
        </w:rPr>
        <w:t>需遵循“预防为主，综合防治”的总方针。应综合运用栽培措施、物理防治、生物防治以及化学防治等手段。推荐使用生物源、矿物源农药以及低毒、低残留化学农药。使用化学农药时，按</w:t>
      </w:r>
      <w:r>
        <w:rPr>
          <w:rFonts w:ascii="宋体" w:hAnsi="宋体" w:eastAsia="宋体" w:cs="Times New Roman"/>
          <w:color w:val="000000"/>
          <w:szCs w:val="21"/>
        </w:rPr>
        <w:t>GB/T 8321</w:t>
      </w:r>
      <w:r>
        <w:rPr>
          <w:rFonts w:ascii="宋体" w:hAnsi="宋体" w:eastAsia="宋体"/>
          <w:color w:val="000000"/>
          <w:szCs w:val="21"/>
        </w:rPr>
        <w:t>中有关的农药使用准则和规定，严格掌握施用剂量、施药次数和安全间隔期，按照该农药说明书中的规定进行使用，不得随意加大剂量和浓度。</w:t>
      </w:r>
    </w:p>
    <w:p w14:paraId="62A75201">
      <w:pPr>
        <w:pStyle w:val="42"/>
        <w:spacing w:before="156" w:beforeLines="50" w:after="156" w:afterLines="50"/>
        <w:rPr>
          <w:rFonts w:hint="eastAsia" w:ascii="黑体" w:hAnsi="黑体"/>
        </w:rPr>
      </w:pPr>
      <w:r>
        <w:rPr>
          <w:rFonts w:hint="eastAsia" w:ascii="黑体" w:hAnsi="黑体"/>
        </w:rPr>
        <w:t>5</w:t>
      </w:r>
      <w:r>
        <w:rPr>
          <w:rFonts w:ascii="黑体" w:hAnsi="黑体"/>
        </w:rPr>
        <w:t>.9.2 防治方法</w:t>
      </w:r>
    </w:p>
    <w:p w14:paraId="189B65BF">
      <w:pPr>
        <w:pStyle w:val="40"/>
        <w:ind w:firstLine="0" w:firstLineChars="0"/>
        <w:rPr>
          <w:rFonts w:hint="eastAsia" w:ascii="黑体" w:hAnsi="黑体" w:eastAsia="黑体"/>
        </w:rPr>
      </w:pPr>
      <w:r>
        <w:rPr>
          <w:rFonts w:hint="eastAsia" w:ascii="黑体" w:hAnsi="黑体" w:eastAsia="黑体"/>
        </w:rPr>
        <w:t xml:space="preserve">5.9.2.1 </w:t>
      </w:r>
      <w:r>
        <w:rPr>
          <w:rFonts w:ascii="黑体" w:hAnsi="黑体" w:eastAsia="黑体"/>
        </w:rPr>
        <w:t>物理防治</w:t>
      </w:r>
    </w:p>
    <w:p w14:paraId="5315BA85">
      <w:pPr>
        <w:numPr>
          <w:ilvl w:val="0"/>
          <w:numId w:val="0"/>
        </w:numPr>
        <w:spacing w:line="240" w:lineRule="auto"/>
        <w:ind w:firstLine="420" w:firstLineChars="200"/>
        <w:rPr>
          <w:rFonts w:hint="eastAsia" w:ascii="宋体" w:hAnsi="宋体" w:eastAsia="宋体"/>
          <w:color w:val="000000"/>
          <w:szCs w:val="21"/>
        </w:rPr>
      </w:pPr>
      <w:r>
        <w:rPr>
          <w:rFonts w:hint="eastAsia" w:ascii="宋体" w:hAnsi="宋体" w:eastAsia="宋体"/>
          <w:color w:val="000000"/>
          <w:szCs w:val="21"/>
        </w:rPr>
        <w:t>悬挂黄色粘虫板诱杀蚜虫、果实蝇成虫。雨季前茎基部覆盖地膜阻隔茎基腐病菌，同时通过翻土暴晒、石灰消毒,销毁病株残体等措施，有效灭杀越冬病原菌，降低田间病菌基数。</w:t>
      </w:r>
    </w:p>
    <w:p w14:paraId="3E60FA8F">
      <w:pPr>
        <w:pStyle w:val="40"/>
        <w:ind w:firstLine="0" w:firstLineChars="0"/>
        <w:rPr>
          <w:rFonts w:hint="eastAsia" w:ascii="黑体" w:hAnsi="黑体" w:eastAsia="黑体"/>
        </w:rPr>
      </w:pPr>
      <w:r>
        <w:rPr>
          <w:rFonts w:hint="eastAsia" w:ascii="黑体" w:hAnsi="黑体" w:eastAsia="黑体"/>
        </w:rPr>
        <w:t>5.9.2.2 生物防治</w:t>
      </w:r>
    </w:p>
    <w:p w14:paraId="2908CCA9">
      <w:pPr>
        <w:numPr>
          <w:ilvl w:val="0"/>
          <w:numId w:val="0"/>
        </w:numPr>
        <w:spacing w:line="240" w:lineRule="auto"/>
        <w:ind w:firstLine="420" w:firstLineChars="200"/>
        <w:rPr>
          <w:rFonts w:hint="eastAsia" w:ascii="宋体" w:hAnsi="宋体" w:eastAsia="宋体"/>
          <w:color w:val="000000"/>
          <w:szCs w:val="21"/>
        </w:rPr>
      </w:pPr>
      <w:r>
        <w:rPr>
          <w:rFonts w:ascii="宋体" w:hAnsi="宋体" w:eastAsia="宋体"/>
          <w:color w:val="000000"/>
          <w:szCs w:val="21"/>
        </w:rPr>
        <w:t>释放巴氏钝绥螨防控叶螨类</w:t>
      </w:r>
      <w:r>
        <w:rPr>
          <w:rFonts w:hint="eastAsia" w:ascii="宋体" w:hAnsi="宋体" w:eastAsia="宋体"/>
          <w:color w:val="000000"/>
          <w:szCs w:val="21"/>
        </w:rPr>
        <w:t>病虫害。</w:t>
      </w:r>
      <w:r>
        <w:rPr>
          <w:rFonts w:ascii="宋体" w:hAnsi="宋体" w:eastAsia="宋体"/>
          <w:color w:val="000000"/>
          <w:szCs w:val="21"/>
        </w:rPr>
        <w:t>连续阴雨期前喷哈茨木霉菌预防疫病</w:t>
      </w:r>
      <w:r>
        <w:rPr>
          <w:rFonts w:hint="eastAsia" w:ascii="宋体" w:hAnsi="宋体" w:eastAsia="宋体"/>
          <w:color w:val="000000"/>
          <w:szCs w:val="21"/>
        </w:rPr>
        <w:t>。</w:t>
      </w:r>
    </w:p>
    <w:p w14:paraId="1F3CDF66">
      <w:pPr>
        <w:pStyle w:val="40"/>
        <w:ind w:firstLine="0" w:firstLineChars="0"/>
      </w:pPr>
      <w:r>
        <w:rPr>
          <w:rFonts w:hint="eastAsia"/>
        </w:rPr>
        <w:t>5.9.2.3 化学防治</w:t>
      </w:r>
    </w:p>
    <w:p w14:paraId="7D53049F">
      <w:pPr>
        <w:numPr>
          <w:ilvl w:val="0"/>
          <w:numId w:val="0"/>
        </w:numPr>
        <w:spacing w:line="240" w:lineRule="auto"/>
        <w:ind w:firstLine="420" w:firstLineChars="200"/>
        <w:rPr>
          <w:rFonts w:ascii="Times New Roman" w:hAnsi="Times New Roman" w:cs="Times New Roman"/>
          <w:color w:val="000000"/>
          <w:szCs w:val="21"/>
        </w:rPr>
      </w:pPr>
      <w:r>
        <w:rPr>
          <w:rFonts w:ascii="宋体" w:hAnsi="宋体" w:eastAsia="宋体" w:cs="Times New Roman"/>
          <w:color w:val="000000"/>
          <w:szCs w:val="21"/>
        </w:rPr>
        <w:t>具体防治按表</w:t>
      </w:r>
      <w:r>
        <w:rPr>
          <w:rFonts w:hint="eastAsia" w:ascii="宋体" w:hAnsi="宋体" w:eastAsia="宋体" w:cs="Times New Roman"/>
          <w:color w:val="000000"/>
          <w:szCs w:val="21"/>
        </w:rPr>
        <w:t>1</w:t>
      </w:r>
      <w:r>
        <w:rPr>
          <w:rFonts w:ascii="宋体" w:hAnsi="宋体" w:eastAsia="宋体" w:cs="Times New Roman"/>
          <w:color w:val="000000"/>
          <w:szCs w:val="21"/>
        </w:rPr>
        <w:t>中要求执行。</w:t>
      </w:r>
    </w:p>
    <w:p w14:paraId="582FADFA">
      <w:pPr>
        <w:widowControl/>
        <w:numPr>
          <w:ilvl w:val="0"/>
          <w:numId w:val="0"/>
        </w:numPr>
        <w:tabs>
          <w:tab w:val="clear" w:pos="6480"/>
        </w:tabs>
        <w:spacing w:after="0" w:line="240" w:lineRule="auto"/>
        <w:jc w:val="left"/>
        <w:rPr>
          <w:rFonts w:ascii="宋体" w:hAnsi="Times New Roman" w:eastAsia="宋体" w:cs="Times New Roman"/>
          <w:kern w:val="0"/>
          <w:szCs w:val="20"/>
          <w14:ligatures w14:val="none"/>
        </w:rPr>
      </w:pPr>
      <w:r>
        <w:br w:type="page"/>
      </w:r>
    </w:p>
    <w:p w14:paraId="0A65FFA8">
      <w:pPr>
        <w:numPr>
          <w:ilvl w:val="0"/>
          <w:numId w:val="0"/>
        </w:numPr>
        <w:tabs>
          <w:tab w:val="left" w:pos="6480"/>
        </w:tabs>
        <w:spacing w:line="360" w:lineRule="auto"/>
        <w:ind w:left="-200"/>
        <w:jc w:val="center"/>
        <w:rPr>
          <w:rFonts w:hint="eastAsia" w:ascii="黑体" w:hAnsi="黑体" w:eastAsia="黑体" w:cs="Times New Roman"/>
          <w:color w:val="000000"/>
          <w:szCs w:val="21"/>
        </w:rPr>
        <w:pPrChange w:id="3" w:author="pendy" w:date="2025-05-09T14:46:18Z">
          <w:pPr>
            <w:numPr>
              <w:ilvl w:val="0"/>
              <w:numId w:val="0"/>
            </w:numPr>
            <w:spacing w:line="360" w:lineRule="auto"/>
            <w:ind w:left="420"/>
            <w:jc w:val="center"/>
          </w:pPr>
        </w:pPrChange>
      </w:pPr>
      <w:bookmarkStart w:id="2" w:name="_Hlk166308928"/>
      <w:r>
        <w:rPr>
          <w:rFonts w:ascii="黑体" w:hAnsi="黑体" w:eastAsia="黑体" w:cs="Times New Roman"/>
          <w:color w:val="000000"/>
          <w:szCs w:val="21"/>
        </w:rPr>
        <w:t>表</w:t>
      </w:r>
      <w:r>
        <w:rPr>
          <w:rFonts w:hint="eastAsia" w:ascii="黑体" w:hAnsi="黑体" w:eastAsia="黑体" w:cs="Times New Roman"/>
          <w:color w:val="000000"/>
          <w:szCs w:val="21"/>
        </w:rPr>
        <w:t>1</w:t>
      </w:r>
      <w:r>
        <w:rPr>
          <w:rFonts w:ascii="黑体" w:hAnsi="黑体" w:eastAsia="黑体" w:cs="Times New Roman"/>
          <w:color w:val="000000"/>
          <w:szCs w:val="21"/>
        </w:rPr>
        <w:t xml:space="preserve"> 广东地区百香果主要病虫害及防治方法</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Change w:id="4" w:author="pendy" w:date="2025-05-09T14:46:23Z">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PrChange>
      </w:tblPr>
      <w:tblGrid>
        <w:gridCol w:w="1215"/>
        <w:gridCol w:w="1134"/>
        <w:gridCol w:w="1474"/>
        <w:gridCol w:w="4891"/>
        <w:tblGridChange w:id="5">
          <w:tblGrid>
            <w:gridCol w:w="1215"/>
            <w:gridCol w:w="1134"/>
            <w:gridCol w:w="1474"/>
            <w:gridCol w:w="4404"/>
          </w:tblGrid>
        </w:tblGridChange>
      </w:tblGrid>
      <w:tr w14:paraId="0DAD6C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bottom w:val="single" w:color="auto" w:sz="12" w:space="0"/>
            </w:tcBorders>
            <w:vAlign w:val="center"/>
            <w:tcPrChange w:id="7" w:author="pendy" w:date="2025-05-09T14:46:23Z">
              <w:tcPr>
                <w:tcW w:w="1215" w:type="dxa"/>
                <w:tcBorders>
                  <w:bottom w:val="single" w:color="auto" w:sz="12" w:space="0"/>
                </w:tcBorders>
                <w:vAlign w:val="center"/>
              </w:tcPr>
            </w:tcPrChange>
          </w:tcPr>
          <w:p w14:paraId="060D8F93">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主要病虫害</w:t>
            </w:r>
          </w:p>
        </w:tc>
        <w:tc>
          <w:tcPr>
            <w:tcW w:w="1134" w:type="dxa"/>
            <w:tcBorders>
              <w:bottom w:val="single" w:color="auto" w:sz="12" w:space="0"/>
            </w:tcBorders>
            <w:vAlign w:val="center"/>
            <w:tcPrChange w:id="8" w:author="pendy" w:date="2025-05-09T14:46:23Z">
              <w:tcPr>
                <w:tcW w:w="1134" w:type="dxa"/>
                <w:tcBorders>
                  <w:bottom w:val="single" w:color="auto" w:sz="12" w:space="0"/>
                </w:tcBorders>
                <w:vAlign w:val="center"/>
              </w:tcPr>
            </w:tcPrChange>
          </w:tcPr>
          <w:p w14:paraId="5149AF14">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危害部位</w:t>
            </w:r>
          </w:p>
        </w:tc>
        <w:tc>
          <w:tcPr>
            <w:tcW w:w="1474" w:type="dxa"/>
            <w:tcBorders>
              <w:bottom w:val="single" w:color="auto" w:sz="12" w:space="0"/>
            </w:tcBorders>
            <w:vAlign w:val="center"/>
            <w:tcPrChange w:id="9" w:author="pendy" w:date="2025-05-09T14:46:23Z">
              <w:tcPr>
                <w:tcW w:w="1474" w:type="dxa"/>
                <w:tcBorders>
                  <w:bottom w:val="single" w:color="auto" w:sz="12" w:space="0"/>
                </w:tcBorders>
                <w:vAlign w:val="center"/>
              </w:tcPr>
            </w:tcPrChange>
          </w:tcPr>
          <w:p w14:paraId="12CE6058">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防治时期</w:t>
            </w:r>
          </w:p>
        </w:tc>
        <w:tc>
          <w:tcPr>
            <w:tcW w:w="4891" w:type="dxa"/>
            <w:tcBorders>
              <w:bottom w:val="single" w:color="auto" w:sz="12" w:space="0"/>
            </w:tcBorders>
            <w:vAlign w:val="center"/>
            <w:tcPrChange w:id="10" w:author="pendy" w:date="2025-05-09T14:46:23Z">
              <w:tcPr>
                <w:tcW w:w="4404" w:type="dxa"/>
                <w:tcBorders>
                  <w:bottom w:val="single" w:color="auto" w:sz="12" w:space="0"/>
                </w:tcBorders>
                <w:vAlign w:val="center"/>
              </w:tcPr>
            </w:tcPrChange>
          </w:tcPr>
          <w:p w14:paraId="1252CDCA">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可选药剂</w:t>
            </w:r>
          </w:p>
        </w:tc>
      </w:tr>
      <w:tr w14:paraId="701E53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11"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rPr>
          <w:trHeight w:val="458" w:hRule="atLeast"/>
          <w:trPrChange w:id="11" w:author="pendy" w:date="2025-05-09T14:46:23Z">
            <w:trPr>
              <w:trHeight w:val="458" w:hRule="atLeast"/>
            </w:trPr>
          </w:trPrChange>
        </w:trPr>
        <w:tc>
          <w:tcPr>
            <w:tcW w:w="1215" w:type="dxa"/>
            <w:tcBorders>
              <w:top w:val="single" w:color="auto" w:sz="12" w:space="0"/>
              <w:tl2br w:val="nil"/>
              <w:tr2bl w:val="nil"/>
            </w:tcBorders>
            <w:tcPrChange w:id="12" w:author="pendy" w:date="2025-05-09T14:46:23Z">
              <w:tcPr>
                <w:tcW w:w="1215" w:type="dxa"/>
                <w:tcBorders>
                  <w:top w:val="single" w:color="auto" w:sz="12" w:space="0"/>
                  <w:tl2br w:val="nil"/>
                  <w:tr2bl w:val="nil"/>
                </w:tcBorders>
              </w:tcPr>
            </w:tcPrChange>
          </w:tcPr>
          <w:p w14:paraId="511E404B">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蚜虫</w:t>
            </w:r>
          </w:p>
        </w:tc>
        <w:tc>
          <w:tcPr>
            <w:tcW w:w="1134" w:type="dxa"/>
            <w:tcBorders>
              <w:top w:val="single" w:color="auto" w:sz="12" w:space="0"/>
              <w:tl2br w:val="nil"/>
              <w:tr2bl w:val="nil"/>
            </w:tcBorders>
            <w:tcPrChange w:id="13" w:author="pendy" w:date="2025-05-09T14:46:23Z">
              <w:tcPr>
                <w:tcW w:w="1134" w:type="dxa"/>
                <w:tcBorders>
                  <w:top w:val="single" w:color="auto" w:sz="12" w:space="0"/>
                  <w:tl2br w:val="nil"/>
                  <w:tr2bl w:val="nil"/>
                </w:tcBorders>
              </w:tcPr>
            </w:tcPrChange>
          </w:tcPr>
          <w:p w14:paraId="109558D0">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1"/>
                <w:sz w:val="18"/>
                <w:szCs w:val="18"/>
              </w:rPr>
              <w:t>嫩稍、叶片</w:t>
            </w:r>
          </w:p>
        </w:tc>
        <w:tc>
          <w:tcPr>
            <w:tcW w:w="1474" w:type="dxa"/>
            <w:tcBorders>
              <w:top w:val="single" w:color="auto" w:sz="12" w:space="0"/>
              <w:tl2br w:val="nil"/>
              <w:tr2bl w:val="nil"/>
            </w:tcBorders>
            <w:tcPrChange w:id="14" w:author="pendy" w:date="2025-05-09T14:46:23Z">
              <w:tcPr>
                <w:tcW w:w="1474" w:type="dxa"/>
                <w:tcBorders>
                  <w:top w:val="single" w:color="auto" w:sz="12" w:space="0"/>
                  <w:tl2br w:val="nil"/>
                  <w:tr2bl w:val="nil"/>
                </w:tcBorders>
              </w:tcPr>
            </w:tcPrChange>
          </w:tcPr>
          <w:p w14:paraId="4C7CD5B0">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苗期、开花期</w:t>
            </w:r>
          </w:p>
        </w:tc>
        <w:tc>
          <w:tcPr>
            <w:tcW w:w="4891" w:type="dxa"/>
            <w:tcBorders>
              <w:top w:val="single" w:color="auto" w:sz="12" w:space="0"/>
              <w:tl2br w:val="nil"/>
              <w:tr2bl w:val="nil"/>
            </w:tcBorders>
            <w:tcPrChange w:id="15" w:author="pendy" w:date="2025-05-09T14:46:23Z">
              <w:tcPr>
                <w:tcW w:w="4404" w:type="dxa"/>
                <w:tcBorders>
                  <w:top w:val="single" w:color="auto" w:sz="12" w:space="0"/>
                  <w:tl2br w:val="nil"/>
                  <w:tr2bl w:val="nil"/>
                </w:tcBorders>
              </w:tcPr>
            </w:tcPrChange>
          </w:tcPr>
          <w:p w14:paraId="6C1EAEA1">
            <w:pPr>
              <w:numPr>
                <w:ilvl w:val="0"/>
                <w:numId w:val="0"/>
              </w:numPr>
              <w:spacing w:after="0" w:line="240" w:lineRule="auto"/>
              <w:jc w:val="left"/>
              <w:rPr>
                <w:rFonts w:hint="eastAsia" w:ascii="宋体" w:hAnsi="宋体" w:eastAsia="宋体" w:cs="宋体"/>
                <w:color w:val="000000"/>
                <w:sz w:val="18"/>
                <w:szCs w:val="18"/>
              </w:rPr>
            </w:pPr>
            <w:r>
              <w:rPr>
                <w:rFonts w:hint="eastAsia" w:ascii="宋体" w:hAnsi="宋体" w:eastAsia="宋体" w:cs="宋体"/>
                <w:spacing w:val="-1"/>
                <w:sz w:val="18"/>
                <w:szCs w:val="18"/>
              </w:rPr>
              <w:t>使用20%吡虫啉2500倍液或25%吡蚜酮2500倍液喷杀，间隔7 d-10 d喷1次，连续2次～3次。</w:t>
            </w:r>
          </w:p>
        </w:tc>
      </w:tr>
      <w:tr w14:paraId="085CE6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1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17" w:author="pendy" w:date="2025-05-09T14:46:23Z">
              <w:tcPr>
                <w:tcW w:w="1215" w:type="dxa"/>
                <w:tcBorders>
                  <w:tl2br w:val="nil"/>
                  <w:tr2bl w:val="nil"/>
                </w:tcBorders>
              </w:tcPr>
            </w:tcPrChange>
          </w:tcPr>
          <w:p w14:paraId="567D9B38">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叶螨类</w:t>
            </w:r>
          </w:p>
        </w:tc>
        <w:tc>
          <w:tcPr>
            <w:tcW w:w="1134" w:type="dxa"/>
            <w:tcBorders>
              <w:tl2br w:val="nil"/>
              <w:tr2bl w:val="nil"/>
            </w:tcBorders>
            <w:tcPrChange w:id="18" w:author="pendy" w:date="2025-05-09T14:46:23Z">
              <w:tcPr>
                <w:tcW w:w="1134" w:type="dxa"/>
                <w:tcBorders>
                  <w:tl2br w:val="nil"/>
                  <w:tr2bl w:val="nil"/>
                </w:tcBorders>
              </w:tcPr>
            </w:tcPrChange>
          </w:tcPr>
          <w:p w14:paraId="2BB89F2B">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1"/>
                <w:sz w:val="18"/>
                <w:szCs w:val="18"/>
              </w:rPr>
              <w:t>嫩稍、叶片</w:t>
            </w:r>
          </w:p>
        </w:tc>
        <w:tc>
          <w:tcPr>
            <w:tcW w:w="1474" w:type="dxa"/>
            <w:tcBorders>
              <w:tl2br w:val="nil"/>
              <w:tr2bl w:val="nil"/>
            </w:tcBorders>
            <w:tcPrChange w:id="19" w:author="pendy" w:date="2025-05-09T14:46:23Z">
              <w:tcPr>
                <w:tcW w:w="1474" w:type="dxa"/>
                <w:tcBorders>
                  <w:tl2br w:val="nil"/>
                  <w:tr2bl w:val="nil"/>
                </w:tcBorders>
              </w:tcPr>
            </w:tcPrChange>
          </w:tcPr>
          <w:p w14:paraId="64BEF6B5">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新梢生长期</w:t>
            </w:r>
          </w:p>
        </w:tc>
        <w:tc>
          <w:tcPr>
            <w:tcW w:w="4891" w:type="dxa"/>
            <w:tcBorders>
              <w:tl2br w:val="nil"/>
              <w:tr2bl w:val="nil"/>
            </w:tcBorders>
            <w:tcPrChange w:id="20" w:author="pendy" w:date="2025-05-09T14:46:23Z">
              <w:tcPr>
                <w:tcW w:w="4404" w:type="dxa"/>
                <w:tcBorders>
                  <w:tl2br w:val="nil"/>
                  <w:tr2bl w:val="nil"/>
                </w:tcBorders>
              </w:tcPr>
            </w:tcPrChange>
          </w:tcPr>
          <w:p w14:paraId="0D0B5F8A">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使用15%哒螨灵2000倍液喷杀，间隔10 d喷1次，连 续2次～3次。</w:t>
            </w:r>
          </w:p>
        </w:tc>
      </w:tr>
      <w:tr w14:paraId="1E367A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21"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22" w:author="pendy" w:date="2025-05-09T14:46:23Z">
              <w:tcPr>
                <w:tcW w:w="1215" w:type="dxa"/>
                <w:tcBorders>
                  <w:tl2br w:val="nil"/>
                  <w:tr2bl w:val="nil"/>
                </w:tcBorders>
              </w:tcPr>
            </w:tcPrChange>
          </w:tcPr>
          <w:p w14:paraId="6EF763A0">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果实蝇</w:t>
            </w:r>
          </w:p>
        </w:tc>
        <w:tc>
          <w:tcPr>
            <w:tcW w:w="1134" w:type="dxa"/>
            <w:tcBorders>
              <w:tl2br w:val="nil"/>
              <w:tr2bl w:val="nil"/>
            </w:tcBorders>
            <w:tcPrChange w:id="23" w:author="pendy" w:date="2025-05-09T14:46:23Z">
              <w:tcPr>
                <w:tcW w:w="1134" w:type="dxa"/>
                <w:tcBorders>
                  <w:tl2br w:val="nil"/>
                  <w:tr2bl w:val="nil"/>
                </w:tcBorders>
              </w:tcPr>
            </w:tcPrChange>
          </w:tcPr>
          <w:p w14:paraId="23B5E710">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3"/>
                <w:sz w:val="18"/>
                <w:szCs w:val="18"/>
              </w:rPr>
              <w:t>果实</w:t>
            </w:r>
          </w:p>
        </w:tc>
        <w:tc>
          <w:tcPr>
            <w:tcW w:w="1474" w:type="dxa"/>
            <w:tcBorders>
              <w:tl2br w:val="nil"/>
              <w:tr2bl w:val="nil"/>
            </w:tcBorders>
            <w:tcPrChange w:id="24" w:author="pendy" w:date="2025-05-09T14:46:23Z">
              <w:tcPr>
                <w:tcW w:w="1474" w:type="dxa"/>
                <w:tcBorders>
                  <w:tl2br w:val="nil"/>
                  <w:tr2bl w:val="nil"/>
                </w:tcBorders>
              </w:tcPr>
            </w:tcPrChange>
          </w:tcPr>
          <w:p w14:paraId="146E270F">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幼果期至膨大期</w:t>
            </w:r>
          </w:p>
        </w:tc>
        <w:tc>
          <w:tcPr>
            <w:tcW w:w="4891" w:type="dxa"/>
            <w:tcBorders>
              <w:tl2br w:val="nil"/>
              <w:tr2bl w:val="nil"/>
            </w:tcBorders>
            <w:tcPrChange w:id="25" w:author="pendy" w:date="2025-05-09T14:46:23Z">
              <w:tcPr>
                <w:tcW w:w="4404" w:type="dxa"/>
                <w:tcBorders>
                  <w:tl2br w:val="nil"/>
                  <w:tr2bl w:val="nil"/>
                </w:tcBorders>
              </w:tcPr>
            </w:tcPrChange>
          </w:tcPr>
          <w:p w14:paraId="60DD208C">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使用2.5%氯氟氰菊酯2000倍液或阿维菌素1500倍液喷杀，间隔10 d喷1次，连续1次～2次。</w:t>
            </w:r>
          </w:p>
        </w:tc>
      </w:tr>
      <w:tr w14:paraId="05B2C9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2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27" w:author="pendy" w:date="2025-05-09T14:46:23Z">
              <w:tcPr>
                <w:tcW w:w="1215" w:type="dxa"/>
                <w:tcBorders>
                  <w:tl2br w:val="nil"/>
                  <w:tr2bl w:val="nil"/>
                </w:tcBorders>
              </w:tcPr>
            </w:tcPrChange>
          </w:tcPr>
          <w:p w14:paraId="2AFC7F21">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病毒病</w:t>
            </w:r>
          </w:p>
        </w:tc>
        <w:tc>
          <w:tcPr>
            <w:tcW w:w="1134" w:type="dxa"/>
            <w:tcBorders>
              <w:tl2br w:val="nil"/>
              <w:tr2bl w:val="nil"/>
            </w:tcBorders>
            <w:tcPrChange w:id="28" w:author="pendy" w:date="2025-05-09T14:46:23Z">
              <w:tcPr>
                <w:tcW w:w="1134" w:type="dxa"/>
                <w:tcBorders>
                  <w:tl2br w:val="nil"/>
                  <w:tr2bl w:val="nil"/>
                </w:tcBorders>
              </w:tcPr>
            </w:tcPrChange>
          </w:tcPr>
          <w:p w14:paraId="33A5F054">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1"/>
                <w:sz w:val="18"/>
                <w:szCs w:val="18"/>
              </w:rPr>
              <w:t>嫩稍、叶片、果实</w:t>
            </w:r>
          </w:p>
        </w:tc>
        <w:tc>
          <w:tcPr>
            <w:tcW w:w="1474" w:type="dxa"/>
            <w:tcBorders>
              <w:tl2br w:val="nil"/>
              <w:tr2bl w:val="nil"/>
            </w:tcBorders>
            <w:tcPrChange w:id="29" w:author="pendy" w:date="2025-05-09T14:46:23Z">
              <w:tcPr>
                <w:tcW w:w="1474" w:type="dxa"/>
                <w:tcBorders>
                  <w:tl2br w:val="nil"/>
                  <w:tr2bl w:val="nil"/>
                </w:tcBorders>
              </w:tcPr>
            </w:tcPrChange>
          </w:tcPr>
          <w:p w14:paraId="00018A1B">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苗期</w:t>
            </w:r>
            <w:r>
              <w:rPr>
                <w:rFonts w:hint="eastAsia" w:ascii="宋体" w:hAnsi="宋体" w:eastAsia="宋体" w:cs="宋体"/>
                <w:spacing w:val="-2"/>
                <w:sz w:val="18"/>
                <w:szCs w:val="18"/>
              </w:rPr>
              <w:t>，</w:t>
            </w:r>
            <w:r>
              <w:rPr>
                <w:rFonts w:ascii="宋体" w:hAnsi="宋体" w:eastAsia="宋体" w:cs="宋体"/>
                <w:spacing w:val="-2"/>
                <w:sz w:val="18"/>
                <w:szCs w:val="18"/>
              </w:rPr>
              <w:t>移栽后恢复期</w:t>
            </w:r>
          </w:p>
        </w:tc>
        <w:tc>
          <w:tcPr>
            <w:tcW w:w="4891" w:type="dxa"/>
            <w:tcBorders>
              <w:tl2br w:val="nil"/>
              <w:tr2bl w:val="nil"/>
            </w:tcBorders>
            <w:tcPrChange w:id="30" w:author="pendy" w:date="2025-05-09T14:46:23Z">
              <w:tcPr>
                <w:tcW w:w="4404" w:type="dxa"/>
                <w:tcBorders>
                  <w:tl2br w:val="nil"/>
                  <w:tr2bl w:val="nil"/>
                </w:tcBorders>
              </w:tcPr>
            </w:tcPrChange>
          </w:tcPr>
          <w:p w14:paraId="561BDB24">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使用3%氨基寡糖素1000 倍液或20%盐酸吗啉胍可溶性粉剂300倍液喷雾，间隔7 d 喷1次，连续2次～3次。</w:t>
            </w:r>
          </w:p>
        </w:tc>
      </w:tr>
      <w:tr w14:paraId="501A6E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31"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32" w:author="pendy" w:date="2025-05-09T14:46:23Z">
              <w:tcPr>
                <w:tcW w:w="1215" w:type="dxa"/>
                <w:tcBorders>
                  <w:tl2br w:val="nil"/>
                  <w:tr2bl w:val="nil"/>
                </w:tcBorders>
              </w:tcPr>
            </w:tcPrChange>
          </w:tcPr>
          <w:p w14:paraId="36F47705">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茎基腐病</w:t>
            </w:r>
          </w:p>
        </w:tc>
        <w:tc>
          <w:tcPr>
            <w:tcW w:w="1134" w:type="dxa"/>
            <w:tcBorders>
              <w:tl2br w:val="nil"/>
              <w:tr2bl w:val="nil"/>
            </w:tcBorders>
            <w:tcPrChange w:id="33" w:author="pendy" w:date="2025-05-09T14:46:23Z">
              <w:tcPr>
                <w:tcW w:w="1134" w:type="dxa"/>
                <w:tcBorders>
                  <w:tl2br w:val="nil"/>
                  <w:tr2bl w:val="nil"/>
                </w:tcBorders>
              </w:tcPr>
            </w:tcPrChange>
          </w:tcPr>
          <w:p w14:paraId="5B86C179">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茎基</w:t>
            </w:r>
          </w:p>
        </w:tc>
        <w:tc>
          <w:tcPr>
            <w:tcW w:w="1474" w:type="dxa"/>
            <w:tcBorders>
              <w:tl2br w:val="nil"/>
              <w:tr2bl w:val="nil"/>
            </w:tcBorders>
            <w:tcPrChange w:id="34" w:author="pendy" w:date="2025-05-09T14:46:23Z">
              <w:tcPr>
                <w:tcW w:w="1474" w:type="dxa"/>
                <w:tcBorders>
                  <w:tl2br w:val="nil"/>
                  <w:tr2bl w:val="nil"/>
                </w:tcBorders>
              </w:tcPr>
            </w:tcPrChange>
          </w:tcPr>
          <w:p w14:paraId="5BB923CF">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雨季</w:t>
            </w:r>
          </w:p>
        </w:tc>
        <w:tc>
          <w:tcPr>
            <w:tcW w:w="4891" w:type="dxa"/>
            <w:tcBorders>
              <w:tl2br w:val="nil"/>
              <w:tr2bl w:val="nil"/>
            </w:tcBorders>
            <w:tcPrChange w:id="35" w:author="pendy" w:date="2025-05-09T14:46:23Z">
              <w:tcPr>
                <w:tcW w:w="4404" w:type="dxa"/>
                <w:tcBorders>
                  <w:tl2br w:val="nil"/>
                  <w:tr2bl w:val="nil"/>
                </w:tcBorders>
              </w:tcPr>
            </w:tcPrChange>
          </w:tcPr>
          <w:p w14:paraId="689FA8C5">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使用70%甲基硫菌灵1500倍液喷雾，间隔7 d喷1次，连续2次～3次。</w:t>
            </w:r>
          </w:p>
        </w:tc>
      </w:tr>
      <w:tr w14:paraId="2AC67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3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37" w:author="pendy" w:date="2025-05-09T14:46:23Z">
              <w:tcPr>
                <w:tcW w:w="1215" w:type="dxa"/>
                <w:tcBorders>
                  <w:tl2br w:val="nil"/>
                  <w:tr2bl w:val="nil"/>
                </w:tcBorders>
              </w:tcPr>
            </w:tcPrChange>
          </w:tcPr>
          <w:p w14:paraId="21202565">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疫病</w:t>
            </w:r>
          </w:p>
        </w:tc>
        <w:tc>
          <w:tcPr>
            <w:tcW w:w="1134" w:type="dxa"/>
            <w:tcBorders>
              <w:tl2br w:val="nil"/>
              <w:tr2bl w:val="nil"/>
            </w:tcBorders>
            <w:tcPrChange w:id="38" w:author="pendy" w:date="2025-05-09T14:46:23Z">
              <w:tcPr>
                <w:tcW w:w="1134" w:type="dxa"/>
                <w:tcBorders>
                  <w:tl2br w:val="nil"/>
                  <w:tr2bl w:val="nil"/>
                </w:tcBorders>
              </w:tcPr>
            </w:tcPrChange>
          </w:tcPr>
          <w:p w14:paraId="69474C7C">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1"/>
                <w:sz w:val="18"/>
                <w:szCs w:val="18"/>
              </w:rPr>
              <w:t>茎蔓、叶片、果实</w:t>
            </w:r>
          </w:p>
        </w:tc>
        <w:tc>
          <w:tcPr>
            <w:tcW w:w="1474" w:type="dxa"/>
            <w:tcBorders>
              <w:tl2br w:val="nil"/>
              <w:tr2bl w:val="nil"/>
            </w:tcBorders>
            <w:tcPrChange w:id="39" w:author="pendy" w:date="2025-05-09T14:46:23Z">
              <w:tcPr>
                <w:tcW w:w="1474" w:type="dxa"/>
                <w:tcBorders>
                  <w:tl2br w:val="nil"/>
                  <w:tr2bl w:val="nil"/>
                </w:tcBorders>
              </w:tcPr>
            </w:tcPrChange>
          </w:tcPr>
          <w:p w14:paraId="6F4E251C">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持续阴雨</w:t>
            </w:r>
          </w:p>
        </w:tc>
        <w:tc>
          <w:tcPr>
            <w:tcW w:w="4891" w:type="dxa"/>
            <w:tcBorders>
              <w:tl2br w:val="nil"/>
              <w:tr2bl w:val="nil"/>
            </w:tcBorders>
            <w:tcPrChange w:id="40" w:author="pendy" w:date="2025-05-09T14:46:23Z">
              <w:tcPr>
                <w:tcW w:w="4404" w:type="dxa"/>
                <w:tcBorders>
                  <w:tl2br w:val="nil"/>
                  <w:tr2bl w:val="nil"/>
                </w:tcBorders>
              </w:tcPr>
            </w:tcPrChange>
          </w:tcPr>
          <w:p w14:paraId="23F28AE0">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使用58%甲霜灵·锰锌可湿性粉剂500倍液或75%百菌清可湿性粉剂600倍液喷雾，间隔7 d喷1次，连续2次～3次。</w:t>
            </w:r>
          </w:p>
        </w:tc>
      </w:tr>
      <w:tr w14:paraId="7CA1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41"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42" w:author="pendy" w:date="2025-05-09T14:46:23Z">
              <w:tcPr>
                <w:tcW w:w="1215" w:type="dxa"/>
                <w:tcBorders>
                  <w:tl2br w:val="nil"/>
                  <w:tr2bl w:val="nil"/>
                </w:tcBorders>
              </w:tcPr>
            </w:tcPrChange>
          </w:tcPr>
          <w:p w14:paraId="1AA37101">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褐斑病</w:t>
            </w:r>
          </w:p>
        </w:tc>
        <w:tc>
          <w:tcPr>
            <w:tcW w:w="1134" w:type="dxa"/>
            <w:tcBorders>
              <w:tl2br w:val="nil"/>
              <w:tr2bl w:val="nil"/>
            </w:tcBorders>
            <w:tcPrChange w:id="43" w:author="pendy" w:date="2025-05-09T14:46:23Z">
              <w:tcPr>
                <w:tcW w:w="1134" w:type="dxa"/>
                <w:tcBorders>
                  <w:tl2br w:val="nil"/>
                  <w:tr2bl w:val="nil"/>
                </w:tcBorders>
              </w:tcPr>
            </w:tcPrChange>
          </w:tcPr>
          <w:p w14:paraId="0B32FA2D">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茎蔓、叶片</w:t>
            </w:r>
          </w:p>
        </w:tc>
        <w:tc>
          <w:tcPr>
            <w:tcW w:w="1474" w:type="dxa"/>
            <w:tcBorders>
              <w:tl2br w:val="nil"/>
              <w:tr2bl w:val="nil"/>
            </w:tcBorders>
            <w:tcPrChange w:id="44" w:author="pendy" w:date="2025-05-09T14:46:23Z">
              <w:tcPr>
                <w:tcW w:w="1474" w:type="dxa"/>
                <w:tcBorders>
                  <w:tl2br w:val="nil"/>
                  <w:tr2bl w:val="nil"/>
                </w:tcBorders>
              </w:tcPr>
            </w:tcPrChange>
          </w:tcPr>
          <w:p w14:paraId="3DB43669">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采后清园期</w:t>
            </w:r>
          </w:p>
        </w:tc>
        <w:tc>
          <w:tcPr>
            <w:tcW w:w="4891" w:type="dxa"/>
            <w:tcBorders>
              <w:tl2br w:val="nil"/>
              <w:tr2bl w:val="nil"/>
            </w:tcBorders>
            <w:tcPrChange w:id="45" w:author="pendy" w:date="2025-05-09T14:46:23Z">
              <w:tcPr>
                <w:tcW w:w="4404" w:type="dxa"/>
                <w:tcBorders>
                  <w:tl2br w:val="nil"/>
                  <w:tr2bl w:val="nil"/>
                </w:tcBorders>
              </w:tcPr>
            </w:tcPrChange>
          </w:tcPr>
          <w:p w14:paraId="45983E79">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使用58%甲霜灵·锰锌可湿性粉剂500倍液喷雾，间隔7 d喷1次，连续1次～2次。</w:t>
            </w:r>
          </w:p>
        </w:tc>
      </w:tr>
      <w:tr w14:paraId="467E41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4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47" w:author="pendy" w:date="2025-05-09T14:46:23Z">
              <w:tcPr>
                <w:tcW w:w="1215" w:type="dxa"/>
                <w:tcBorders>
                  <w:tl2br w:val="nil"/>
                  <w:tr2bl w:val="nil"/>
                </w:tcBorders>
              </w:tcPr>
            </w:tcPrChange>
          </w:tcPr>
          <w:p w14:paraId="5C3C526D">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炭疽病</w:t>
            </w:r>
          </w:p>
        </w:tc>
        <w:tc>
          <w:tcPr>
            <w:tcW w:w="1134" w:type="dxa"/>
            <w:tcBorders>
              <w:tl2br w:val="nil"/>
              <w:tr2bl w:val="nil"/>
            </w:tcBorders>
            <w:tcPrChange w:id="48" w:author="pendy" w:date="2025-05-09T14:46:23Z">
              <w:tcPr>
                <w:tcW w:w="1134" w:type="dxa"/>
                <w:tcBorders>
                  <w:tl2br w:val="nil"/>
                  <w:tr2bl w:val="nil"/>
                </w:tcBorders>
              </w:tcPr>
            </w:tcPrChange>
          </w:tcPr>
          <w:p w14:paraId="1132FBFD">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z w:val="18"/>
                <w:szCs w:val="18"/>
              </w:rPr>
              <w:t>叶片、果柄和果实</w:t>
            </w:r>
          </w:p>
        </w:tc>
        <w:tc>
          <w:tcPr>
            <w:tcW w:w="1474" w:type="dxa"/>
            <w:tcBorders>
              <w:tl2br w:val="nil"/>
              <w:tr2bl w:val="nil"/>
            </w:tcBorders>
            <w:tcPrChange w:id="49" w:author="pendy" w:date="2025-05-09T14:46:23Z">
              <w:tcPr>
                <w:tcW w:w="1474" w:type="dxa"/>
                <w:tcBorders>
                  <w:tl2br w:val="nil"/>
                  <w:tr2bl w:val="nil"/>
                </w:tcBorders>
              </w:tcPr>
            </w:tcPrChange>
          </w:tcPr>
          <w:p w14:paraId="6BF9CAF6">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花期至幼果期</w:t>
            </w:r>
          </w:p>
        </w:tc>
        <w:tc>
          <w:tcPr>
            <w:tcW w:w="4891" w:type="dxa"/>
            <w:tcBorders>
              <w:tl2br w:val="nil"/>
              <w:tr2bl w:val="nil"/>
            </w:tcBorders>
            <w:tcPrChange w:id="50" w:author="pendy" w:date="2025-05-09T14:46:23Z">
              <w:tcPr>
                <w:tcW w:w="4404" w:type="dxa"/>
                <w:tcBorders>
                  <w:tl2br w:val="nil"/>
                  <w:tr2bl w:val="nil"/>
                </w:tcBorders>
              </w:tcPr>
            </w:tcPrChange>
          </w:tcPr>
          <w:p w14:paraId="68EC2617">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使用40%苯甲.吡唑酯可湿性粉剂500倍液喷雾，间隔7 d喷1次，连续1次～2次。</w:t>
            </w:r>
          </w:p>
        </w:tc>
      </w:tr>
      <w:tr w14:paraId="7C8355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51"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52" w:author="pendy" w:date="2025-05-09T14:46:23Z">
              <w:tcPr>
                <w:tcW w:w="1215" w:type="dxa"/>
                <w:tcBorders>
                  <w:tl2br w:val="nil"/>
                  <w:tr2bl w:val="nil"/>
                </w:tcBorders>
              </w:tcPr>
            </w:tcPrChange>
          </w:tcPr>
          <w:p w14:paraId="74AD7D8D">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灰霉病</w:t>
            </w:r>
          </w:p>
        </w:tc>
        <w:tc>
          <w:tcPr>
            <w:tcW w:w="1134" w:type="dxa"/>
            <w:tcBorders>
              <w:tl2br w:val="nil"/>
              <w:tr2bl w:val="nil"/>
            </w:tcBorders>
            <w:tcPrChange w:id="53" w:author="pendy" w:date="2025-05-09T14:46:23Z">
              <w:tcPr>
                <w:tcW w:w="1134" w:type="dxa"/>
                <w:tcBorders>
                  <w:tl2br w:val="nil"/>
                  <w:tr2bl w:val="nil"/>
                </w:tcBorders>
              </w:tcPr>
            </w:tcPrChange>
          </w:tcPr>
          <w:p w14:paraId="3EB66E67">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z w:val="18"/>
                <w:szCs w:val="18"/>
              </w:rPr>
              <w:t>花</w:t>
            </w:r>
          </w:p>
        </w:tc>
        <w:tc>
          <w:tcPr>
            <w:tcW w:w="1474" w:type="dxa"/>
            <w:tcBorders>
              <w:tl2br w:val="nil"/>
              <w:tr2bl w:val="nil"/>
            </w:tcBorders>
            <w:tcPrChange w:id="54" w:author="pendy" w:date="2025-05-09T14:46:23Z">
              <w:tcPr>
                <w:tcW w:w="1474" w:type="dxa"/>
                <w:tcBorders>
                  <w:tl2br w:val="nil"/>
                  <w:tr2bl w:val="nil"/>
                </w:tcBorders>
              </w:tcPr>
            </w:tcPrChange>
          </w:tcPr>
          <w:p w14:paraId="77B639B6">
            <w:pPr>
              <w:numPr>
                <w:ilvl w:val="0"/>
                <w:numId w:val="0"/>
              </w:numPr>
              <w:spacing w:line="360" w:lineRule="auto"/>
              <w:jc w:val="center"/>
              <w:rPr>
                <w:rFonts w:hint="eastAsia" w:ascii="宋体" w:hAnsi="宋体" w:eastAsia="宋体" w:cs="宋体"/>
                <w:color w:val="000000"/>
                <w:sz w:val="18"/>
                <w:szCs w:val="18"/>
              </w:rPr>
            </w:pPr>
            <w:r>
              <w:rPr>
                <w:rFonts w:ascii="宋体" w:hAnsi="宋体" w:eastAsia="宋体" w:cs="宋体"/>
                <w:spacing w:val="-2"/>
                <w:sz w:val="18"/>
                <w:szCs w:val="18"/>
              </w:rPr>
              <w:t>持续阴雨</w:t>
            </w:r>
          </w:p>
        </w:tc>
        <w:tc>
          <w:tcPr>
            <w:tcW w:w="4891" w:type="dxa"/>
            <w:tcBorders>
              <w:tl2br w:val="nil"/>
              <w:tr2bl w:val="nil"/>
            </w:tcBorders>
            <w:tcPrChange w:id="55" w:author="pendy" w:date="2025-05-09T14:46:23Z">
              <w:tcPr>
                <w:tcW w:w="4404" w:type="dxa"/>
                <w:tcBorders>
                  <w:tl2br w:val="nil"/>
                  <w:tr2bl w:val="nil"/>
                </w:tcBorders>
              </w:tcPr>
            </w:tcPrChange>
          </w:tcPr>
          <w:p w14:paraId="24D0E238">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使用15%嘧霉.福美双可湿性粉剂500倍液喷雾，间隔7 d喷1次，连续1次～2次。</w:t>
            </w:r>
          </w:p>
        </w:tc>
      </w:tr>
      <w:tr w14:paraId="3F6FB1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Change w:id="56" w:author="pendy" w:date="2025-05-09T14:46:23Z">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blPrExChange>
        </w:tblPrEx>
        <w:tc>
          <w:tcPr>
            <w:tcW w:w="1215" w:type="dxa"/>
            <w:tcBorders>
              <w:tl2br w:val="nil"/>
              <w:tr2bl w:val="nil"/>
            </w:tcBorders>
            <w:tcPrChange w:id="57" w:author="pendy" w:date="2025-05-09T14:46:23Z">
              <w:tcPr>
                <w:tcW w:w="1215" w:type="dxa"/>
                <w:tcBorders>
                  <w:tl2br w:val="nil"/>
                  <w:tr2bl w:val="nil"/>
                </w:tcBorders>
              </w:tcPr>
            </w:tcPrChange>
          </w:tcPr>
          <w:p w14:paraId="61A83C97">
            <w:pPr>
              <w:numPr>
                <w:ilvl w:val="0"/>
                <w:numId w:val="0"/>
              </w:numPr>
              <w:spacing w:line="360" w:lineRule="auto"/>
              <w:jc w:val="center"/>
              <w:rPr>
                <w:rFonts w:hint="eastAsia" w:ascii="宋体" w:hAnsi="宋体" w:eastAsia="宋体" w:cs="宋体"/>
                <w:spacing w:val="-2"/>
                <w:sz w:val="18"/>
                <w:szCs w:val="18"/>
              </w:rPr>
            </w:pPr>
            <w:r>
              <w:rPr>
                <w:rFonts w:hint="eastAsia" w:ascii="宋体" w:hAnsi="宋体" w:eastAsia="宋体" w:cs="宋体"/>
                <w:spacing w:val="-2"/>
                <w:sz w:val="18"/>
                <w:szCs w:val="18"/>
              </w:rPr>
              <w:t>根腐病</w:t>
            </w:r>
          </w:p>
        </w:tc>
        <w:tc>
          <w:tcPr>
            <w:tcW w:w="1134" w:type="dxa"/>
            <w:tcBorders>
              <w:tl2br w:val="nil"/>
              <w:tr2bl w:val="nil"/>
            </w:tcBorders>
            <w:tcPrChange w:id="58" w:author="pendy" w:date="2025-05-09T14:46:23Z">
              <w:tcPr>
                <w:tcW w:w="1134" w:type="dxa"/>
                <w:tcBorders>
                  <w:tl2br w:val="nil"/>
                  <w:tr2bl w:val="nil"/>
                </w:tcBorders>
              </w:tcPr>
            </w:tcPrChange>
          </w:tcPr>
          <w:p w14:paraId="0E294E1E">
            <w:pPr>
              <w:numPr>
                <w:ilvl w:val="0"/>
                <w:numId w:val="0"/>
              </w:numPr>
              <w:spacing w:line="360" w:lineRule="auto"/>
              <w:jc w:val="center"/>
              <w:rPr>
                <w:rFonts w:hint="eastAsia" w:ascii="宋体" w:hAnsi="宋体" w:eastAsia="宋体" w:cs="宋体"/>
                <w:sz w:val="18"/>
                <w:szCs w:val="18"/>
              </w:rPr>
            </w:pPr>
            <w:r>
              <w:rPr>
                <w:rFonts w:hint="eastAsia" w:ascii="宋体" w:hAnsi="宋体" w:eastAsia="宋体" w:cs="宋体"/>
                <w:sz w:val="18"/>
                <w:szCs w:val="18"/>
              </w:rPr>
              <w:t>根</w:t>
            </w:r>
          </w:p>
        </w:tc>
        <w:tc>
          <w:tcPr>
            <w:tcW w:w="1474" w:type="dxa"/>
            <w:tcBorders>
              <w:tl2br w:val="nil"/>
              <w:tr2bl w:val="nil"/>
            </w:tcBorders>
            <w:tcPrChange w:id="59" w:author="pendy" w:date="2025-05-09T14:46:23Z">
              <w:tcPr>
                <w:tcW w:w="1474" w:type="dxa"/>
                <w:tcBorders>
                  <w:tl2br w:val="nil"/>
                  <w:tr2bl w:val="nil"/>
                </w:tcBorders>
              </w:tcPr>
            </w:tcPrChange>
          </w:tcPr>
          <w:p w14:paraId="61A67F88">
            <w:pPr>
              <w:numPr>
                <w:ilvl w:val="0"/>
                <w:numId w:val="0"/>
              </w:numPr>
              <w:spacing w:line="360" w:lineRule="auto"/>
              <w:jc w:val="center"/>
              <w:rPr>
                <w:rFonts w:hint="eastAsia" w:ascii="宋体" w:hAnsi="宋体" w:eastAsia="宋体" w:cs="宋体"/>
                <w:spacing w:val="-2"/>
                <w:sz w:val="18"/>
                <w:szCs w:val="18"/>
              </w:rPr>
            </w:pPr>
            <w:r>
              <w:rPr>
                <w:rFonts w:ascii="宋体" w:hAnsi="宋体" w:eastAsia="宋体" w:cs="宋体"/>
                <w:spacing w:val="-2"/>
                <w:sz w:val="18"/>
                <w:szCs w:val="18"/>
              </w:rPr>
              <w:t>雨季</w:t>
            </w:r>
          </w:p>
        </w:tc>
        <w:tc>
          <w:tcPr>
            <w:tcW w:w="4891" w:type="dxa"/>
            <w:tcBorders>
              <w:tl2br w:val="nil"/>
              <w:tr2bl w:val="nil"/>
            </w:tcBorders>
            <w:tcPrChange w:id="60" w:author="pendy" w:date="2025-05-09T14:46:23Z">
              <w:tcPr>
                <w:tcW w:w="4404" w:type="dxa"/>
                <w:tcBorders>
                  <w:tl2br w:val="nil"/>
                  <w:tr2bl w:val="nil"/>
                </w:tcBorders>
              </w:tcPr>
            </w:tcPrChange>
          </w:tcPr>
          <w:p w14:paraId="4B776BCF">
            <w:pPr>
              <w:numPr>
                <w:ilvl w:val="0"/>
                <w:numId w:val="0"/>
              </w:numPr>
              <w:spacing w:after="0" w:line="240" w:lineRule="auto"/>
              <w:jc w:val="left"/>
              <w:rPr>
                <w:rFonts w:hint="eastAsia" w:ascii="宋体" w:hAnsi="宋体" w:eastAsia="宋体" w:cs="宋体"/>
                <w:spacing w:val="-1"/>
                <w:sz w:val="18"/>
                <w:szCs w:val="18"/>
              </w:rPr>
            </w:pPr>
            <w:r>
              <w:rPr>
                <w:rFonts w:hint="eastAsia" w:ascii="宋体" w:hAnsi="宋体" w:eastAsia="宋体" w:cs="宋体"/>
                <w:spacing w:val="-1"/>
                <w:sz w:val="18"/>
                <w:szCs w:val="18"/>
              </w:rPr>
              <w:t>雨季前雨季前用58%甲霜灵·锰锌500倍液灌根，间隔10 d一次。</w:t>
            </w:r>
          </w:p>
        </w:tc>
      </w:tr>
      <w:bookmarkEnd w:id="2"/>
    </w:tbl>
    <w:p w14:paraId="5ADB65C5">
      <w:pPr>
        <w:pStyle w:val="42"/>
        <w:spacing w:before="156" w:beforeLines="50" w:after="156" w:afterLines="50"/>
        <w:rPr>
          <w:rFonts w:hint="eastAsia" w:ascii="黑体" w:hAnsi="黑体"/>
        </w:rPr>
      </w:pPr>
      <w:r>
        <w:rPr>
          <w:rFonts w:hint="eastAsia" w:ascii="黑体" w:hAnsi="黑体"/>
        </w:rPr>
        <w:t>5</w:t>
      </w:r>
      <w:r>
        <w:rPr>
          <w:rFonts w:ascii="黑体" w:hAnsi="黑体"/>
        </w:rPr>
        <w:t>.9.3 农药安全和合理使用准则</w:t>
      </w:r>
    </w:p>
    <w:p w14:paraId="2DDC1E32">
      <w:pPr>
        <w:numPr>
          <w:ilvl w:val="0"/>
          <w:numId w:val="0"/>
        </w:numPr>
        <w:spacing w:line="240" w:lineRule="auto"/>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应符合GB/T 8321的规定</w:t>
      </w:r>
      <w:r>
        <w:rPr>
          <w:rFonts w:hint="eastAsia" w:ascii="宋体" w:hAnsi="宋体" w:eastAsia="宋体" w:cs="Times New Roman"/>
          <w:color w:val="000000"/>
          <w:szCs w:val="21"/>
        </w:rPr>
        <w:t>。</w:t>
      </w:r>
    </w:p>
    <w:p w14:paraId="707F1FA8">
      <w:pPr>
        <w:pStyle w:val="39"/>
        <w:spacing w:before="312" w:beforeLines="100" w:after="312" w:afterLines="100"/>
        <w:ind w:left="0"/>
      </w:pPr>
      <w:r>
        <w:rPr>
          <w:rFonts w:hint="eastAsia"/>
        </w:rPr>
        <w:t>6</w:t>
      </w:r>
      <w:r>
        <w:t xml:space="preserve"> </w:t>
      </w:r>
      <w:r>
        <w:rPr>
          <w:rFonts w:hint="eastAsia"/>
        </w:rPr>
        <w:t>生产管理</w:t>
      </w:r>
    </w:p>
    <w:p w14:paraId="57EE5269">
      <w:pPr>
        <w:numPr>
          <w:ilvl w:val="0"/>
          <w:numId w:val="0"/>
        </w:numPr>
        <w:spacing w:line="240" w:lineRule="auto"/>
        <w:ind w:firstLine="420" w:firstLineChars="200"/>
        <w:rPr>
          <w:rFonts w:hint="eastAsia" w:ascii="宋体" w:hAnsi="宋体" w:eastAsia="宋体" w:cs="Times New Roman"/>
          <w:szCs w:val="21"/>
        </w:rPr>
      </w:pPr>
      <w:r>
        <w:rPr>
          <w:rFonts w:ascii="宋体" w:hAnsi="宋体" w:eastAsia="宋体" w:cs="Times New Roman"/>
          <w:szCs w:val="21"/>
        </w:rPr>
        <w:t>应符合</w:t>
      </w:r>
      <w:r>
        <w:rPr>
          <w:rFonts w:hint="eastAsia" w:ascii="宋体" w:hAnsi="宋体" w:eastAsia="宋体" w:cs="Times New Roman"/>
          <w:szCs w:val="21"/>
        </w:rPr>
        <w:t>NY/T 4240</w:t>
      </w:r>
      <w:r>
        <w:rPr>
          <w:rFonts w:ascii="宋体" w:hAnsi="宋体" w:eastAsia="宋体" w:cs="Times New Roman"/>
          <w:szCs w:val="21"/>
        </w:rPr>
        <w:t>的规定</w:t>
      </w:r>
      <w:r>
        <w:rPr>
          <w:rFonts w:hint="eastAsia" w:ascii="宋体" w:hAnsi="宋体" w:eastAsia="宋体" w:cs="Times New Roman"/>
          <w:szCs w:val="21"/>
        </w:rPr>
        <w:t>。</w:t>
      </w:r>
    </w:p>
    <w:p w14:paraId="6CDC7303">
      <w:pPr>
        <w:pStyle w:val="39"/>
        <w:spacing w:before="312" w:beforeLines="100" w:after="312" w:afterLines="100"/>
        <w:ind w:left="0"/>
      </w:pPr>
      <w:r>
        <w:rPr>
          <w:rFonts w:hint="eastAsia"/>
        </w:rPr>
        <w:t>7</w:t>
      </w:r>
      <w:r>
        <w:t xml:space="preserve"> 采收</w:t>
      </w:r>
      <w:r>
        <w:rPr>
          <w:rFonts w:hint="eastAsia"/>
        </w:rPr>
        <w:t>、运输</w:t>
      </w:r>
      <w:r>
        <w:t>与贮藏</w:t>
      </w:r>
    </w:p>
    <w:p w14:paraId="6035375E">
      <w:pPr>
        <w:pStyle w:val="41"/>
        <w:spacing w:before="156" w:beforeLines="50" w:after="156" w:afterLines="50"/>
        <w:rPr>
          <w:rFonts w:hint="eastAsia" w:ascii="黑体" w:hAnsi="黑体"/>
        </w:rPr>
      </w:pPr>
      <w:r>
        <w:rPr>
          <w:rFonts w:hint="eastAsia" w:ascii="黑体" w:hAnsi="黑体"/>
        </w:rPr>
        <w:t>7</w:t>
      </w:r>
      <w:r>
        <w:rPr>
          <w:rFonts w:ascii="黑体" w:hAnsi="黑体"/>
        </w:rPr>
        <w:t>.1 果实采收</w:t>
      </w:r>
    </w:p>
    <w:p w14:paraId="749A05F5">
      <w:pPr>
        <w:pStyle w:val="3"/>
        <w:tabs>
          <w:tab w:val="clear" w:pos="6480"/>
        </w:tabs>
        <w:spacing w:before="50" w:after="50"/>
        <w:ind w:left="-200" w:firstLine="420" w:firstLineChars="200"/>
        <w:pPrChange w:id="61" w:author="pendy" w:date="2025-05-09T14:46:35Z">
          <w:pPr>
            <w:pStyle w:val="3"/>
            <w:tabs>
              <w:tab w:val="clear" w:pos="6480"/>
            </w:tabs>
            <w:spacing w:before="50" w:after="50"/>
            <w:ind w:firstLine="420" w:firstLineChars="200"/>
          </w:pPr>
        </w:pPrChange>
      </w:pPr>
      <w:r>
        <w:t>百香果采摘应选取天气晴朗、露水已干的时段。需预先估计运输距离和时长，选择相应熟度的果实，制定分期分批采收计划。以</w:t>
      </w:r>
      <w:r>
        <w:rPr>
          <w:rFonts w:hint="eastAsia" w:hAnsi="宋体"/>
          <w:color w:val="000000"/>
        </w:rPr>
        <w:t>钦蜜</w:t>
      </w:r>
      <w:r>
        <w:t>9号为例，可以参考表</w:t>
      </w:r>
      <w:r>
        <w:rPr>
          <w:rFonts w:hint="eastAsia"/>
        </w:rPr>
        <w:t>2</w:t>
      </w:r>
      <w:r>
        <w:t>执行。在进行采摘前，应对采摘、运输、贮藏用具以及采摘场所进行彻底的清理、清洗和消毒，同时确保采摘人员做好个人卫生清洁工作。在采摘过程中，应当轻拿轻放，避免果伤。</w:t>
      </w:r>
      <w:r>
        <w:rPr>
          <w:rFonts w:hint="eastAsia"/>
        </w:rPr>
        <w:t>采收后按</w:t>
      </w:r>
      <w:r>
        <w:t>GB/T 40748</w:t>
      </w:r>
      <w:r>
        <w:rPr>
          <w:rFonts w:hint="eastAsia"/>
        </w:rPr>
        <w:t>的规定进行质量分级。</w:t>
      </w:r>
    </w:p>
    <w:p w14:paraId="53E38F06">
      <w:pPr>
        <w:pStyle w:val="3"/>
        <w:tabs>
          <w:tab w:val="clear" w:pos="6480"/>
        </w:tabs>
        <w:spacing w:before="50" w:after="50"/>
        <w:ind w:firstLine="420" w:firstLineChars="200"/>
        <w:rPr>
          <w:color w:val="0000FF"/>
        </w:rPr>
      </w:pPr>
    </w:p>
    <w:p w14:paraId="5BF2BF4E">
      <w:pPr>
        <w:numPr>
          <w:ilvl w:val="0"/>
          <w:numId w:val="0"/>
        </w:numPr>
        <w:spacing w:line="360" w:lineRule="auto"/>
        <w:jc w:val="center"/>
        <w:rPr>
          <w:rFonts w:hint="eastAsia" w:ascii="黑体" w:hAnsi="黑体" w:eastAsia="黑体" w:cs="Times New Roman"/>
          <w:color w:val="000000"/>
          <w:szCs w:val="21"/>
        </w:rPr>
      </w:pPr>
      <w:r>
        <w:rPr>
          <w:rFonts w:ascii="黑体" w:hAnsi="黑体" w:eastAsia="黑体" w:cs="Times New Roman"/>
          <w:color w:val="000000"/>
          <w:szCs w:val="21"/>
        </w:rPr>
        <w:t>表</w:t>
      </w:r>
      <w:r>
        <w:rPr>
          <w:rFonts w:hint="eastAsia" w:ascii="黑体" w:hAnsi="黑体" w:eastAsia="黑体" w:cs="Times New Roman"/>
          <w:color w:val="000000"/>
          <w:szCs w:val="21"/>
        </w:rPr>
        <w:t>2</w:t>
      </w:r>
      <w:r>
        <w:rPr>
          <w:rFonts w:ascii="黑体" w:hAnsi="黑体" w:eastAsia="黑体" w:cs="Times New Roman"/>
          <w:color w:val="000000"/>
          <w:szCs w:val="21"/>
        </w:rPr>
        <w:t xml:space="preserve"> 不同成熟度</w:t>
      </w:r>
      <w:r>
        <w:rPr>
          <w:rFonts w:hint="eastAsia" w:ascii="宋体" w:hAnsi="宋体" w:eastAsia="宋体"/>
          <w:b/>
          <w:bCs/>
          <w:color w:val="000000"/>
          <w:szCs w:val="21"/>
        </w:rPr>
        <w:t>钦蜜</w:t>
      </w:r>
      <w:r>
        <w:rPr>
          <w:rFonts w:ascii="黑体" w:hAnsi="黑体" w:eastAsia="黑体" w:cs="Times New Roman"/>
          <w:color w:val="000000"/>
          <w:szCs w:val="21"/>
        </w:rPr>
        <w:t>9号百香果适宜运输时长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5076"/>
        <w:gridCol w:w="2662"/>
      </w:tblGrid>
      <w:tr w14:paraId="71A9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82" w:type="dxa"/>
            <w:tcBorders>
              <w:top w:val="single" w:color="auto" w:sz="12" w:space="0"/>
              <w:left w:val="single" w:color="auto" w:sz="12" w:space="0"/>
              <w:bottom w:val="single" w:color="auto" w:sz="12" w:space="0"/>
              <w:right w:val="single" w:color="auto" w:sz="4" w:space="0"/>
            </w:tcBorders>
            <w:vAlign w:val="center"/>
          </w:tcPr>
          <w:p w14:paraId="0AA20348">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3"/>
                <w:sz w:val="18"/>
                <w:szCs w:val="18"/>
              </w:rPr>
              <w:t>成熟度</w:t>
            </w:r>
          </w:p>
        </w:tc>
        <w:tc>
          <w:tcPr>
            <w:tcW w:w="5076" w:type="dxa"/>
            <w:tcBorders>
              <w:top w:val="single" w:color="auto" w:sz="12" w:space="0"/>
              <w:left w:val="single" w:color="auto" w:sz="4" w:space="0"/>
              <w:bottom w:val="single" w:color="auto" w:sz="12" w:space="0"/>
              <w:right w:val="single" w:color="auto" w:sz="4" w:space="0"/>
            </w:tcBorders>
            <w:vAlign w:val="center"/>
          </w:tcPr>
          <w:p w14:paraId="0464A2DF">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3"/>
                <w:sz w:val="18"/>
                <w:szCs w:val="18"/>
              </w:rPr>
              <w:t>果实性状</w:t>
            </w:r>
          </w:p>
        </w:tc>
        <w:tc>
          <w:tcPr>
            <w:tcW w:w="2662" w:type="dxa"/>
            <w:tcBorders>
              <w:top w:val="single" w:color="auto" w:sz="12" w:space="0"/>
              <w:left w:val="single" w:color="auto" w:sz="4" w:space="0"/>
              <w:bottom w:val="single" w:color="auto" w:sz="12" w:space="0"/>
              <w:right w:val="single" w:color="auto" w:sz="12" w:space="0"/>
            </w:tcBorders>
            <w:vAlign w:val="center"/>
          </w:tcPr>
          <w:p w14:paraId="23C903F4">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1"/>
                <w:sz w:val="18"/>
                <w:szCs w:val="18"/>
              </w:rPr>
              <w:t>对应运输时长</w:t>
            </w:r>
          </w:p>
        </w:tc>
      </w:tr>
      <w:tr w14:paraId="5886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82" w:type="dxa"/>
            <w:tcBorders>
              <w:top w:val="single" w:color="auto" w:sz="12" w:space="0"/>
              <w:left w:val="single" w:color="auto" w:sz="12" w:space="0"/>
              <w:bottom w:val="single" w:color="auto" w:sz="4" w:space="0"/>
              <w:right w:val="single" w:color="auto" w:sz="4" w:space="0"/>
            </w:tcBorders>
            <w:vAlign w:val="center"/>
          </w:tcPr>
          <w:p w14:paraId="0C6C394B">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3"/>
                <w:sz w:val="18"/>
                <w:szCs w:val="18"/>
              </w:rPr>
              <w:t>70%</w:t>
            </w:r>
          </w:p>
        </w:tc>
        <w:tc>
          <w:tcPr>
            <w:tcW w:w="5076" w:type="dxa"/>
            <w:tcBorders>
              <w:top w:val="single" w:color="auto" w:sz="12" w:space="0"/>
              <w:left w:val="single" w:color="auto" w:sz="4" w:space="0"/>
              <w:bottom w:val="single" w:color="auto" w:sz="4" w:space="0"/>
              <w:right w:val="single" w:color="auto" w:sz="4" w:space="0"/>
            </w:tcBorders>
            <w:vAlign w:val="center"/>
          </w:tcPr>
          <w:p w14:paraId="2EDEAD37">
            <w:pPr>
              <w:numPr>
                <w:ilvl w:val="0"/>
                <w:numId w:val="0"/>
              </w:numPr>
              <w:spacing w:line="360" w:lineRule="auto"/>
              <w:jc w:val="left"/>
              <w:rPr>
                <w:rFonts w:hint="eastAsia" w:ascii="宋体" w:hAnsi="宋体" w:eastAsia="宋体" w:cs="宋体"/>
                <w:color w:val="000000"/>
                <w:sz w:val="18"/>
                <w:szCs w:val="18"/>
              </w:rPr>
            </w:pPr>
            <w:r>
              <w:rPr>
                <w:rFonts w:hint="eastAsia" w:ascii="宋体" w:hAnsi="宋体" w:eastAsia="宋体" w:cs="宋体"/>
                <w:spacing w:val="-1"/>
                <w:sz w:val="18"/>
                <w:szCs w:val="18"/>
              </w:rPr>
              <w:t>超过50%果实的果皮转色，果皮坚硬，香气不明显。</w:t>
            </w:r>
          </w:p>
        </w:tc>
        <w:tc>
          <w:tcPr>
            <w:tcW w:w="2662" w:type="dxa"/>
            <w:tcBorders>
              <w:top w:val="single" w:color="auto" w:sz="12" w:space="0"/>
              <w:left w:val="single" w:color="auto" w:sz="4" w:space="0"/>
              <w:bottom w:val="single" w:color="auto" w:sz="4" w:space="0"/>
              <w:right w:val="single" w:color="auto" w:sz="12" w:space="0"/>
            </w:tcBorders>
            <w:vAlign w:val="center"/>
          </w:tcPr>
          <w:p w14:paraId="2FA7EEF3">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7"/>
                <w:sz w:val="18"/>
                <w:szCs w:val="18"/>
              </w:rPr>
              <w:t>7</w:t>
            </w:r>
            <w:r>
              <w:rPr>
                <w:rFonts w:hint="eastAsia" w:ascii="宋体" w:hAnsi="宋体" w:eastAsia="宋体" w:cs="宋体"/>
                <w:spacing w:val="12"/>
                <w:sz w:val="18"/>
                <w:szCs w:val="18"/>
              </w:rPr>
              <w:t xml:space="preserve"> </w:t>
            </w:r>
            <w:r>
              <w:rPr>
                <w:rFonts w:hint="eastAsia" w:ascii="宋体" w:hAnsi="宋体" w:eastAsia="宋体" w:cs="宋体"/>
                <w:spacing w:val="-7"/>
                <w:sz w:val="18"/>
                <w:szCs w:val="18"/>
              </w:rPr>
              <w:t>d</w:t>
            </w:r>
          </w:p>
        </w:tc>
      </w:tr>
      <w:tr w14:paraId="3F6F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2" w:type="dxa"/>
            <w:tcBorders>
              <w:top w:val="single" w:color="auto" w:sz="4" w:space="0"/>
              <w:left w:val="single" w:color="auto" w:sz="12" w:space="0"/>
              <w:bottom w:val="single" w:color="auto" w:sz="4" w:space="0"/>
              <w:right w:val="single" w:color="auto" w:sz="4" w:space="0"/>
            </w:tcBorders>
            <w:vAlign w:val="center"/>
          </w:tcPr>
          <w:p w14:paraId="3F49547E">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80%</w:t>
            </w:r>
          </w:p>
        </w:tc>
        <w:tc>
          <w:tcPr>
            <w:tcW w:w="5076" w:type="dxa"/>
            <w:tcBorders>
              <w:top w:val="single" w:color="auto" w:sz="4" w:space="0"/>
              <w:left w:val="single" w:color="auto" w:sz="4" w:space="0"/>
              <w:bottom w:val="single" w:color="auto" w:sz="4" w:space="0"/>
              <w:right w:val="single" w:color="auto" w:sz="4" w:space="0"/>
            </w:tcBorders>
            <w:vAlign w:val="center"/>
          </w:tcPr>
          <w:p w14:paraId="7B3B2AA1">
            <w:pPr>
              <w:pStyle w:val="43"/>
              <w:numPr>
                <w:ilvl w:val="8"/>
                <w:numId w:val="0"/>
              </w:numPr>
              <w:spacing w:before="167" w:line="219" w:lineRule="auto"/>
              <w:ind w:left="-10"/>
              <w:jc w:val="left"/>
              <w:rPr>
                <w:rFonts w:hint="eastAsia"/>
                <w:color w:val="000000"/>
                <w:sz w:val="18"/>
                <w:szCs w:val="18"/>
                <w:lang w:eastAsia="zh-CN"/>
              </w:rPr>
            </w:pPr>
            <w:r>
              <w:rPr>
                <w:rFonts w:hint="eastAsia"/>
                <w:spacing w:val="-1"/>
                <w:sz w:val="18"/>
                <w:szCs w:val="18"/>
                <w:lang w:eastAsia="zh-CN"/>
              </w:rPr>
              <w:t>全部果实的果皮转色，色泽</w:t>
            </w:r>
            <w:r>
              <w:rPr>
                <w:rFonts w:hint="eastAsia"/>
                <w:spacing w:val="1"/>
                <w:sz w:val="18"/>
                <w:szCs w:val="18"/>
                <w:lang w:eastAsia="zh-CN"/>
              </w:rPr>
              <w:t>不浓，果皮有弹性，切开果肉</w:t>
            </w:r>
            <w:r>
              <w:rPr>
                <w:rFonts w:hint="eastAsia"/>
                <w:sz w:val="18"/>
                <w:szCs w:val="18"/>
                <w:lang w:eastAsia="zh-CN"/>
              </w:rPr>
              <w:t>后香气明显。</w:t>
            </w:r>
          </w:p>
        </w:tc>
        <w:tc>
          <w:tcPr>
            <w:tcW w:w="2662" w:type="dxa"/>
            <w:tcBorders>
              <w:top w:val="single" w:color="auto" w:sz="4" w:space="0"/>
              <w:left w:val="single" w:color="auto" w:sz="4" w:space="0"/>
              <w:bottom w:val="single" w:color="auto" w:sz="4" w:space="0"/>
              <w:right w:val="single" w:color="auto" w:sz="12" w:space="0"/>
            </w:tcBorders>
            <w:vAlign w:val="center"/>
          </w:tcPr>
          <w:p w14:paraId="27DF5FEC">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2 d</w:t>
            </w:r>
            <w:r>
              <w:rPr>
                <w:rFonts w:hint="eastAsia" w:ascii="宋体" w:hAnsi="宋体" w:eastAsia="宋体" w:cs="宋体"/>
                <w:spacing w:val="-1"/>
                <w:sz w:val="18"/>
                <w:szCs w:val="18"/>
              </w:rPr>
              <w:t>～</w:t>
            </w:r>
            <w:r>
              <w:rPr>
                <w:rFonts w:hint="eastAsia" w:ascii="宋体" w:hAnsi="宋体" w:eastAsia="宋体" w:cs="宋体"/>
                <w:spacing w:val="-2"/>
                <w:sz w:val="18"/>
                <w:szCs w:val="18"/>
              </w:rPr>
              <w:t>3 d</w:t>
            </w:r>
          </w:p>
        </w:tc>
      </w:tr>
      <w:tr w14:paraId="6F6C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Borders>
              <w:top w:val="single" w:color="auto" w:sz="4" w:space="0"/>
              <w:left w:val="single" w:color="auto" w:sz="12" w:space="0"/>
              <w:bottom w:val="single" w:color="auto" w:sz="12" w:space="0"/>
              <w:right w:val="single" w:color="auto" w:sz="4" w:space="0"/>
            </w:tcBorders>
            <w:vAlign w:val="center"/>
          </w:tcPr>
          <w:p w14:paraId="36FD28A2">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2"/>
                <w:sz w:val="18"/>
                <w:szCs w:val="18"/>
              </w:rPr>
              <w:t>90%</w:t>
            </w:r>
          </w:p>
        </w:tc>
        <w:tc>
          <w:tcPr>
            <w:tcW w:w="5076" w:type="dxa"/>
            <w:tcBorders>
              <w:top w:val="single" w:color="auto" w:sz="4" w:space="0"/>
              <w:left w:val="single" w:color="auto" w:sz="4" w:space="0"/>
              <w:bottom w:val="single" w:color="auto" w:sz="12" w:space="0"/>
              <w:right w:val="single" w:color="auto" w:sz="4" w:space="0"/>
            </w:tcBorders>
            <w:vAlign w:val="center"/>
          </w:tcPr>
          <w:p w14:paraId="290CAD56">
            <w:pPr>
              <w:pStyle w:val="43"/>
              <w:numPr>
                <w:ilvl w:val="8"/>
                <w:numId w:val="0"/>
              </w:numPr>
              <w:tabs>
                <w:tab w:val="clear" w:pos="8799"/>
              </w:tabs>
              <w:spacing w:before="150" w:line="283" w:lineRule="auto"/>
              <w:ind w:right="20"/>
              <w:jc w:val="left"/>
              <w:rPr>
                <w:rFonts w:hint="eastAsia"/>
                <w:color w:val="000000"/>
                <w:sz w:val="18"/>
                <w:szCs w:val="18"/>
                <w:lang w:eastAsia="zh-CN"/>
              </w:rPr>
            </w:pPr>
            <w:r>
              <w:rPr>
                <w:rFonts w:hint="eastAsia"/>
                <w:spacing w:val="-1"/>
                <w:sz w:val="18"/>
                <w:szCs w:val="18"/>
                <w:lang w:eastAsia="zh-CN"/>
              </w:rPr>
              <w:t>全部果实的果皮转色，色泽</w:t>
            </w:r>
            <w:r>
              <w:rPr>
                <w:rFonts w:hint="eastAsia"/>
                <w:spacing w:val="1"/>
                <w:sz w:val="18"/>
                <w:szCs w:val="18"/>
                <w:lang w:eastAsia="zh-CN"/>
              </w:rPr>
              <w:t>浓，表皮蜡质多，靠近直接闻</w:t>
            </w:r>
            <w:r>
              <w:rPr>
                <w:rFonts w:hint="eastAsia"/>
                <w:sz w:val="18"/>
                <w:szCs w:val="18"/>
                <w:lang w:eastAsia="zh-CN"/>
              </w:rPr>
              <w:t>香气浓郁。</w:t>
            </w:r>
          </w:p>
        </w:tc>
        <w:tc>
          <w:tcPr>
            <w:tcW w:w="2662" w:type="dxa"/>
            <w:tcBorders>
              <w:top w:val="single" w:color="auto" w:sz="4" w:space="0"/>
              <w:left w:val="single" w:color="auto" w:sz="4" w:space="0"/>
              <w:bottom w:val="single" w:color="auto" w:sz="12" w:space="0"/>
              <w:right w:val="single" w:color="auto" w:sz="12" w:space="0"/>
            </w:tcBorders>
            <w:vAlign w:val="center"/>
          </w:tcPr>
          <w:p w14:paraId="666297F4">
            <w:pPr>
              <w:numPr>
                <w:ilvl w:val="0"/>
                <w:numId w:val="0"/>
              </w:numPr>
              <w:spacing w:line="360" w:lineRule="auto"/>
              <w:jc w:val="center"/>
              <w:rPr>
                <w:rFonts w:hint="eastAsia" w:ascii="宋体" w:hAnsi="宋体" w:eastAsia="宋体" w:cs="宋体"/>
                <w:color w:val="000000"/>
                <w:sz w:val="18"/>
                <w:szCs w:val="18"/>
              </w:rPr>
            </w:pPr>
            <w:r>
              <w:rPr>
                <w:rFonts w:hint="eastAsia" w:ascii="宋体" w:hAnsi="宋体" w:eastAsia="宋体" w:cs="宋体"/>
                <w:spacing w:val="-6"/>
                <w:sz w:val="18"/>
                <w:szCs w:val="18"/>
              </w:rPr>
              <w:t>1 d内</w:t>
            </w:r>
          </w:p>
        </w:tc>
      </w:tr>
    </w:tbl>
    <w:p w14:paraId="29953BA1">
      <w:pPr>
        <w:numPr>
          <w:ilvl w:val="0"/>
          <w:numId w:val="0"/>
        </w:numPr>
        <w:spacing w:line="360" w:lineRule="auto"/>
        <w:jc w:val="center"/>
        <w:rPr>
          <w:rFonts w:hint="eastAsia" w:ascii="黑体" w:hAnsi="黑体" w:eastAsia="黑体" w:cs="Times New Roman"/>
          <w:color w:val="000000"/>
          <w:szCs w:val="21"/>
        </w:rPr>
      </w:pPr>
    </w:p>
    <w:p w14:paraId="5D1D673A">
      <w:pPr>
        <w:numPr>
          <w:ilvl w:val="0"/>
          <w:numId w:val="0"/>
        </w:numPr>
        <w:spacing w:before="156" w:beforeLines="50" w:after="156" w:afterLines="50" w:line="240" w:lineRule="auto"/>
        <w:rPr>
          <w:rFonts w:hint="eastAsia" w:ascii="黑体" w:hAnsi="黑体" w:eastAsia="黑体" w:cs="Times New Roman"/>
          <w:szCs w:val="21"/>
        </w:rPr>
      </w:pPr>
      <w:r>
        <w:rPr>
          <w:rFonts w:hint="eastAsia" w:ascii="黑体" w:hAnsi="黑体" w:eastAsia="黑体" w:cs="Times New Roman"/>
          <w:szCs w:val="21"/>
        </w:rPr>
        <w:t>7.2 运输</w:t>
      </w:r>
    </w:p>
    <w:p w14:paraId="4C0E10CF">
      <w:pPr>
        <w:numPr>
          <w:ilvl w:val="0"/>
          <w:numId w:val="0"/>
        </w:numPr>
        <w:spacing w:line="360" w:lineRule="auto"/>
        <w:ind w:firstLine="420" w:firstLineChars="200"/>
        <w:rPr>
          <w:rFonts w:ascii="宋体" w:hAnsi="Courier New" w:eastAsia="宋体" w:cs="Courier New"/>
          <w:szCs w:val="21"/>
          <w14:ligatures w14:val="none"/>
        </w:rPr>
      </w:pPr>
      <w:r>
        <w:rPr>
          <w:rFonts w:hint="eastAsia" w:ascii="宋体" w:hAnsi="Courier New" w:eastAsia="宋体" w:cs="Courier New"/>
          <w:szCs w:val="21"/>
          <w14:ligatures w14:val="none"/>
        </w:rPr>
        <w:t>长途运输应采用冷链运输，并符合GH/T 1342的要求。</w:t>
      </w:r>
    </w:p>
    <w:p w14:paraId="52A7AEE3">
      <w:pPr>
        <w:pStyle w:val="41"/>
        <w:rPr>
          <w:rFonts w:hint="eastAsia" w:ascii="黑体" w:hAnsi="黑体"/>
        </w:rPr>
      </w:pPr>
      <w:r>
        <w:rPr>
          <w:rFonts w:hint="eastAsia" w:ascii="黑体" w:hAnsi="黑体"/>
        </w:rPr>
        <w:t>7</w:t>
      </w:r>
      <w:r>
        <w:rPr>
          <w:rFonts w:ascii="黑体" w:hAnsi="黑体"/>
        </w:rPr>
        <w:t>.</w:t>
      </w:r>
      <w:r>
        <w:rPr>
          <w:rFonts w:hint="eastAsia" w:ascii="黑体" w:hAnsi="黑体"/>
        </w:rPr>
        <w:t>3</w:t>
      </w:r>
      <w:r>
        <w:rPr>
          <w:rFonts w:ascii="黑体" w:hAnsi="黑体"/>
        </w:rPr>
        <w:t xml:space="preserve"> 贮藏保鲜</w:t>
      </w:r>
    </w:p>
    <w:p w14:paraId="05ED2491">
      <w:pPr>
        <w:pStyle w:val="3"/>
        <w:tabs>
          <w:tab w:val="clear" w:pos="6480"/>
        </w:tabs>
        <w:spacing w:before="50" w:after="50"/>
        <w:ind w:left="0" w:firstLine="420" w:firstLineChars="200"/>
        <w:pPrChange w:id="62" w:author="pendy" w:date="2025-05-09T14:46:47Z">
          <w:pPr>
            <w:pStyle w:val="3"/>
            <w:tabs>
              <w:tab w:val="clear" w:pos="6480"/>
            </w:tabs>
            <w:spacing w:before="50" w:after="50"/>
            <w:ind w:firstLine="420" w:firstLineChars="200"/>
          </w:pPr>
        </w:pPrChange>
      </w:pPr>
      <w:bookmarkStart w:id="3" w:name="_GoBack"/>
      <w:r>
        <w:rPr>
          <w:rFonts w:hAnsi="宋体" w:cs="Times New Roman"/>
          <w:color w:val="00000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1017270</wp:posOffset>
                </wp:positionV>
                <wp:extent cx="1800225" cy="0"/>
                <wp:effectExtent l="0" t="0" r="0" b="0"/>
                <wp:wrapNone/>
                <wp:docPr id="1650425318"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ln>
                      </wps:spPr>
                      <wps:bodyPr/>
                    </wps:wsp>
                  </a:graphicData>
                </a:graphic>
              </wp:anchor>
            </w:drawing>
          </mc:Choice>
          <mc:Fallback>
            <w:pict>
              <v:line id="直接连接符 23" o:spid="_x0000_s1026" o:spt="20" style="position:absolute;left:0pt;margin-top:80.1pt;height:0pt;width:141.75pt;mso-position-horizontal:center;mso-position-horizontal-relative:margin;z-index:251670528;mso-width-relative:page;mso-height-relative:page;" filled="f" stroked="t" coordsize="21600,21600" o:gfxdata="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6ny8TV&#10;AAAACAEAAA8AAAAAAAAAAQAgAAAAIgAAAGRycy9kb3ducmV2LnhtbFBLAQIUABQAAAAIAIdO4kCM&#10;Bjw26gEAALQDAAAOAAAAAAAAAAEAIAAAACQBAABkcnMvZTJvRG9jLnhtbFBLBQYAAAAABgAGAFkB&#10;AACABQAAAAA=&#10;">
                <v:fill on="f" focussize="0,0"/>
                <v:stroke color="#000000" joinstyle="round"/>
                <v:imagedata o:title=""/>
                <o:lock v:ext="edit" aspectratio="f"/>
              </v:line>
            </w:pict>
          </mc:Fallback>
        </mc:AlternateContent>
      </w:r>
      <w:r>
        <w:t>果实采收后，应先进行分级。然后，采用水果网套和泡沫箱进行包装，并在泡沫箱上打几个孔，以保持良好通气性。将包装好的果实放置在冷库中贮藏，温度控制在6</w:t>
      </w:r>
      <w:r>
        <w:rPr>
          <w:rFonts w:ascii="Cambria Math" w:hAnsi="Cambria Math" w:cs="Cambria Math"/>
        </w:rPr>
        <w:t>℃</w:t>
      </w:r>
      <w:r>
        <w:t>～10</w:t>
      </w:r>
      <w:r>
        <w:rPr>
          <w:rFonts w:ascii="Cambria Math" w:hAnsi="Cambria Math" w:cs="Cambria Math"/>
        </w:rPr>
        <w:t>℃</w:t>
      </w:r>
      <w:r>
        <w:t>，湿度保持在40%～50%。</w:t>
      </w:r>
    </w:p>
    <w:bookmarkEnd w:id="3"/>
    <w:sectPr>
      <w:headerReference r:id="rId15" w:type="default"/>
      <w:footerReference r:id="rId16" w:type="default"/>
      <w:pgSz w:w="11906" w:h="16838"/>
      <w:pgMar w:top="1440" w:right="1701" w:bottom="1440" w:left="1701" w:header="1417" w:footer="85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E000">
    <w:pPr>
      <w:pStyle w:val="31"/>
      <w:rPr>
        <w:rStyle w:val="1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80E9D">
                          <w:pPr>
                            <w:pStyle w:val="31"/>
                          </w:pPr>
                          <w:r>
                            <w:fldChar w:fldCharType="begin"/>
                          </w:r>
                          <w:r>
                            <w:rPr>
                              <w:rStyle w:val="11"/>
                            </w:rPr>
                            <w:instrText xml:space="preserve">PAGE  </w:instrText>
                          </w:r>
                          <w:r>
                            <w:fldChar w:fldCharType="separate"/>
                          </w:r>
                          <w:r>
                            <w:rPr>
                              <w:rStyle w:val="11"/>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980E9D">
                    <w:pPr>
                      <w:pStyle w:val="31"/>
                    </w:pPr>
                    <w:r>
                      <w:fldChar w:fldCharType="begin"/>
                    </w:r>
                    <w:r>
                      <w:rPr>
                        <w:rStyle w:val="11"/>
                      </w:rPr>
                      <w:instrText xml:space="preserve">PAGE  </w:instrText>
                    </w:r>
                    <w:r>
                      <w:fldChar w:fldCharType="separate"/>
                    </w:r>
                    <w:r>
                      <w:rPr>
                        <w:rStyle w:val="11"/>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B0B9">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II</w:t>
    </w:r>
    <w:r>
      <w:fldChar w:fldCharType="end"/>
    </w:r>
  </w:p>
  <w:p w14:paraId="0C096886">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A69">
    <w:pPr>
      <w:pStyle w:val="5"/>
      <w:numPr>
        <w:ilvl w:val="0"/>
        <w:numId w:val="0"/>
      </w:numPr>
      <w:tabs>
        <w:tab w:val="left" w:pos="9012"/>
        <w:tab w:val="right" w:pos="9758"/>
      </w:tabs>
      <w:rPr>
        <w:rFonts w:hint="eastAsia" w:ascii="宋体" w:hAnsi="宋体" w:eastAsia="宋体" w:cs="Times New Roman"/>
      </w:rPr>
    </w:pP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r>
      <w:rPr>
        <w:rFonts w:hint="eastAsia" w:ascii="宋体" w:hAnsi="宋体" w:eastAsia="宋体" w:cs="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5C72">
    <w:pPr>
      <w:pStyle w:val="5"/>
      <w:numPr>
        <w:ilvl w:val="0"/>
        <w:numId w:val="0"/>
      </w:numPr>
      <w:ind w:left="6480"/>
      <w:jc w:val="right"/>
      <w:rPr>
        <w:rFonts w:ascii="Times New Roman" w:hAnsi="Times New Roman" w:cs="Times New Roman"/>
      </w:rPr>
    </w:pPr>
    <w:sdt>
      <w:sdtPr>
        <w:id w:val="1624193871"/>
      </w:sdtPr>
      <w:sdtEndPr>
        <w:rPr>
          <w:rFonts w:ascii="Times New Roman" w:hAnsi="Times New Roman" w:cs="Times New Roman"/>
        </w:rPr>
      </w:sdtEndPr>
      <w:sdtContent>
        <w:r>
          <w:rPr>
            <w:rFonts w:hint="eastAsia" w:ascii="Times New Roman" w:hAnsi="Times New Roman" w:cs="Times New Roman"/>
          </w:rPr>
          <w:t>Ⅰ</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ECFA3">
    <w:pPr>
      <w:pStyle w:val="5"/>
      <w:numPr>
        <w:ilvl w:val="0"/>
        <w:numId w:val="0"/>
      </w:numPr>
      <w:jc w:val="right"/>
      <w:rPr>
        <w:rFonts w:hint="eastAsia" w:ascii="宋体" w:hAnsi="宋体"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62FA">
    <w:pPr>
      <w:pStyle w:val="5"/>
      <w:numPr>
        <w:ilvl w:val="0"/>
        <w:numId w:val="0"/>
      </w:numPr>
      <w:spacing w:after="0" w:line="240" w:lineRule="auto"/>
      <w:jc w:val="right"/>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posOffset>1546860</wp:posOffset>
              </wp:positionH>
              <wp:positionV relativeFrom="paragraph">
                <wp:posOffset>-30480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55057">
                          <w:pPr>
                            <w:pStyle w:val="5"/>
                            <w:numPr>
                              <w:ilvl w:val="8"/>
                              <w:numId w:val="0"/>
                            </w:numPr>
                            <w:ind w:left="6480" w:hanging="72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21.8pt;margin-top:-2.4pt;height:144pt;width:144pt;mso-position-horizontal-relative:margin;mso-wrap-style:none;z-index:251660288;mso-width-relative:page;mso-height-relative:page;" filled="f" stroked="f" coordsize="21600,21600" o:gfxdata="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0+i0/WAAAACgEAAA8AAAAAAAAAAQAgAAAAIgAAAGRycy9kb3ducmV2LnhtbFBLAQIUABQA&#10;AAAIAIdO4kCaRnGMKwIAAFcEAAAOAAAAAAAAAAEAIAAAACUBAABkcnMvZTJvRG9jLnhtbFBLBQYA&#10;AAAABgAGAFkBAADCBQAAAAA=&#10;">
              <v:fill on="f" focussize="0,0"/>
              <v:stroke on="f" weight="0.5pt"/>
              <v:imagedata o:title=""/>
              <o:lock v:ext="edit" aspectratio="f"/>
              <v:textbox inset="0mm,0mm,0mm,0mm" style="mso-fit-shape-to-text:t;">
                <w:txbxContent>
                  <w:p w14:paraId="12255057">
                    <w:pPr>
                      <w:pStyle w:val="5"/>
                      <w:numPr>
                        <w:ilvl w:val="8"/>
                        <w:numId w:val="0"/>
                      </w:numPr>
                      <w:ind w:left="6480" w:hanging="72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sdt>
      <w:sdtPr>
        <w:id w:val="147452509"/>
        <w:showingPlcHdr/>
      </w:sdtPr>
      <w:sdtEndPr>
        <w:rPr>
          <w:rFonts w:ascii="Times New Roman" w:hAnsi="Times New Roman" w:cs="Times New Roman"/>
        </w:rPr>
      </w:sdtEndPr>
      <w:sdtContent>
        <w:r>
          <w:rPr>
            <w:rFonts w:hint="eastAsia"/>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06A9">
    <w:pPr>
      <w:pStyle w:val="24"/>
    </w:pPr>
    <w:r>
      <w:rPr>
        <w:sz w:val="21"/>
        <w:szCs w:val="21"/>
      </w:rPr>
      <w:t>DB</w:t>
    </w:r>
    <w:r>
      <w:rPr>
        <w:rFonts w:hint="eastAsia"/>
        <w:sz w:val="21"/>
        <w:szCs w:val="21"/>
      </w:rPr>
      <w:t>4452</w:t>
    </w:r>
    <w:r>
      <w:rPr>
        <w:sz w:val="21"/>
        <w:szCs w:val="21"/>
      </w:rPr>
      <w:t xml:space="preserve">/T </w:t>
    </w:r>
    <w:r>
      <w:rPr>
        <w:rFonts w:hint="eastAsia"/>
        <w:sz w:val="21"/>
        <w:szCs w:val="21"/>
      </w:rPr>
      <w:t>0-</w:t>
    </w:r>
    <w:r>
      <w:rPr>
        <w:sz w:val="21"/>
        <w:szCs w:val="21"/>
      </w:rPr>
      <w:t>20</w:t>
    </w:r>
    <w:r>
      <w:rPr>
        <w:rFonts w:hint="eastAsia"/>
        <w:sz w:val="21"/>
        <w:szCs w:val="21"/>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10D9">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84EDF">
    <w:pPr>
      <w:pStyle w:val="24"/>
    </w:pPr>
  </w:p>
  <w:p w14:paraId="7F26923B">
    <w:pPr>
      <w:pStyle w:val="24"/>
    </w:pPr>
  </w:p>
  <w:p w14:paraId="05C4DDBE">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6A88">
    <w:pPr>
      <w:pStyle w:val="24"/>
    </w:pPr>
    <w:r>
      <w:rPr>
        <w:sz w:val="21"/>
        <w:szCs w:val="21"/>
      </w:rPr>
      <w:t>DB</w:t>
    </w:r>
    <w:r>
      <w:rPr>
        <w:rFonts w:hint="eastAsia"/>
        <w:sz w:val="21"/>
        <w:szCs w:val="21"/>
      </w:rPr>
      <w:t>4452</w:t>
    </w:r>
    <w:r>
      <w:rPr>
        <w:sz w:val="21"/>
        <w:szCs w:val="21"/>
      </w:rPr>
      <w:t xml:space="preserve">/T </w:t>
    </w:r>
    <w:r>
      <w:rPr>
        <w:rFonts w:hint="eastAsia"/>
        <w:sz w:val="21"/>
        <w:szCs w:val="21"/>
      </w:rPr>
      <w:t>XX-</w:t>
    </w:r>
    <w:r>
      <w:rPr>
        <w:sz w:val="21"/>
        <w:szCs w:val="21"/>
      </w:rPr>
      <w:t>20</w:t>
    </w:r>
    <w:r>
      <w:rPr>
        <w:rFonts w:hint="eastAsia"/>
        <w:sz w:val="21"/>
        <w:szCs w:val="21"/>
      </w:rPr>
      <w:t>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B92F">
    <w:pPr>
      <w:pStyle w:val="24"/>
    </w:pPr>
    <w:r>
      <w:rPr>
        <w:sz w:val="21"/>
        <w:szCs w:val="21"/>
      </w:rPr>
      <w:t>DB</w:t>
    </w:r>
    <w:r>
      <w:rPr>
        <w:rFonts w:hint="eastAsia"/>
        <w:sz w:val="21"/>
        <w:szCs w:val="21"/>
      </w:rPr>
      <w:t>4452</w:t>
    </w:r>
    <w:r>
      <w:rPr>
        <w:sz w:val="21"/>
        <w:szCs w:val="21"/>
      </w:rPr>
      <w:t xml:space="preserve">/T </w:t>
    </w:r>
    <w:r>
      <w:rPr>
        <w:rFonts w:hint="eastAsia"/>
        <w:sz w:val="21"/>
        <w:szCs w:val="21"/>
      </w:rPr>
      <w:t>XX-</w:t>
    </w:r>
    <w:r>
      <w:rPr>
        <w:sz w:val="21"/>
        <w:szCs w:val="21"/>
      </w:rPr>
      <w:t>20</w:t>
    </w:r>
    <w:r>
      <w:rPr>
        <w:rFonts w:hint="eastAsia"/>
        <w:sz w:val="21"/>
        <w:szCs w:val="21"/>
      </w:rPr>
      <w:t>25</w:t>
    </w:r>
  </w:p>
  <w:p w14:paraId="625B26A6">
    <w:pPr>
      <w:pStyle w:val="24"/>
    </w:pPr>
  </w:p>
  <w:p w14:paraId="5DE6A1B1">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F88C">
    <w:pPr>
      <w:pStyle w:val="24"/>
    </w:pPr>
    <w:r>
      <w:rPr>
        <w:sz w:val="21"/>
        <w:szCs w:val="21"/>
      </w:rPr>
      <w:t>DB</w:t>
    </w:r>
    <w:r>
      <w:rPr>
        <w:rFonts w:hint="eastAsia"/>
        <w:sz w:val="21"/>
        <w:szCs w:val="21"/>
      </w:rPr>
      <w:t>4452</w:t>
    </w:r>
    <w:r>
      <w:rPr>
        <w:sz w:val="21"/>
        <w:szCs w:val="21"/>
      </w:rPr>
      <w:t xml:space="preserve">/T </w:t>
    </w:r>
    <w:r>
      <w:rPr>
        <w:rFonts w:hint="eastAsia"/>
        <w:sz w:val="21"/>
        <w:szCs w:val="21"/>
      </w:rPr>
      <w:t>XX-</w:t>
    </w:r>
    <w:r>
      <w:rPr>
        <w:sz w:val="21"/>
        <w:szCs w:val="21"/>
      </w:rPr>
      <w:t>20</w:t>
    </w:r>
    <w:r>
      <w:rPr>
        <w:rFonts w:hint="eastAsia"/>
        <w:sz w:val="21"/>
        <w:szCs w:val="21"/>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52D18"/>
    <w:multiLevelType w:val="multilevel"/>
    <w:tmpl w:val="56652D1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pStyle w:val="1"/>
      <w:lvlText w:val="%9."/>
      <w:lvlJc w:val="left"/>
      <w:pPr>
        <w:tabs>
          <w:tab w:val="left" w:pos="8799"/>
        </w:tabs>
        <w:ind w:left="8799"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dy">
    <w15:presenceInfo w15:providerId="WPS Office" w15:userId="1615826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69"/>
    <w:rsid w:val="00002E0D"/>
    <w:rsid w:val="000065F1"/>
    <w:rsid w:val="00006EA3"/>
    <w:rsid w:val="0001040D"/>
    <w:rsid w:val="00011D76"/>
    <w:rsid w:val="00015C10"/>
    <w:rsid w:val="0003367A"/>
    <w:rsid w:val="00044772"/>
    <w:rsid w:val="00046982"/>
    <w:rsid w:val="00053FC9"/>
    <w:rsid w:val="00072BF0"/>
    <w:rsid w:val="00073967"/>
    <w:rsid w:val="00073D43"/>
    <w:rsid w:val="00082CF7"/>
    <w:rsid w:val="00092F94"/>
    <w:rsid w:val="0009653F"/>
    <w:rsid w:val="000A58EF"/>
    <w:rsid w:val="000B3EFC"/>
    <w:rsid w:val="000C7E29"/>
    <w:rsid w:val="000D09B3"/>
    <w:rsid w:val="000E19B8"/>
    <w:rsid w:val="000E7A09"/>
    <w:rsid w:val="00105E33"/>
    <w:rsid w:val="0011511F"/>
    <w:rsid w:val="00116D4A"/>
    <w:rsid w:val="00121A22"/>
    <w:rsid w:val="001242E8"/>
    <w:rsid w:val="00136044"/>
    <w:rsid w:val="00141682"/>
    <w:rsid w:val="00143FCD"/>
    <w:rsid w:val="0015615A"/>
    <w:rsid w:val="001673BE"/>
    <w:rsid w:val="00171B14"/>
    <w:rsid w:val="0017522F"/>
    <w:rsid w:val="00195C7E"/>
    <w:rsid w:val="001B47B3"/>
    <w:rsid w:val="001C08D2"/>
    <w:rsid w:val="001C7C0E"/>
    <w:rsid w:val="001D3732"/>
    <w:rsid w:val="001E1A03"/>
    <w:rsid w:val="002078E0"/>
    <w:rsid w:val="00213DA3"/>
    <w:rsid w:val="00217DDE"/>
    <w:rsid w:val="00220032"/>
    <w:rsid w:val="002463D6"/>
    <w:rsid w:val="002547C1"/>
    <w:rsid w:val="0026316C"/>
    <w:rsid w:val="002634C0"/>
    <w:rsid w:val="002668D2"/>
    <w:rsid w:val="0027079A"/>
    <w:rsid w:val="002776FA"/>
    <w:rsid w:val="002919F0"/>
    <w:rsid w:val="00293BF5"/>
    <w:rsid w:val="002A0773"/>
    <w:rsid w:val="002A20E0"/>
    <w:rsid w:val="002A7082"/>
    <w:rsid w:val="002B25D1"/>
    <w:rsid w:val="002B6B01"/>
    <w:rsid w:val="002C7709"/>
    <w:rsid w:val="002D289E"/>
    <w:rsid w:val="002D634C"/>
    <w:rsid w:val="002D6A69"/>
    <w:rsid w:val="002E4EDB"/>
    <w:rsid w:val="002E7763"/>
    <w:rsid w:val="003017C1"/>
    <w:rsid w:val="00304647"/>
    <w:rsid w:val="00313F98"/>
    <w:rsid w:val="00316B17"/>
    <w:rsid w:val="00330DA7"/>
    <w:rsid w:val="003355CE"/>
    <w:rsid w:val="0035034D"/>
    <w:rsid w:val="00350EDF"/>
    <w:rsid w:val="00354FB7"/>
    <w:rsid w:val="0036091F"/>
    <w:rsid w:val="0036415A"/>
    <w:rsid w:val="00380C1C"/>
    <w:rsid w:val="003833CD"/>
    <w:rsid w:val="003878DB"/>
    <w:rsid w:val="00393E5E"/>
    <w:rsid w:val="00396935"/>
    <w:rsid w:val="003A225C"/>
    <w:rsid w:val="003A4942"/>
    <w:rsid w:val="003B323A"/>
    <w:rsid w:val="003C3EA5"/>
    <w:rsid w:val="003D19C1"/>
    <w:rsid w:val="003D3F37"/>
    <w:rsid w:val="003D3F4D"/>
    <w:rsid w:val="003D51A1"/>
    <w:rsid w:val="003E225C"/>
    <w:rsid w:val="003E6895"/>
    <w:rsid w:val="00400CCE"/>
    <w:rsid w:val="004015A3"/>
    <w:rsid w:val="004074A1"/>
    <w:rsid w:val="00412B7B"/>
    <w:rsid w:val="0042330B"/>
    <w:rsid w:val="00426060"/>
    <w:rsid w:val="00433067"/>
    <w:rsid w:val="0043727D"/>
    <w:rsid w:val="00455BE6"/>
    <w:rsid w:val="00461582"/>
    <w:rsid w:val="00461C21"/>
    <w:rsid w:val="004638FE"/>
    <w:rsid w:val="00471EB6"/>
    <w:rsid w:val="00480E3C"/>
    <w:rsid w:val="00481624"/>
    <w:rsid w:val="004908F7"/>
    <w:rsid w:val="00490E29"/>
    <w:rsid w:val="004948C5"/>
    <w:rsid w:val="004B74F9"/>
    <w:rsid w:val="004D2888"/>
    <w:rsid w:val="004D2CB9"/>
    <w:rsid w:val="004E3DE2"/>
    <w:rsid w:val="004E50AC"/>
    <w:rsid w:val="00505A58"/>
    <w:rsid w:val="00513CF4"/>
    <w:rsid w:val="00524ED7"/>
    <w:rsid w:val="00543A46"/>
    <w:rsid w:val="00547723"/>
    <w:rsid w:val="005556E2"/>
    <w:rsid w:val="00561AE4"/>
    <w:rsid w:val="005864C6"/>
    <w:rsid w:val="00592172"/>
    <w:rsid w:val="00594CA1"/>
    <w:rsid w:val="005A012C"/>
    <w:rsid w:val="005A2D53"/>
    <w:rsid w:val="005A69F5"/>
    <w:rsid w:val="005B0CB9"/>
    <w:rsid w:val="005C0B90"/>
    <w:rsid w:val="005C5FE6"/>
    <w:rsid w:val="005D39DC"/>
    <w:rsid w:val="005D4BC9"/>
    <w:rsid w:val="005E0832"/>
    <w:rsid w:val="005F2E03"/>
    <w:rsid w:val="00611A9F"/>
    <w:rsid w:val="00630529"/>
    <w:rsid w:val="0063234D"/>
    <w:rsid w:val="00636A0F"/>
    <w:rsid w:val="00650373"/>
    <w:rsid w:val="006562C9"/>
    <w:rsid w:val="00661100"/>
    <w:rsid w:val="00674296"/>
    <w:rsid w:val="00690B8E"/>
    <w:rsid w:val="00692C71"/>
    <w:rsid w:val="006E5D75"/>
    <w:rsid w:val="00703367"/>
    <w:rsid w:val="007260FF"/>
    <w:rsid w:val="00742FB5"/>
    <w:rsid w:val="00772D61"/>
    <w:rsid w:val="0078630B"/>
    <w:rsid w:val="007958ED"/>
    <w:rsid w:val="007A1692"/>
    <w:rsid w:val="007A1EA3"/>
    <w:rsid w:val="007B46DE"/>
    <w:rsid w:val="007C2FAE"/>
    <w:rsid w:val="007C6DA9"/>
    <w:rsid w:val="007E5DBC"/>
    <w:rsid w:val="007F6752"/>
    <w:rsid w:val="007F6933"/>
    <w:rsid w:val="0080297C"/>
    <w:rsid w:val="00817509"/>
    <w:rsid w:val="008214DD"/>
    <w:rsid w:val="00825B20"/>
    <w:rsid w:val="00880666"/>
    <w:rsid w:val="00887760"/>
    <w:rsid w:val="00891E41"/>
    <w:rsid w:val="00892E6C"/>
    <w:rsid w:val="00893F95"/>
    <w:rsid w:val="008B7E9F"/>
    <w:rsid w:val="008D2009"/>
    <w:rsid w:val="008D3253"/>
    <w:rsid w:val="008D35E6"/>
    <w:rsid w:val="008D589F"/>
    <w:rsid w:val="008D705D"/>
    <w:rsid w:val="00914657"/>
    <w:rsid w:val="00915D66"/>
    <w:rsid w:val="0091759B"/>
    <w:rsid w:val="0092269C"/>
    <w:rsid w:val="00922CFD"/>
    <w:rsid w:val="00962512"/>
    <w:rsid w:val="00971AC6"/>
    <w:rsid w:val="00975FC6"/>
    <w:rsid w:val="009760C5"/>
    <w:rsid w:val="00982BAA"/>
    <w:rsid w:val="0098644B"/>
    <w:rsid w:val="00987286"/>
    <w:rsid w:val="00991C7A"/>
    <w:rsid w:val="009A17EF"/>
    <w:rsid w:val="009A466D"/>
    <w:rsid w:val="009A7385"/>
    <w:rsid w:val="009C0324"/>
    <w:rsid w:val="009D3F37"/>
    <w:rsid w:val="009D5BB4"/>
    <w:rsid w:val="009E2B60"/>
    <w:rsid w:val="009F1A46"/>
    <w:rsid w:val="009F5A6F"/>
    <w:rsid w:val="00A20891"/>
    <w:rsid w:val="00A21D67"/>
    <w:rsid w:val="00A27A2F"/>
    <w:rsid w:val="00A27AE4"/>
    <w:rsid w:val="00A409D4"/>
    <w:rsid w:val="00A52452"/>
    <w:rsid w:val="00A54E72"/>
    <w:rsid w:val="00A735B0"/>
    <w:rsid w:val="00A7633F"/>
    <w:rsid w:val="00A96914"/>
    <w:rsid w:val="00AB26B6"/>
    <w:rsid w:val="00AB2926"/>
    <w:rsid w:val="00AB303A"/>
    <w:rsid w:val="00AB642D"/>
    <w:rsid w:val="00AC4F84"/>
    <w:rsid w:val="00AC72F7"/>
    <w:rsid w:val="00B07066"/>
    <w:rsid w:val="00B12B76"/>
    <w:rsid w:val="00B25729"/>
    <w:rsid w:val="00B56929"/>
    <w:rsid w:val="00B63B8E"/>
    <w:rsid w:val="00B64B5A"/>
    <w:rsid w:val="00B66AA1"/>
    <w:rsid w:val="00B67233"/>
    <w:rsid w:val="00B714AB"/>
    <w:rsid w:val="00B75902"/>
    <w:rsid w:val="00B91B59"/>
    <w:rsid w:val="00B954E6"/>
    <w:rsid w:val="00BA71C0"/>
    <w:rsid w:val="00BB014D"/>
    <w:rsid w:val="00BB2FE3"/>
    <w:rsid w:val="00BB5B5F"/>
    <w:rsid w:val="00BB6923"/>
    <w:rsid w:val="00BD3DAF"/>
    <w:rsid w:val="00BF0C1D"/>
    <w:rsid w:val="00BF2AA6"/>
    <w:rsid w:val="00BF57F5"/>
    <w:rsid w:val="00BF69AF"/>
    <w:rsid w:val="00C04CC9"/>
    <w:rsid w:val="00C24678"/>
    <w:rsid w:val="00C249D2"/>
    <w:rsid w:val="00C3254A"/>
    <w:rsid w:val="00C434C7"/>
    <w:rsid w:val="00C477E4"/>
    <w:rsid w:val="00C503EB"/>
    <w:rsid w:val="00C6687B"/>
    <w:rsid w:val="00C73FA8"/>
    <w:rsid w:val="00C90B3A"/>
    <w:rsid w:val="00CA538A"/>
    <w:rsid w:val="00CB56FA"/>
    <w:rsid w:val="00CD0929"/>
    <w:rsid w:val="00CD1487"/>
    <w:rsid w:val="00CE202A"/>
    <w:rsid w:val="00CF7469"/>
    <w:rsid w:val="00D03AF2"/>
    <w:rsid w:val="00D04B95"/>
    <w:rsid w:val="00D13A60"/>
    <w:rsid w:val="00D2593D"/>
    <w:rsid w:val="00D439DC"/>
    <w:rsid w:val="00D5409A"/>
    <w:rsid w:val="00D612F9"/>
    <w:rsid w:val="00D66B23"/>
    <w:rsid w:val="00D762A5"/>
    <w:rsid w:val="00D828B1"/>
    <w:rsid w:val="00D92EE8"/>
    <w:rsid w:val="00DA5480"/>
    <w:rsid w:val="00DB5778"/>
    <w:rsid w:val="00DC247F"/>
    <w:rsid w:val="00DF1A0C"/>
    <w:rsid w:val="00DF2FBE"/>
    <w:rsid w:val="00E0777B"/>
    <w:rsid w:val="00E13384"/>
    <w:rsid w:val="00E17903"/>
    <w:rsid w:val="00E52D8D"/>
    <w:rsid w:val="00E530E9"/>
    <w:rsid w:val="00E54183"/>
    <w:rsid w:val="00E602F4"/>
    <w:rsid w:val="00E85A69"/>
    <w:rsid w:val="00EA23E2"/>
    <w:rsid w:val="00EA4964"/>
    <w:rsid w:val="00EB2297"/>
    <w:rsid w:val="00ED281E"/>
    <w:rsid w:val="00EE5BEC"/>
    <w:rsid w:val="00EF6BE2"/>
    <w:rsid w:val="00F43AE9"/>
    <w:rsid w:val="00F468F3"/>
    <w:rsid w:val="00F7121E"/>
    <w:rsid w:val="00F77793"/>
    <w:rsid w:val="00F8259F"/>
    <w:rsid w:val="00F84CC4"/>
    <w:rsid w:val="00F973BB"/>
    <w:rsid w:val="00F975FE"/>
    <w:rsid w:val="00F979DB"/>
    <w:rsid w:val="00FA347E"/>
    <w:rsid w:val="00FA4262"/>
    <w:rsid w:val="00FC355E"/>
    <w:rsid w:val="00FC6AC1"/>
    <w:rsid w:val="00FC783C"/>
    <w:rsid w:val="00FD0207"/>
    <w:rsid w:val="00FD38AA"/>
    <w:rsid w:val="00FD4A2D"/>
    <w:rsid w:val="00FD4FB5"/>
    <w:rsid w:val="00FE074D"/>
    <w:rsid w:val="00FF5B6D"/>
    <w:rsid w:val="01151B90"/>
    <w:rsid w:val="08C870F1"/>
    <w:rsid w:val="0BF16C73"/>
    <w:rsid w:val="0BF663DE"/>
    <w:rsid w:val="20B5265E"/>
    <w:rsid w:val="40F9547B"/>
    <w:rsid w:val="4610178D"/>
    <w:rsid w:val="503A47C6"/>
    <w:rsid w:val="54A848AF"/>
    <w:rsid w:val="558748A2"/>
    <w:rsid w:val="5CB33D12"/>
    <w:rsid w:val="60751A3B"/>
    <w:rsid w:val="62503F32"/>
    <w:rsid w:val="632D6ACD"/>
    <w:rsid w:val="645714FF"/>
    <w:rsid w:val="652F0DE7"/>
    <w:rsid w:val="66A640FC"/>
    <w:rsid w:val="674E0C28"/>
    <w:rsid w:val="69425BE9"/>
    <w:rsid w:val="6D664075"/>
    <w:rsid w:val="6E1E4715"/>
    <w:rsid w:val="70427C7B"/>
    <w:rsid w:val="70E87D2E"/>
    <w:rsid w:val="75472D0C"/>
    <w:rsid w:val="79B603C1"/>
    <w:rsid w:val="7A643E1C"/>
    <w:rsid w:val="7E0C2925"/>
    <w:rsid w:val="7E355268"/>
    <w:rsid w:val="7FA14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8"/>
        <w:numId w:val="1"/>
      </w:numPr>
      <w:tabs>
        <w:tab w:val="left" w:pos="6480"/>
        <w:tab w:val="clear" w:pos="8799"/>
      </w:tabs>
      <w:spacing w:after="160" w:line="278" w:lineRule="auto"/>
      <w:ind w:left="648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link w:val="37"/>
    <w:semiHidden/>
    <w:qFormat/>
    <w:uiPriority w:val="0"/>
    <w:pPr>
      <w:numPr>
        <w:ilvl w:val="0"/>
        <w:numId w:val="0"/>
      </w:numPr>
      <w:spacing w:after="0" w:line="240" w:lineRule="auto"/>
    </w:pPr>
    <w:rPr>
      <w:rFonts w:ascii="宋体" w:hAnsi="Courier New" w:eastAsia="宋体" w:cs="Courier New"/>
      <w:szCs w:val="21"/>
      <w14:ligatures w14:val="none"/>
    </w:rPr>
  </w:style>
  <w:style w:type="paragraph" w:styleId="4">
    <w:name w:val="Date"/>
    <w:basedOn w:val="1"/>
    <w:next w:val="1"/>
    <w:link w:val="16"/>
    <w:semiHidden/>
    <w:unhideWhenUsed/>
    <w:qFormat/>
    <w:uiPriority w:val="99"/>
    <w:pPr>
      <w:ind w:left="100" w:leftChars="25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semiHidden/>
    <w:qFormat/>
    <w:uiPriority w:val="0"/>
    <w:rPr>
      <w:rFonts w:ascii="Times New Roman" w:hAnsi="Times New Roman" w:eastAsia="宋体"/>
      <w:sz w:val="18"/>
    </w:rPr>
  </w:style>
  <w:style w:type="character" w:styleId="12">
    <w:name w:val="annotation reference"/>
    <w:basedOn w:val="10"/>
    <w:semiHidden/>
    <w:unhideWhenUsed/>
    <w:qFormat/>
    <w:uiPriority w:val="99"/>
    <w:rPr>
      <w:sz w:val="21"/>
      <w:szCs w:val="21"/>
    </w:rPr>
  </w:style>
  <w:style w:type="paragraph" w:customStyle="1" w:styleId="13">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character" w:customStyle="1" w:styleId="14">
    <w:name w:val="批注文字 字符"/>
    <w:basedOn w:val="10"/>
    <w:link w:val="2"/>
    <w:qFormat/>
    <w:uiPriority w:val="99"/>
  </w:style>
  <w:style w:type="character" w:customStyle="1" w:styleId="15">
    <w:name w:val="批注主题 字符"/>
    <w:basedOn w:val="14"/>
    <w:link w:val="7"/>
    <w:semiHidden/>
    <w:qFormat/>
    <w:uiPriority w:val="99"/>
    <w:rPr>
      <w:b/>
      <w:bCs/>
    </w:rPr>
  </w:style>
  <w:style w:type="character" w:customStyle="1" w:styleId="16">
    <w:name w:val="日期 字符"/>
    <w:basedOn w:val="10"/>
    <w:link w:val="4"/>
    <w:semiHidden/>
    <w:qFormat/>
    <w:uiPriority w:val="99"/>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0">
    <w:name w:val="发布"/>
    <w:qFormat/>
    <w:uiPriority w:val="0"/>
    <w:rPr>
      <w:rFonts w:ascii="黑体" w:eastAsia="黑体"/>
      <w:spacing w:val="22"/>
      <w:w w:val="100"/>
      <w:position w:val="3"/>
      <w:sz w:val="28"/>
    </w:rPr>
  </w:style>
  <w:style w:type="paragraph" w:customStyle="1" w:styleId="2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8">
    <w:name w:val="实施日期"/>
    <w:basedOn w:val="29"/>
    <w:qFormat/>
    <w:uiPriority w:val="0"/>
    <w:pPr>
      <w:framePr w:hSpace="0" w:wrap="around" w:xAlign="right"/>
      <w:jc w:val="right"/>
    </w:pPr>
  </w:style>
  <w:style w:type="paragraph" w:customStyle="1" w:styleId="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5">
    <w:name w:val="标准书眉一"/>
    <w:qFormat/>
    <w:uiPriority w:val="0"/>
    <w:pPr>
      <w:jc w:val="both"/>
    </w:pPr>
    <w:rPr>
      <w:rFonts w:ascii="Times New Roman" w:hAnsi="Times New Roman" w:eastAsia="宋体" w:cs="Times New Roman"/>
      <w:lang w:val="en-US" w:eastAsia="zh-CN" w:bidi="ar-SA"/>
    </w:rPr>
  </w:style>
  <w:style w:type="paragraph" w:customStyle="1" w:styleId="3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37">
    <w:name w:val="纯文本 字符"/>
    <w:basedOn w:val="10"/>
    <w:link w:val="3"/>
    <w:semiHidden/>
    <w:qFormat/>
    <w:uiPriority w:val="0"/>
    <w:rPr>
      <w:rFonts w:ascii="宋体" w:hAnsi="Courier New" w:eastAsia="宋体" w:cs="Courier New"/>
      <w:kern w:val="2"/>
      <w:sz w:val="21"/>
      <w:szCs w:val="21"/>
    </w:rPr>
  </w:style>
  <w:style w:type="paragraph" w:customStyle="1" w:styleId="38">
    <w:name w:val="目次、标准名称标题"/>
    <w:basedOn w:val="36"/>
    <w:next w:val="1"/>
    <w:qFormat/>
    <w:uiPriority w:val="0"/>
    <w:pPr>
      <w:spacing w:line="460" w:lineRule="exact"/>
    </w:pPr>
  </w:style>
  <w:style w:type="paragraph" w:customStyle="1" w:styleId="39">
    <w:name w:val="章标题"/>
    <w:next w:val="1"/>
    <w:qFormat/>
    <w:uiPriority w:val="0"/>
    <w:pPr>
      <w:spacing w:before="50" w:beforeLines="50" w:after="50" w:afterLines="50"/>
      <w:ind w:left="142"/>
      <w:jc w:val="both"/>
      <w:outlineLvl w:val="1"/>
    </w:pPr>
    <w:rPr>
      <w:rFonts w:ascii="黑体" w:hAnsi="Times New Roman" w:eastAsia="黑体" w:cs="Times New Roman"/>
      <w:sz w:val="21"/>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一级条标题"/>
    <w:next w:val="40"/>
    <w:qFormat/>
    <w:uiPriority w:val="0"/>
    <w:pPr>
      <w:outlineLvl w:val="2"/>
    </w:pPr>
    <w:rPr>
      <w:rFonts w:ascii="Times New Roman" w:hAnsi="Times New Roman" w:eastAsia="黑体" w:cs="Times New Roman"/>
      <w:sz w:val="21"/>
      <w:lang w:val="en-US" w:eastAsia="zh-CN" w:bidi="ar-SA"/>
    </w:rPr>
  </w:style>
  <w:style w:type="paragraph" w:customStyle="1" w:styleId="42">
    <w:name w:val="二级条标题"/>
    <w:basedOn w:val="41"/>
    <w:next w:val="40"/>
    <w:qFormat/>
    <w:uiPriority w:val="0"/>
    <w:pPr>
      <w:outlineLvl w:val="3"/>
    </w:pPr>
  </w:style>
  <w:style w:type="paragraph" w:customStyle="1" w:styleId="43">
    <w:name w:val="Table Text"/>
    <w:basedOn w:val="1"/>
    <w:semiHidden/>
    <w:qFormat/>
    <w:uiPriority w:val="0"/>
    <w:pPr>
      <w:tabs>
        <w:tab w:val="left" w:pos="8799"/>
        <w:tab w:val="clear" w:pos="6480"/>
      </w:tabs>
    </w:pPr>
    <w:rPr>
      <w:rFonts w:ascii="宋体" w:hAnsi="宋体" w:eastAsia="宋体" w:cs="宋体"/>
      <w:sz w:val="20"/>
      <w:szCs w:val="20"/>
      <w:lang w:eastAsia="en-U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82DD9-5794-4725-BA37-25697D71FB9B}">
  <ds:schemaRefs/>
</ds:datastoreItem>
</file>

<file path=docProps/app.xml><?xml version="1.0" encoding="utf-8"?>
<Properties xmlns="http://schemas.openxmlformats.org/officeDocument/2006/extended-properties" xmlns:vt="http://schemas.openxmlformats.org/officeDocument/2006/docPropsVTypes">
  <Template>Normal</Template>
  <Pages>9</Pages>
  <Words>3658</Words>
  <Characters>4283</Characters>
  <Lines>152</Lines>
  <Paragraphs>177</Paragraphs>
  <TotalTime>23</TotalTime>
  <ScaleCrop>false</ScaleCrop>
  <LinksUpToDate>false</LinksUpToDate>
  <CharactersWithSpaces>4445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2025-05-06T02:14:00Z</dcterms:created>
  <dc:creator>庆礼 庄</dc:creator>
  <cp:lastModifiedBy>pendy</cp:lastModifiedBy>
  <cp:lastPrinted>2024-05-14T04:33:00Z</cp:lastPrinted>
  <dcterms:modified xsi:type="dcterms:W3CDTF">2025-05-09T06:46:53Z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eyJoZGlkIjoiMTNjMmE5YTcxYjM5Yzc2NDhhOTI4NmU2MThkMjAwNDEiLCJ1c2VySWQiOiIyNzc1OTYzMzMifQ==</vt:lpwstr>
  </property>
  <property fmtid="{D5CDD505-2E9C-101B-9397-08002B2CF9AE}" pid="4" name="ICV">
    <vt:lpwstr>4599A8BEF83D44849CD00E24C274C542_12</vt:lpwstr>
  </property>
</Properties>
</file>