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6A3" w:rsidRDefault="001D77BE" w:rsidP="001D77BE">
      <w:pPr>
        <w:jc w:val="left"/>
        <w:rPr>
          <w:rFonts w:ascii="黑体" w:eastAsia="黑体" w:hAnsi="黑体" w:cs="黑体"/>
          <w:sz w:val="32"/>
          <w:szCs w:val="32"/>
        </w:rPr>
      </w:pPr>
      <w:r w:rsidRPr="001D77BE">
        <w:rPr>
          <w:rFonts w:ascii="黑体" w:eastAsia="黑体" w:hAnsi="黑体" w:cs="黑体" w:hint="eastAsia"/>
          <w:sz w:val="32"/>
          <w:szCs w:val="32"/>
        </w:rPr>
        <w:t>附件：</w:t>
      </w:r>
    </w:p>
    <w:p w:rsidR="001D77BE" w:rsidRPr="001D77BE" w:rsidRDefault="001D77BE" w:rsidP="001D77BE">
      <w:pPr>
        <w:jc w:val="left"/>
        <w:rPr>
          <w:rFonts w:ascii="黑体" w:eastAsia="黑体" w:hAnsi="黑体" w:cs="黑体" w:hint="eastAsia"/>
          <w:sz w:val="32"/>
          <w:szCs w:val="32"/>
        </w:rPr>
      </w:pPr>
    </w:p>
    <w:p w:rsidR="009216A3" w:rsidRPr="00862443" w:rsidRDefault="001656AB">
      <w:pPr>
        <w:jc w:val="center"/>
        <w:rPr>
          <w:rFonts w:ascii="黑体" w:eastAsia="黑体" w:hAnsi="黑体" w:cs="黑体"/>
          <w:b/>
          <w:bCs/>
          <w:sz w:val="44"/>
          <w:szCs w:val="44"/>
        </w:rPr>
      </w:pPr>
      <w:r w:rsidRPr="00862443">
        <w:rPr>
          <w:rFonts w:ascii="黑体" w:eastAsia="黑体" w:hAnsi="黑体" w:cs="黑体" w:hint="eastAsia"/>
          <w:b/>
          <w:bCs/>
          <w:sz w:val="44"/>
          <w:szCs w:val="44"/>
        </w:rPr>
        <w:t>揭阳市建筑工程容积率计算办法</w:t>
      </w:r>
    </w:p>
    <w:p w:rsidR="009216A3" w:rsidRDefault="0042684A" w:rsidP="0042684A">
      <w:pPr>
        <w:jc w:val="center"/>
        <w:rPr>
          <w:rFonts w:ascii="楷体" w:eastAsia="楷体" w:hAnsi="楷体" w:cs="仿宋"/>
          <w:sz w:val="32"/>
          <w:szCs w:val="32"/>
        </w:rPr>
      </w:pPr>
      <w:bookmarkStart w:id="0" w:name="_GoBack"/>
      <w:bookmarkEnd w:id="0"/>
      <w:r w:rsidRPr="0042684A">
        <w:rPr>
          <w:rFonts w:ascii="楷体" w:eastAsia="楷体" w:hAnsi="楷体" w:cs="仿宋" w:hint="eastAsia"/>
          <w:sz w:val="32"/>
          <w:szCs w:val="32"/>
        </w:rPr>
        <w:t>（征求意见稿）</w:t>
      </w:r>
    </w:p>
    <w:p w:rsidR="00862443" w:rsidRPr="0042684A" w:rsidRDefault="00862443" w:rsidP="0042684A">
      <w:pPr>
        <w:jc w:val="center"/>
        <w:rPr>
          <w:rFonts w:ascii="楷体" w:eastAsia="楷体" w:hAnsi="楷体" w:cs="仿宋" w:hint="eastAsia"/>
          <w:sz w:val="32"/>
          <w:szCs w:val="32"/>
        </w:rPr>
      </w:pP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第一条</w:t>
      </w:r>
      <w:r w:rsidRPr="00943B08">
        <w:rPr>
          <w:rFonts w:ascii="仿宋_GB2312" w:eastAsia="仿宋_GB2312" w:hAnsi="仿宋" w:cs="仿宋" w:hint="eastAsia"/>
          <w:sz w:val="32"/>
          <w:szCs w:val="32"/>
        </w:rPr>
        <w:t xml:space="preserve">  为推进高质量发展，进一步优化营商环境、政务环境，规范</w:t>
      </w:r>
      <w:r w:rsidR="00AC25B4" w:rsidRPr="00943B08">
        <w:rPr>
          <w:rFonts w:ascii="仿宋_GB2312" w:eastAsia="仿宋_GB2312" w:hAnsi="仿宋" w:cs="仿宋" w:hint="eastAsia"/>
          <w:sz w:val="32"/>
          <w:szCs w:val="32"/>
        </w:rPr>
        <w:t>城乡</w:t>
      </w:r>
      <w:r w:rsidRPr="00943B08">
        <w:rPr>
          <w:rFonts w:ascii="仿宋_GB2312" w:eastAsia="仿宋_GB2312" w:hAnsi="仿宋" w:cs="仿宋" w:hint="eastAsia"/>
          <w:sz w:val="32"/>
          <w:szCs w:val="32"/>
        </w:rPr>
        <w:t>规划管理</w:t>
      </w:r>
      <w:r w:rsidR="00AC25B4" w:rsidRPr="00943B08">
        <w:rPr>
          <w:rFonts w:ascii="仿宋_GB2312" w:eastAsia="仿宋_GB2312" w:hAnsi="仿宋" w:cs="仿宋" w:hint="eastAsia"/>
          <w:sz w:val="32"/>
          <w:szCs w:val="32"/>
        </w:rPr>
        <w:t>过程</w:t>
      </w:r>
      <w:r w:rsidRPr="00943B08">
        <w:rPr>
          <w:rFonts w:ascii="仿宋_GB2312" w:eastAsia="仿宋_GB2312" w:hAnsi="仿宋" w:cs="仿宋" w:hint="eastAsia"/>
          <w:sz w:val="32"/>
          <w:szCs w:val="32"/>
        </w:rPr>
        <w:t>建筑工程容积率计算，根据《民用建筑通用规范》（GB55031）、《建筑工程建筑面积计算规范》（GB/T50353）等国家标准及规章的规定，结合相关政策要求与揭阳市实际，制定</w:t>
      </w:r>
      <w:r w:rsidR="00B53270" w:rsidRPr="00943B08">
        <w:rPr>
          <w:rFonts w:ascii="仿宋_GB2312" w:eastAsia="仿宋_GB2312" w:hAnsi="仿宋" w:cs="仿宋" w:hint="eastAsia"/>
          <w:sz w:val="32"/>
          <w:szCs w:val="32"/>
        </w:rPr>
        <w:t>本</w:t>
      </w:r>
      <w:r w:rsidRPr="00943B08">
        <w:rPr>
          <w:rFonts w:ascii="仿宋_GB2312" w:eastAsia="仿宋_GB2312" w:hAnsi="仿宋" w:cs="仿宋" w:hint="eastAsia"/>
          <w:sz w:val="32"/>
          <w:szCs w:val="32"/>
        </w:rPr>
        <w:t>办法。</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 xml:space="preserve">第二条 </w:t>
      </w:r>
      <w:r w:rsidRPr="00943B08">
        <w:rPr>
          <w:rFonts w:ascii="仿宋_GB2312" w:eastAsia="仿宋_GB2312" w:hAnsi="仿宋" w:cs="仿宋" w:hint="eastAsia"/>
          <w:sz w:val="32"/>
          <w:szCs w:val="32"/>
        </w:rPr>
        <w:t xml:space="preserve"> 揭阳市行政区域内城乡规划管理</w:t>
      </w:r>
      <w:r w:rsidR="00AC25B4" w:rsidRPr="00943B08">
        <w:rPr>
          <w:rFonts w:ascii="仿宋_GB2312" w:eastAsia="仿宋_GB2312" w:hAnsi="仿宋" w:cs="仿宋" w:hint="eastAsia"/>
          <w:sz w:val="32"/>
          <w:szCs w:val="32"/>
        </w:rPr>
        <w:t>过程</w:t>
      </w:r>
      <w:r w:rsidRPr="00943B08">
        <w:rPr>
          <w:rFonts w:ascii="仿宋_GB2312" w:eastAsia="仿宋_GB2312" w:hAnsi="仿宋" w:cs="仿宋" w:hint="eastAsia"/>
          <w:sz w:val="32"/>
          <w:szCs w:val="32"/>
        </w:rPr>
        <w:t>建筑工程容积率计算，适用本办法。</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第三条</w:t>
      </w:r>
      <w:r w:rsidRPr="00943B08">
        <w:rPr>
          <w:rFonts w:ascii="仿宋_GB2312" w:eastAsia="仿宋_GB2312" w:hAnsi="仿宋" w:cs="仿宋" w:hint="eastAsia"/>
          <w:sz w:val="32"/>
          <w:szCs w:val="32"/>
        </w:rPr>
        <w:t xml:space="preserve">  建筑工程设计应符合规划条件和相关规范要求，且设计合理。</w:t>
      </w:r>
      <w:r w:rsidR="00AC25B4" w:rsidRPr="00943B08">
        <w:rPr>
          <w:rFonts w:ascii="仿宋_GB2312" w:eastAsia="仿宋_GB2312" w:hAnsi="仿宋" w:cs="仿宋" w:hint="eastAsia"/>
          <w:sz w:val="32"/>
          <w:szCs w:val="32"/>
        </w:rPr>
        <w:t>城乡</w:t>
      </w:r>
      <w:r w:rsidRPr="00943B08">
        <w:rPr>
          <w:rFonts w:ascii="仿宋_GB2312" w:eastAsia="仿宋_GB2312" w:hAnsi="仿宋" w:cs="仿宋" w:hint="eastAsia"/>
          <w:sz w:val="32"/>
          <w:szCs w:val="32"/>
        </w:rPr>
        <w:t>规划管理建筑工程建筑面积的计算，按照《民用建筑通用规范》（GB55031）、《建筑工程建筑面积计算规范》（GB/T50353）执行。建筑工程建筑面积指标分列计算容积率建筑面积和不计算容积率建筑面积。</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第四条</w:t>
      </w:r>
      <w:r w:rsidRPr="00943B08">
        <w:rPr>
          <w:rFonts w:ascii="仿宋_GB2312" w:eastAsia="仿宋_GB2312" w:hAnsi="仿宋" w:cs="仿宋" w:hint="eastAsia"/>
          <w:sz w:val="32"/>
          <w:szCs w:val="32"/>
        </w:rPr>
        <w:t xml:space="preserve">  在</w:t>
      </w:r>
      <w:r w:rsidR="00AC25B4" w:rsidRPr="00943B08">
        <w:rPr>
          <w:rFonts w:ascii="仿宋_GB2312" w:eastAsia="仿宋_GB2312" w:hAnsi="仿宋" w:cs="仿宋" w:hint="eastAsia"/>
          <w:sz w:val="32"/>
          <w:szCs w:val="32"/>
        </w:rPr>
        <w:t>计算</w:t>
      </w:r>
      <w:r w:rsidRPr="00943B08">
        <w:rPr>
          <w:rFonts w:ascii="仿宋_GB2312" w:eastAsia="仿宋_GB2312" w:hAnsi="仿宋" w:cs="仿宋" w:hint="eastAsia"/>
          <w:sz w:val="32"/>
          <w:szCs w:val="32"/>
        </w:rPr>
        <w:t>建筑工程容积率时，下列情形不计入容积率建筑面积：</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（一）建筑物屋顶的楼梯间、电梯机房、风机房、水箱间、</w:t>
      </w:r>
      <w:r w:rsidRPr="00943B08">
        <w:rPr>
          <w:rFonts w:ascii="仿宋_GB2312" w:eastAsia="仿宋_GB2312" w:hAnsi="仿宋" w:cs="仿宋" w:hint="eastAsia"/>
          <w:sz w:val="32"/>
          <w:szCs w:val="32"/>
        </w:rPr>
        <w:lastRenderedPageBreak/>
        <w:t>消防水池、人防报警间及设备设施房</w:t>
      </w:r>
      <w:r w:rsidR="00AC25B4" w:rsidRPr="00943B08">
        <w:rPr>
          <w:rFonts w:ascii="仿宋_GB2312" w:eastAsia="仿宋_GB2312" w:hAnsi="仿宋" w:cs="仿宋" w:hint="eastAsia"/>
          <w:sz w:val="32"/>
          <w:szCs w:val="32"/>
        </w:rPr>
        <w:t>等辅助用房</w:t>
      </w:r>
      <w:r w:rsidRPr="00943B08">
        <w:rPr>
          <w:rFonts w:ascii="仿宋_GB2312" w:eastAsia="仿宋_GB2312" w:hAnsi="仿宋" w:cs="仿宋" w:hint="eastAsia"/>
          <w:sz w:val="32"/>
          <w:szCs w:val="32"/>
        </w:rPr>
        <w:t>，且上述</w:t>
      </w:r>
      <w:r w:rsidR="00AC25B4" w:rsidRPr="00943B08">
        <w:rPr>
          <w:rFonts w:ascii="仿宋_GB2312" w:eastAsia="仿宋_GB2312" w:hAnsi="仿宋" w:cs="仿宋" w:hint="eastAsia"/>
          <w:sz w:val="32"/>
          <w:szCs w:val="32"/>
        </w:rPr>
        <w:t>用房</w:t>
      </w:r>
      <w:r w:rsidRPr="00943B08">
        <w:rPr>
          <w:rFonts w:ascii="仿宋_GB2312" w:eastAsia="仿宋_GB2312" w:hAnsi="仿宋" w:cs="仿宋" w:hint="eastAsia"/>
          <w:sz w:val="32"/>
          <w:szCs w:val="32"/>
        </w:rPr>
        <w:t>建筑面积累计不大于屋顶面积的1/4。</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（二）建筑物避难层中的避难空间。</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（三）城市公共通道、轨道交通地下车站和区间及其专用附属设施（除商业设施外）</w:t>
      </w:r>
      <w:r w:rsidR="00AC25B4" w:rsidRPr="00943B08">
        <w:rPr>
          <w:rFonts w:ascii="仿宋_GB2312" w:eastAsia="仿宋_GB2312" w:hAnsi="仿宋" w:cs="仿宋" w:hint="eastAsia"/>
          <w:sz w:val="32"/>
          <w:szCs w:val="32"/>
        </w:rPr>
        <w:t>；</w:t>
      </w:r>
      <w:r w:rsidRPr="00943B08">
        <w:rPr>
          <w:rFonts w:ascii="仿宋_GB2312" w:eastAsia="仿宋_GB2312" w:hAnsi="仿宋" w:cs="仿宋" w:hint="eastAsia"/>
          <w:sz w:val="32"/>
          <w:szCs w:val="32"/>
        </w:rPr>
        <w:t>结构顶板露出规划确定的室外地面起算基准点或室外地坪的高度小于1.5米的地下机动车库、地下非机动车库、非平战结合的人防工程和地下市政公用设施及地下设备用房等地下空间。</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（四）建筑物底层或塔楼首层设置架空层时，层高不低于</w:t>
      </w:r>
      <w:r w:rsidR="008A30C7" w:rsidRPr="00943B08">
        <w:rPr>
          <w:rFonts w:ascii="仿宋_GB2312" w:eastAsia="仿宋_GB2312" w:hAnsi="仿宋" w:cs="仿宋" w:hint="eastAsia"/>
          <w:sz w:val="32"/>
          <w:szCs w:val="32"/>
        </w:rPr>
        <w:t>3</w:t>
      </w:r>
      <w:r w:rsidRPr="00943B08">
        <w:rPr>
          <w:rFonts w:ascii="仿宋_GB2312" w:eastAsia="仿宋_GB2312" w:hAnsi="仿宋" w:cs="仿宋" w:hint="eastAsia"/>
          <w:sz w:val="32"/>
          <w:szCs w:val="32"/>
        </w:rPr>
        <w:t>.</w:t>
      </w:r>
      <w:r w:rsidR="008A30C7" w:rsidRPr="00943B08">
        <w:rPr>
          <w:rFonts w:ascii="仿宋_GB2312" w:eastAsia="仿宋_GB2312" w:hAnsi="仿宋" w:cs="仿宋" w:hint="eastAsia"/>
          <w:sz w:val="32"/>
          <w:szCs w:val="32"/>
        </w:rPr>
        <w:t>0</w:t>
      </w:r>
      <w:r w:rsidRPr="00943B08">
        <w:rPr>
          <w:rFonts w:ascii="仿宋_GB2312" w:eastAsia="仿宋_GB2312" w:hAnsi="仿宋" w:cs="仿宋" w:hint="eastAsia"/>
          <w:sz w:val="32"/>
          <w:szCs w:val="32"/>
        </w:rPr>
        <w:t>米，视线通透、至少有两个方向的空间开敞，且仅用作通道、布置绿化小品、居民休闲设施等公共用途。但电梯井、门厅、过道、楼梯间等为楼层服务的围合空间计入容积率建筑面积。</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（五）提供城市公共使用的骑楼廊道，设置城市家具的建筑公共开放空间。</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（六）窗台与室内地面高差在0.45米以下且结构净高在2.10米以下或窗台与室内地面高差在0.45米及以上的凸(飘)窗，且突出建筑外墙结构边线不大于0.8米（突出建筑外墙结构边线大于0.8米时按</w:t>
      </w:r>
      <w:r w:rsidR="00B53270" w:rsidRPr="00943B08">
        <w:rPr>
          <w:rFonts w:ascii="仿宋_GB2312" w:eastAsia="仿宋_GB2312" w:hAnsi="仿宋" w:cs="仿宋" w:hint="eastAsia"/>
          <w:sz w:val="32"/>
          <w:szCs w:val="32"/>
        </w:rPr>
        <w:t>其投影面积的一</w:t>
      </w:r>
      <w:r w:rsidRPr="00943B08">
        <w:rPr>
          <w:rFonts w:ascii="仿宋_GB2312" w:eastAsia="仿宋_GB2312" w:hAnsi="仿宋" w:cs="仿宋" w:hint="eastAsia"/>
          <w:sz w:val="32"/>
          <w:szCs w:val="32"/>
        </w:rPr>
        <w:t>半计入容积率建筑面积）。</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lastRenderedPageBreak/>
        <w:t>（七）供城市地铁、轻轨、隧道管理使用的供配电用房</w:t>
      </w:r>
      <w:r w:rsidR="00B53270" w:rsidRPr="00943B08">
        <w:rPr>
          <w:rFonts w:ascii="仿宋_GB2312" w:eastAsia="仿宋_GB2312" w:hAnsi="仿宋" w:cs="仿宋" w:hint="eastAsia"/>
          <w:sz w:val="32"/>
          <w:szCs w:val="32"/>
        </w:rPr>
        <w:t>，</w:t>
      </w:r>
      <w:r w:rsidRPr="00943B08">
        <w:rPr>
          <w:rFonts w:ascii="仿宋_GB2312" w:eastAsia="仿宋_GB2312" w:hAnsi="仿宋" w:cs="仿宋" w:hint="eastAsia"/>
          <w:sz w:val="32"/>
          <w:szCs w:val="32"/>
        </w:rPr>
        <w:t>供电动车充电设施的专用配电房</w:t>
      </w:r>
      <w:r w:rsidR="00B53270" w:rsidRPr="00943B08">
        <w:rPr>
          <w:rFonts w:ascii="仿宋_GB2312" w:eastAsia="仿宋_GB2312" w:hAnsi="仿宋" w:cs="仿宋" w:hint="eastAsia"/>
          <w:sz w:val="32"/>
          <w:szCs w:val="32"/>
        </w:rPr>
        <w:t>，</w:t>
      </w:r>
      <w:r w:rsidRPr="00943B08">
        <w:rPr>
          <w:rFonts w:ascii="仿宋_GB2312" w:eastAsia="仿宋_GB2312" w:hAnsi="仿宋" w:cs="仿宋" w:hint="eastAsia"/>
          <w:sz w:val="32"/>
          <w:szCs w:val="32"/>
        </w:rPr>
        <w:t>住宅区内独立设置的公用配电房</w:t>
      </w:r>
      <w:r w:rsidR="00B53270" w:rsidRPr="00943B08">
        <w:rPr>
          <w:rFonts w:ascii="仿宋_GB2312" w:eastAsia="仿宋_GB2312" w:hAnsi="仿宋" w:cs="仿宋" w:hint="eastAsia"/>
          <w:sz w:val="32"/>
          <w:szCs w:val="32"/>
        </w:rPr>
        <w:t>，</w:t>
      </w:r>
      <w:r w:rsidRPr="00943B08">
        <w:rPr>
          <w:rFonts w:ascii="仿宋_GB2312" w:eastAsia="仿宋_GB2312" w:hAnsi="仿宋" w:cs="仿宋" w:hint="eastAsia"/>
          <w:sz w:val="32"/>
          <w:szCs w:val="32"/>
        </w:rPr>
        <w:t>设置在住宅建筑首层及以上的公用配电房。</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（八）建筑外墙面抹灰、装饰面、镶贴块料面层、装饰性幕墙。凸出建筑外墙的空调搁板、各类装饰性构架或联系梁等建筑外墙附属物。</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(九)规划条件约定建成后无偿移交的公建配套设施(如社区公共服务用房、幼儿托幼设施、养老设施、垃圾中转站、公厕、配电网开关站等)。</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(十)城市更新,改善居住环境,对住宅区进行微改造，完善社区配套建设的公共服务设施。</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（十一）机械停车设备。</w:t>
      </w:r>
    </w:p>
    <w:p w:rsidR="0057475A" w:rsidRPr="00943B08" w:rsidRDefault="0057475A" w:rsidP="0057475A">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（十二）无围护结构的风雨走（连）廊。</w:t>
      </w:r>
    </w:p>
    <w:p w:rsidR="00571B87" w:rsidRPr="00943B08" w:rsidRDefault="00571B87" w:rsidP="00571B87">
      <w:pPr>
        <w:ind w:firstLineChars="250" w:firstLine="800"/>
        <w:rPr>
          <w:rFonts w:ascii="仿宋_GB2312" w:eastAsia="仿宋_GB2312" w:hAnsi="仿宋" w:cs="仿宋"/>
          <w:sz w:val="32"/>
          <w:szCs w:val="32"/>
        </w:rPr>
      </w:pPr>
      <w:r w:rsidRPr="00943B08">
        <w:rPr>
          <w:rFonts w:ascii="仿宋_GB2312" w:eastAsia="仿宋_GB2312" w:hAnsi="仿宋" w:cs="仿宋" w:hint="eastAsia"/>
          <w:sz w:val="32"/>
          <w:szCs w:val="32"/>
        </w:rPr>
        <w:t>(十三)</w:t>
      </w:r>
      <w:r w:rsidRPr="00943B08">
        <w:rPr>
          <w:rFonts w:ascii="仿宋_GB2312" w:eastAsia="仿宋_GB2312" w:hint="eastAsia"/>
        </w:rPr>
        <w:t xml:space="preserve"> </w:t>
      </w:r>
      <w:r w:rsidRPr="00943B08">
        <w:rPr>
          <w:rFonts w:ascii="仿宋_GB2312" w:eastAsia="仿宋_GB2312" w:hAnsi="仿宋" w:cs="仿宋" w:hint="eastAsia"/>
          <w:sz w:val="32"/>
          <w:szCs w:val="32"/>
        </w:rPr>
        <w:t>实施装配式建筑方式，且满足装配式建筑要求的建设项目，其满足装配式建筑要求部分的计容建筑面积可按 3%比例不计入容积率建筑面积</w:t>
      </w:r>
      <w:r w:rsidR="00761532" w:rsidRPr="00943B08">
        <w:rPr>
          <w:rFonts w:ascii="仿宋_GB2312" w:eastAsia="仿宋_GB2312" w:hAnsi="仿宋" w:cs="仿宋" w:hint="eastAsia"/>
          <w:sz w:val="32"/>
          <w:szCs w:val="32"/>
        </w:rPr>
        <w:t>。</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（十</w:t>
      </w:r>
      <w:r w:rsidR="00571B87" w:rsidRPr="00943B08">
        <w:rPr>
          <w:rFonts w:ascii="仿宋_GB2312" w:eastAsia="仿宋_GB2312" w:hAnsi="仿宋" w:cs="仿宋" w:hint="eastAsia"/>
          <w:sz w:val="32"/>
          <w:szCs w:val="32"/>
        </w:rPr>
        <w:t>四</w:t>
      </w:r>
      <w:r w:rsidRPr="00943B08">
        <w:rPr>
          <w:rFonts w:ascii="仿宋_GB2312" w:eastAsia="仿宋_GB2312" w:hAnsi="仿宋" w:cs="仿宋" w:hint="eastAsia"/>
          <w:sz w:val="32"/>
          <w:szCs w:val="32"/>
        </w:rPr>
        <w:t>）</w:t>
      </w:r>
      <w:r w:rsidR="00571B87" w:rsidRPr="00943B08">
        <w:rPr>
          <w:rFonts w:ascii="仿宋_GB2312" w:eastAsia="仿宋_GB2312" w:hAnsi="仿宋" w:cs="仿宋" w:hint="eastAsia"/>
          <w:sz w:val="32"/>
          <w:szCs w:val="32"/>
        </w:rPr>
        <w:t>其他</w:t>
      </w:r>
      <w:r w:rsidRPr="00943B08">
        <w:rPr>
          <w:rFonts w:ascii="仿宋_GB2312" w:eastAsia="仿宋_GB2312" w:hAnsi="仿宋" w:cs="仿宋" w:hint="eastAsia"/>
          <w:sz w:val="32"/>
          <w:szCs w:val="32"/>
        </w:rPr>
        <w:t>法律、法规、规章等规定</w:t>
      </w:r>
      <w:r w:rsidR="00B53270" w:rsidRPr="00943B08">
        <w:rPr>
          <w:rFonts w:ascii="仿宋_GB2312" w:eastAsia="仿宋_GB2312" w:hAnsi="仿宋" w:cs="仿宋" w:hint="eastAsia"/>
          <w:sz w:val="32"/>
          <w:szCs w:val="32"/>
        </w:rPr>
        <w:t>可</w:t>
      </w:r>
      <w:r w:rsidRPr="00943B08">
        <w:rPr>
          <w:rFonts w:ascii="仿宋_GB2312" w:eastAsia="仿宋_GB2312" w:hAnsi="仿宋" w:cs="仿宋" w:hint="eastAsia"/>
          <w:sz w:val="32"/>
          <w:szCs w:val="32"/>
        </w:rPr>
        <w:t>不</w:t>
      </w:r>
      <w:r w:rsidR="00585D7A" w:rsidRPr="00943B08">
        <w:rPr>
          <w:rFonts w:ascii="仿宋_GB2312" w:eastAsia="仿宋_GB2312" w:hAnsi="仿宋" w:cs="仿宋" w:hint="eastAsia"/>
          <w:sz w:val="32"/>
          <w:szCs w:val="32"/>
        </w:rPr>
        <w:t>计</w:t>
      </w:r>
      <w:r w:rsidR="00B53270" w:rsidRPr="00943B08">
        <w:rPr>
          <w:rFonts w:ascii="仿宋_GB2312" w:eastAsia="仿宋_GB2312" w:hAnsi="仿宋" w:cs="仿宋" w:hint="eastAsia"/>
          <w:sz w:val="32"/>
          <w:szCs w:val="32"/>
        </w:rPr>
        <w:t>容建筑面积</w:t>
      </w:r>
      <w:r w:rsidRPr="00943B08">
        <w:rPr>
          <w:rFonts w:ascii="仿宋_GB2312" w:eastAsia="仿宋_GB2312" w:hAnsi="仿宋" w:cs="仿宋" w:hint="eastAsia"/>
          <w:sz w:val="32"/>
          <w:szCs w:val="32"/>
        </w:rPr>
        <w:t>的情形。</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第五条</w:t>
      </w:r>
      <w:r w:rsidRPr="00943B08">
        <w:rPr>
          <w:rFonts w:ascii="仿宋_GB2312" w:eastAsia="仿宋_GB2312" w:hAnsi="仿宋" w:cs="仿宋" w:hint="eastAsia"/>
          <w:sz w:val="32"/>
          <w:szCs w:val="32"/>
        </w:rPr>
        <w:t xml:space="preserve">  </w:t>
      </w:r>
      <w:r w:rsidR="00B53270" w:rsidRPr="00943B08">
        <w:rPr>
          <w:rFonts w:ascii="仿宋_GB2312" w:eastAsia="仿宋_GB2312" w:hAnsi="仿宋" w:cs="仿宋" w:hint="eastAsia"/>
          <w:sz w:val="32"/>
          <w:szCs w:val="32"/>
        </w:rPr>
        <w:t>建筑物未封闭阳台（包括具备同种功能的景观阳台、空中花园、入户花园、活动平台等），</w:t>
      </w:r>
      <w:r w:rsidRPr="00943B08">
        <w:rPr>
          <w:rFonts w:ascii="仿宋_GB2312" w:eastAsia="仿宋_GB2312" w:hAnsi="仿宋" w:cs="仿宋" w:hint="eastAsia"/>
          <w:sz w:val="32"/>
          <w:szCs w:val="32"/>
        </w:rPr>
        <w:t>按其水平投影面积的</w:t>
      </w:r>
      <w:r w:rsidRPr="00943B08">
        <w:rPr>
          <w:rFonts w:ascii="仿宋_GB2312" w:eastAsia="仿宋_GB2312" w:hAnsi="仿宋" w:cs="仿宋" w:hint="eastAsia"/>
          <w:sz w:val="32"/>
          <w:szCs w:val="32"/>
        </w:rPr>
        <w:lastRenderedPageBreak/>
        <w:t>一半计算建筑面积，其中住宅、公寓、宿舍、商业、办公、工业建筑的未封闭阳台应当按照下列规则计算容积率：</w:t>
      </w:r>
    </w:p>
    <w:p w:rsidR="0093065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(一）住宅和公寓、宿舍等居住建筑的未封闭阳台进深不大于2.4米，且未封闭阳台水平投影面积之和不超过住宅套内（含阳台水平投影面积）建筑面积</w:t>
      </w:r>
      <w:r w:rsidR="00B53270" w:rsidRPr="00943B08">
        <w:rPr>
          <w:rFonts w:ascii="仿宋_GB2312" w:eastAsia="仿宋_GB2312" w:hAnsi="仿宋" w:cs="仿宋" w:hint="eastAsia"/>
          <w:sz w:val="32"/>
          <w:szCs w:val="32"/>
        </w:rPr>
        <w:t>25</w:t>
      </w:r>
      <w:r w:rsidRPr="00943B08">
        <w:rPr>
          <w:rFonts w:ascii="仿宋_GB2312" w:eastAsia="仿宋_GB2312" w:hAnsi="仿宋" w:cs="仿宋" w:hint="eastAsia"/>
          <w:sz w:val="32"/>
          <w:szCs w:val="32"/>
        </w:rPr>
        <w:t>%的，按其水平投影面积一半计算容积率建筑面积。进深或</w:t>
      </w:r>
      <w:r w:rsidR="00930653" w:rsidRPr="00943B08">
        <w:rPr>
          <w:rFonts w:ascii="仿宋_GB2312" w:eastAsia="仿宋_GB2312" w:hAnsi="仿宋" w:cs="仿宋" w:hint="eastAsia"/>
          <w:sz w:val="32"/>
          <w:szCs w:val="32"/>
        </w:rPr>
        <w:t>建筑</w:t>
      </w:r>
      <w:r w:rsidRPr="00943B08">
        <w:rPr>
          <w:rFonts w:ascii="仿宋_GB2312" w:eastAsia="仿宋_GB2312" w:hAnsi="仿宋" w:cs="仿宋" w:hint="eastAsia"/>
          <w:sz w:val="32"/>
          <w:szCs w:val="32"/>
        </w:rPr>
        <w:t>面积比例超出上述规定的部分，按其水平投影面积计算容积率建筑面积。</w:t>
      </w:r>
      <w:r w:rsidR="00930653" w:rsidRPr="00943B08">
        <w:rPr>
          <w:rFonts w:ascii="仿宋_GB2312" w:eastAsia="仿宋_GB2312" w:hAnsi="仿宋" w:cs="仿宋" w:hint="eastAsia"/>
          <w:sz w:val="32"/>
          <w:szCs w:val="32"/>
        </w:rPr>
        <w:t>其中：</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（1）住宅利用挑高、错层的阳台设置户专属空中花园</w:t>
      </w:r>
      <w:r w:rsidR="00930653" w:rsidRPr="00943B08">
        <w:rPr>
          <w:rFonts w:ascii="仿宋_GB2312" w:eastAsia="仿宋_GB2312" w:hAnsi="仿宋" w:cs="仿宋" w:hint="eastAsia"/>
          <w:sz w:val="32"/>
          <w:szCs w:val="32"/>
        </w:rPr>
        <w:t>，</w:t>
      </w:r>
      <w:r w:rsidRPr="00943B08">
        <w:rPr>
          <w:rFonts w:ascii="仿宋_GB2312" w:eastAsia="仿宋_GB2312" w:hAnsi="仿宋" w:cs="仿宋" w:hint="eastAsia"/>
          <w:sz w:val="32"/>
          <w:szCs w:val="32"/>
        </w:rPr>
        <w:t>当户专属空中花园不小于两个自然层高时，其面积不计入容积率建筑面积。 </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（2）住宅设置层高不小于两个自然层高、可供业主共享的开敞式公共休闲绿化平台，该平台面积不计入容积率建筑面积。</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（3）住宅每户仅设置一个主景观阳台，</w:t>
      </w:r>
      <w:r w:rsidR="00930653" w:rsidRPr="00943B08">
        <w:rPr>
          <w:rFonts w:ascii="仿宋_GB2312" w:eastAsia="仿宋_GB2312" w:hAnsi="仿宋" w:cs="仿宋" w:hint="eastAsia"/>
          <w:sz w:val="32"/>
          <w:szCs w:val="32"/>
        </w:rPr>
        <w:t>且</w:t>
      </w:r>
      <w:r w:rsidRPr="00943B08">
        <w:rPr>
          <w:rFonts w:ascii="仿宋_GB2312" w:eastAsia="仿宋_GB2312" w:hAnsi="仿宋" w:cs="仿宋" w:hint="eastAsia"/>
          <w:sz w:val="32"/>
          <w:szCs w:val="32"/>
        </w:rPr>
        <w:t>其连续开敞率满足不低于40％的，主景观阳台进深可大于2.4米。</w:t>
      </w:r>
    </w:p>
    <w:p w:rsidR="0057475A" w:rsidRPr="00943B08" w:rsidRDefault="0057475A">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（4）</w:t>
      </w:r>
      <w:r w:rsidRPr="00943B08">
        <w:rPr>
          <w:rFonts w:ascii="仿宋_GB2312" w:eastAsia="仿宋_GB2312" w:hAnsi="仿宋" w:hint="eastAsia"/>
          <w:sz w:val="32"/>
          <w:szCs w:val="32"/>
        </w:rPr>
        <w:t>城市重点地段，因规划要求封闭的住宅阳台，</w:t>
      </w:r>
      <w:r w:rsidR="008A30C7" w:rsidRPr="00943B08">
        <w:rPr>
          <w:rFonts w:ascii="仿宋_GB2312" w:eastAsia="仿宋_GB2312" w:hAnsi="仿宋" w:cs="仿宋" w:hint="eastAsia"/>
          <w:sz w:val="32"/>
          <w:szCs w:val="32"/>
        </w:rPr>
        <w:t>按水平投影面积的一半计算建筑面积</w:t>
      </w:r>
      <w:r w:rsidRPr="00943B08">
        <w:rPr>
          <w:rFonts w:ascii="仿宋_GB2312" w:eastAsia="仿宋_GB2312" w:hAnsi="仿宋" w:hint="eastAsia"/>
          <w:sz w:val="32"/>
          <w:szCs w:val="32"/>
        </w:rPr>
        <w:t>。</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（二）商业、办公、工业建筑每层的未封闭阳台水平投影面积之和不超过该层建筑面积5%的，按其水平投影面积一半计算容积率建筑面积。面积比例超出上述规定的部分，按其水平投影面积计算容积率建筑面积。</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lastRenderedPageBreak/>
        <w:t>第六条</w:t>
      </w:r>
      <w:r w:rsidRPr="00943B08">
        <w:rPr>
          <w:rFonts w:ascii="仿宋_GB2312" w:eastAsia="仿宋_GB2312" w:hAnsi="仿宋" w:cs="仿宋" w:hint="eastAsia"/>
          <w:sz w:val="32"/>
          <w:szCs w:val="32"/>
        </w:rPr>
        <w:t xml:space="preserve">  建筑层高基准值：居住建筑(住宅、公寓和宿舍)3.6米；商业建筑4.8米，集中</w:t>
      </w:r>
      <w:r w:rsidR="007D0C4F" w:rsidRPr="00943B08">
        <w:rPr>
          <w:rFonts w:ascii="仿宋_GB2312" w:eastAsia="仿宋_GB2312" w:hAnsi="仿宋" w:cs="仿宋" w:hint="eastAsia"/>
          <w:sz w:val="32"/>
          <w:szCs w:val="32"/>
        </w:rPr>
        <w:t>大型</w:t>
      </w:r>
      <w:r w:rsidRPr="00943B08">
        <w:rPr>
          <w:rFonts w:ascii="仿宋_GB2312" w:eastAsia="仿宋_GB2312" w:hAnsi="仿宋" w:cs="仿宋" w:hint="eastAsia"/>
          <w:sz w:val="32"/>
          <w:szCs w:val="32"/>
        </w:rPr>
        <w:t>商业建筑6.0米；办公建筑4.5米；工业厂房8.0米；层高超过基准值的，折算倍数按本办法附件《揭阳市各类建筑层高与计算容积率建筑面积折算倍数关系表》。</w:t>
      </w:r>
    </w:p>
    <w:p w:rsidR="007B027D" w:rsidRPr="00943B08" w:rsidRDefault="001656AB" w:rsidP="00AF5531">
      <w:pPr>
        <w:pStyle w:val="a7"/>
        <w:widowControl/>
        <w:wordWrap w:val="0"/>
        <w:spacing w:before="0" w:beforeAutospacing="0" w:after="150" w:afterAutospacing="0" w:line="368" w:lineRule="atLeast"/>
        <w:ind w:firstLineChars="147" w:firstLine="472"/>
        <w:textAlignment w:val="baseline"/>
        <w:rPr>
          <w:rFonts w:ascii="仿宋_GB2312" w:eastAsia="仿宋_GB2312" w:hAnsi="仿宋" w:cs="仿宋"/>
          <w:sz w:val="32"/>
          <w:szCs w:val="32"/>
        </w:rPr>
      </w:pPr>
      <w:r w:rsidRPr="00943B08">
        <w:rPr>
          <w:rFonts w:ascii="仿宋_GB2312" w:eastAsia="仿宋_GB2312" w:hAnsi="仿宋" w:cs="仿宋" w:hint="eastAsia"/>
          <w:b/>
          <w:bCs/>
          <w:sz w:val="32"/>
          <w:szCs w:val="32"/>
        </w:rPr>
        <w:t>第七条</w:t>
      </w:r>
      <w:r w:rsidRPr="00943B08">
        <w:rPr>
          <w:rFonts w:ascii="仿宋_GB2312" w:eastAsia="仿宋_GB2312" w:hAnsi="仿宋" w:cs="仿宋" w:hint="eastAsia"/>
          <w:sz w:val="32"/>
          <w:szCs w:val="32"/>
        </w:rPr>
        <w:t xml:space="preserve">  复式住宅建筑，其</w:t>
      </w:r>
      <w:r w:rsidR="007B027D" w:rsidRPr="00943B08">
        <w:rPr>
          <w:rFonts w:ascii="仿宋_GB2312" w:eastAsia="仿宋_GB2312" w:hAnsi="仿宋" w:cs="仿宋" w:hint="eastAsia"/>
          <w:sz w:val="32"/>
          <w:szCs w:val="32"/>
        </w:rPr>
        <w:t>客厅、</w:t>
      </w:r>
      <w:r w:rsidRPr="00943B08">
        <w:rPr>
          <w:rFonts w:ascii="仿宋_GB2312" w:eastAsia="仿宋_GB2312" w:hAnsi="仿宋" w:cs="仿宋" w:hint="eastAsia"/>
          <w:sz w:val="32"/>
          <w:szCs w:val="32"/>
        </w:rPr>
        <w:t>起居室挑空部分层高不大于7.2米且水平投影面积不大于套内水平投影面积30％按水平投影面积计算容积率建筑面积</w:t>
      </w:r>
      <w:r w:rsidR="00720DC7" w:rsidRPr="00943B08">
        <w:rPr>
          <w:rFonts w:ascii="仿宋_GB2312" w:eastAsia="仿宋_GB2312" w:hAnsi="仿宋" w:cs="仿宋" w:hint="eastAsia"/>
          <w:sz w:val="32"/>
          <w:szCs w:val="32"/>
        </w:rPr>
        <w:t>，</w:t>
      </w:r>
      <w:r w:rsidRPr="00943B08">
        <w:rPr>
          <w:rFonts w:ascii="仿宋_GB2312" w:eastAsia="仿宋_GB2312" w:hAnsi="仿宋" w:cs="仿宋" w:hint="eastAsia"/>
          <w:sz w:val="32"/>
          <w:szCs w:val="32"/>
        </w:rPr>
        <w:t>超出30％部分按2倍计算容积率建筑面积。当其</w:t>
      </w:r>
      <w:r w:rsidR="007B027D" w:rsidRPr="00943B08">
        <w:rPr>
          <w:rFonts w:ascii="仿宋_GB2312" w:eastAsia="仿宋_GB2312" w:hAnsi="仿宋" w:cs="仿宋" w:hint="eastAsia"/>
          <w:sz w:val="32"/>
          <w:szCs w:val="32"/>
        </w:rPr>
        <w:t>客厅、</w:t>
      </w:r>
      <w:r w:rsidRPr="00943B08">
        <w:rPr>
          <w:rFonts w:ascii="仿宋_GB2312" w:eastAsia="仿宋_GB2312" w:hAnsi="仿宋" w:cs="仿宋" w:hint="eastAsia"/>
          <w:sz w:val="32"/>
          <w:szCs w:val="32"/>
        </w:rPr>
        <w:t>起居室挑空部分层高大于7.2米时，超出部分</w:t>
      </w:r>
      <w:r w:rsidR="00472671" w:rsidRPr="00943B08">
        <w:rPr>
          <w:rFonts w:ascii="仿宋_GB2312" w:eastAsia="仿宋_GB2312" w:hAnsi="仿宋" w:cs="仿宋" w:hint="eastAsia"/>
          <w:sz w:val="32"/>
          <w:szCs w:val="32"/>
        </w:rPr>
        <w:t>按照每2.2米为</w:t>
      </w:r>
      <w:r w:rsidR="008A30C7" w:rsidRPr="00943B08">
        <w:rPr>
          <w:rFonts w:ascii="仿宋_GB2312" w:eastAsia="仿宋_GB2312" w:hAnsi="仿宋" w:cs="仿宋" w:hint="eastAsia"/>
          <w:sz w:val="32"/>
          <w:szCs w:val="32"/>
        </w:rPr>
        <w:t>1倍</w:t>
      </w:r>
      <w:r w:rsidR="00472671" w:rsidRPr="00943B08">
        <w:rPr>
          <w:rFonts w:ascii="仿宋_GB2312" w:eastAsia="仿宋_GB2312" w:hAnsi="仿宋" w:cs="仿宋" w:hint="eastAsia"/>
          <w:sz w:val="32"/>
          <w:szCs w:val="32"/>
        </w:rPr>
        <w:t>、余数进一</w:t>
      </w:r>
      <w:r w:rsidR="007B027D" w:rsidRPr="00943B08">
        <w:rPr>
          <w:rFonts w:ascii="仿宋_GB2312" w:eastAsia="仿宋_GB2312" w:hAnsi="仿宋" w:cs="仿宋" w:hint="eastAsia"/>
          <w:sz w:val="32"/>
          <w:szCs w:val="32"/>
        </w:rPr>
        <w:t>累加倍</w:t>
      </w:r>
      <w:r w:rsidR="0042684A" w:rsidRPr="00943B08">
        <w:rPr>
          <w:rFonts w:ascii="仿宋_GB2312" w:eastAsia="仿宋_GB2312" w:hAnsi="仿宋" w:cs="仿宋" w:hint="eastAsia"/>
          <w:sz w:val="32"/>
          <w:szCs w:val="32"/>
        </w:rPr>
        <w:t>数</w:t>
      </w:r>
      <w:r w:rsidR="007B027D" w:rsidRPr="00943B08">
        <w:rPr>
          <w:rFonts w:ascii="仿宋_GB2312" w:eastAsia="仿宋_GB2312" w:hAnsi="仿宋" w:cs="仿宋" w:hint="eastAsia"/>
          <w:sz w:val="32"/>
          <w:szCs w:val="32"/>
        </w:rPr>
        <w:t>计算容积率建筑面积。</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第八条</w:t>
      </w:r>
      <w:r w:rsidRPr="00943B08">
        <w:rPr>
          <w:rFonts w:ascii="仿宋_GB2312" w:eastAsia="仿宋_GB2312" w:hAnsi="仿宋" w:cs="仿宋" w:hint="eastAsia"/>
          <w:sz w:val="32"/>
          <w:szCs w:val="32"/>
        </w:rPr>
        <w:t xml:space="preserve">  建筑的门厅、大堂、中庭、内廊、采光厅等公共部分，文化娱乐设施（含影剧院、图书馆、博物馆等）、体育场馆、展示厅、会议厅、指挥监控中心、宴会厅和多功能厅等对层高有特殊要求的建筑空间（含相邻且直接为其服务的设施空间），层高可按实际功能需要和设计规范要求合理设置，按其水平投影面积计算容积率建筑面积。</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第九条</w:t>
      </w:r>
      <w:r w:rsidRPr="00943B08">
        <w:rPr>
          <w:rFonts w:ascii="仿宋_GB2312" w:eastAsia="仿宋_GB2312" w:hAnsi="仿宋" w:cs="仿宋" w:hint="eastAsia"/>
          <w:sz w:val="32"/>
          <w:szCs w:val="32"/>
        </w:rPr>
        <w:t xml:space="preserve">  本办法中部分术语解释如下：</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（一）计算容积率建筑面积：指建设</w:t>
      </w:r>
      <w:r w:rsidR="00930653" w:rsidRPr="00943B08">
        <w:rPr>
          <w:rFonts w:ascii="仿宋_GB2312" w:eastAsia="仿宋_GB2312" w:hAnsi="仿宋" w:cs="仿宋" w:hint="eastAsia"/>
          <w:sz w:val="32"/>
          <w:szCs w:val="32"/>
        </w:rPr>
        <w:t>项目</w:t>
      </w:r>
      <w:r w:rsidRPr="00943B08">
        <w:rPr>
          <w:rFonts w:ascii="仿宋_GB2312" w:eastAsia="仿宋_GB2312" w:hAnsi="仿宋" w:cs="仿宋" w:hint="eastAsia"/>
          <w:sz w:val="32"/>
          <w:szCs w:val="32"/>
        </w:rPr>
        <w:t>用地内需计入容积率指标的建筑面积。</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lastRenderedPageBreak/>
        <w:t>（二）避难空间：用于人员暂时躲避火灾及烟气危害的空间，不包含电梯间、楼梯间、电梯前室、楼梯前室等垂直交通空间以及设备用房。</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（三）未封闭阳台：至少有一边除护栏外没有任何围护结构的</w:t>
      </w:r>
      <w:r w:rsidR="00AF6378" w:rsidRPr="00943B08">
        <w:rPr>
          <w:rFonts w:ascii="仿宋_GB2312" w:eastAsia="仿宋_GB2312" w:hAnsi="仿宋" w:cs="仿宋" w:hint="eastAsia"/>
          <w:sz w:val="32"/>
          <w:szCs w:val="32"/>
        </w:rPr>
        <w:t>阳</w:t>
      </w:r>
      <w:r w:rsidRPr="00943B08">
        <w:rPr>
          <w:rFonts w:ascii="仿宋_GB2312" w:eastAsia="仿宋_GB2312" w:hAnsi="仿宋" w:cs="仿宋" w:hint="eastAsia"/>
          <w:sz w:val="32"/>
          <w:szCs w:val="32"/>
        </w:rPr>
        <w:t>台。</w:t>
      </w:r>
    </w:p>
    <w:p w:rsidR="009216A3" w:rsidRPr="00943B08" w:rsidRDefault="001656AB">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w:t>
      </w:r>
      <w:r w:rsidR="00AF6378" w:rsidRPr="00943B08">
        <w:rPr>
          <w:rFonts w:ascii="仿宋_GB2312" w:eastAsia="仿宋_GB2312" w:hAnsi="仿宋" w:cs="仿宋" w:hint="eastAsia"/>
          <w:sz w:val="32"/>
          <w:szCs w:val="32"/>
        </w:rPr>
        <w:t>四</w:t>
      </w:r>
      <w:r w:rsidRPr="00943B08">
        <w:rPr>
          <w:rFonts w:ascii="仿宋_GB2312" w:eastAsia="仿宋_GB2312" w:hAnsi="仿宋" w:cs="仿宋" w:hint="eastAsia"/>
          <w:sz w:val="32"/>
          <w:szCs w:val="32"/>
        </w:rPr>
        <w:t>）住宅套内建筑面积：由套（单元）内的房屋使用面积、套内墙及柱体面积、套内阳台水平投影面积及为套内服务的烟囱、通风道、管道井的面积组成。其中各套之间的分隔墙和套与公共建筑空间的分隔等共有墙以及外墙（包括山墙），均按水平投影面积的一半计入套内墙体面积。套内自有墙体按水平投影面积全部计入套内墙体面积。</w:t>
      </w:r>
    </w:p>
    <w:p w:rsidR="00856362" w:rsidRPr="00943B08" w:rsidRDefault="00AF6378">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（五</w:t>
      </w:r>
      <w:r w:rsidR="001656AB" w:rsidRPr="00943B08">
        <w:rPr>
          <w:rFonts w:ascii="仿宋_GB2312" w:eastAsia="仿宋_GB2312" w:hAnsi="仿宋" w:cs="仿宋" w:hint="eastAsia"/>
          <w:sz w:val="32"/>
          <w:szCs w:val="32"/>
        </w:rPr>
        <w:t>）</w:t>
      </w:r>
      <w:r w:rsidR="00856362" w:rsidRPr="00943B08">
        <w:rPr>
          <w:rFonts w:ascii="仿宋_GB2312" w:eastAsia="仿宋_GB2312" w:hAnsi="仿宋" w:cs="仿宋" w:hint="eastAsia"/>
          <w:sz w:val="32"/>
          <w:szCs w:val="32"/>
        </w:rPr>
        <w:t>普通商业建筑指社区单间商铺面积≤300平方米，沿街面宽≤15 米，独立出入口；集中大型商业建筑指整体设计、集中布局，单层商业建筑面积≥2000平方米或总商业建筑面积≥5000平方米。</w:t>
      </w:r>
    </w:p>
    <w:p w:rsidR="009216A3" w:rsidRPr="00943B08" w:rsidRDefault="00AF6378">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（六</w:t>
      </w:r>
      <w:r w:rsidR="001656AB" w:rsidRPr="00943B08">
        <w:rPr>
          <w:rFonts w:ascii="仿宋_GB2312" w:eastAsia="仿宋_GB2312" w:hAnsi="仿宋" w:cs="仿宋" w:hint="eastAsia"/>
          <w:sz w:val="32"/>
          <w:szCs w:val="32"/>
        </w:rPr>
        <w:t>）建筑公共开放空间：是附属于建筑物，具备边界开放与便捷的公共可达条件，面向公众或者不特定业主全天候免费开放的公共空间。</w:t>
      </w:r>
    </w:p>
    <w:p w:rsidR="00375E45" w:rsidRPr="00943B08" w:rsidRDefault="00AF6378" w:rsidP="00375E45">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（七</w:t>
      </w:r>
      <w:r w:rsidR="001656AB" w:rsidRPr="00943B08">
        <w:rPr>
          <w:rFonts w:ascii="仿宋_GB2312" w:eastAsia="仿宋_GB2312" w:hAnsi="仿宋" w:cs="仿宋" w:hint="eastAsia"/>
          <w:sz w:val="32"/>
          <w:szCs w:val="32"/>
        </w:rPr>
        <w:t>）公用配电房：指需移交供电部门的10kV（20kV）及以下电压等级的供配电设施，包括开关房、综合房、公变房、</w:t>
      </w:r>
      <w:r w:rsidR="001656AB" w:rsidRPr="00943B08">
        <w:rPr>
          <w:rFonts w:ascii="仿宋_GB2312" w:eastAsia="仿宋_GB2312" w:hAnsi="仿宋" w:cs="仿宋" w:hint="eastAsia"/>
          <w:sz w:val="32"/>
          <w:szCs w:val="32"/>
        </w:rPr>
        <w:lastRenderedPageBreak/>
        <w:t>低压房等。</w:t>
      </w:r>
    </w:p>
    <w:p w:rsidR="00375E45" w:rsidRPr="00943B08" w:rsidRDefault="00AF6378" w:rsidP="00375E45">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（八</w:t>
      </w:r>
      <w:r w:rsidR="001656AB" w:rsidRPr="00943B08">
        <w:rPr>
          <w:rFonts w:ascii="仿宋_GB2312" w:eastAsia="仿宋_GB2312" w:hAnsi="仿宋" w:cs="仿宋" w:hint="eastAsia"/>
          <w:sz w:val="32"/>
          <w:szCs w:val="32"/>
        </w:rPr>
        <w:t>）阳台连续开敞率：指阳台位置连续的开敞面长度占阳台周长的比值。若设有作为阳台竖向受力构件所必需的结构柱时，仍视为连续开敞但结构柱尺寸不计入开敞面长度。</w:t>
      </w:r>
    </w:p>
    <w:p w:rsidR="00375E45" w:rsidRPr="00943B08" w:rsidRDefault="00375E45" w:rsidP="00375E45">
      <w:pPr>
        <w:ind w:firstLineChars="200" w:firstLine="640"/>
        <w:rPr>
          <w:rFonts w:ascii="仿宋_GB2312" w:eastAsia="仿宋_GB2312" w:hAnsi="仿宋" w:cs="仿宋"/>
          <w:sz w:val="32"/>
          <w:szCs w:val="32"/>
        </w:rPr>
      </w:pPr>
      <w:r w:rsidRPr="00943B08">
        <w:rPr>
          <w:rFonts w:ascii="仿宋_GB2312" w:eastAsia="仿宋_GB2312" w:hAnsi="仿宋" w:cs="仿宋" w:hint="eastAsia"/>
          <w:sz w:val="32"/>
          <w:szCs w:val="32"/>
        </w:rPr>
        <w:t>(九)主景观阳台：</w:t>
      </w:r>
      <w:r w:rsidR="00856362" w:rsidRPr="00943B08">
        <w:rPr>
          <w:rFonts w:ascii="仿宋_GB2312" w:eastAsia="仿宋_GB2312" w:hAnsi="仿宋" w:cs="仿宋" w:hint="eastAsia"/>
          <w:sz w:val="32"/>
          <w:szCs w:val="32"/>
        </w:rPr>
        <w:t>住宅套内仅限设置一个结合起居室（厅）的阳台，阳台内</w:t>
      </w:r>
      <w:r w:rsidR="001040B9" w:rsidRPr="00943B08">
        <w:rPr>
          <w:rFonts w:ascii="仿宋_GB2312" w:eastAsia="仿宋_GB2312" w:hAnsi="仿宋" w:cs="仿宋" w:hint="eastAsia"/>
          <w:sz w:val="32"/>
          <w:szCs w:val="32"/>
        </w:rPr>
        <w:t>根据</w:t>
      </w:r>
      <w:r w:rsidR="00856362" w:rsidRPr="00943B08">
        <w:rPr>
          <w:rFonts w:ascii="仿宋_GB2312" w:eastAsia="仿宋_GB2312" w:hAnsi="仿宋" w:cs="仿宋" w:hint="eastAsia"/>
          <w:sz w:val="32"/>
          <w:szCs w:val="32"/>
        </w:rPr>
        <w:t>需</w:t>
      </w:r>
      <w:r w:rsidR="0042684A" w:rsidRPr="00943B08">
        <w:rPr>
          <w:rFonts w:ascii="仿宋_GB2312" w:eastAsia="仿宋_GB2312" w:hAnsi="仿宋" w:cs="仿宋" w:hint="eastAsia"/>
          <w:sz w:val="32"/>
          <w:szCs w:val="32"/>
        </w:rPr>
        <w:t>要可设</w:t>
      </w:r>
      <w:r w:rsidR="00856362" w:rsidRPr="00943B08">
        <w:rPr>
          <w:rFonts w:ascii="仿宋_GB2312" w:eastAsia="仿宋_GB2312" w:hAnsi="仿宋" w:cs="仿宋" w:hint="eastAsia"/>
          <w:sz w:val="32"/>
          <w:szCs w:val="32"/>
        </w:rPr>
        <w:t>竖向受力结构柱</w:t>
      </w:r>
      <w:r w:rsidRPr="00943B08">
        <w:rPr>
          <w:rFonts w:ascii="仿宋_GB2312" w:eastAsia="仿宋_GB2312" w:hAnsi="仿宋" w:cs="仿宋" w:hint="eastAsia"/>
          <w:sz w:val="32"/>
          <w:szCs w:val="32"/>
        </w:rPr>
        <w:t>。</w:t>
      </w:r>
    </w:p>
    <w:p w:rsidR="009216A3" w:rsidRPr="00943B08" w:rsidRDefault="001656AB">
      <w:pPr>
        <w:ind w:firstLineChars="200" w:firstLine="643"/>
        <w:rPr>
          <w:rFonts w:ascii="仿宋_GB2312" w:eastAsia="仿宋_GB2312" w:hAnsi="仿宋" w:cs="仿宋"/>
          <w:sz w:val="32"/>
          <w:szCs w:val="32"/>
        </w:rPr>
      </w:pPr>
      <w:r w:rsidRPr="00943B08">
        <w:rPr>
          <w:rFonts w:ascii="仿宋_GB2312" w:eastAsia="仿宋_GB2312" w:hAnsi="仿宋" w:cs="仿宋" w:hint="eastAsia"/>
          <w:b/>
          <w:bCs/>
          <w:sz w:val="32"/>
          <w:szCs w:val="32"/>
        </w:rPr>
        <w:t xml:space="preserve">第十条 </w:t>
      </w:r>
      <w:r w:rsidRPr="00943B08">
        <w:rPr>
          <w:rFonts w:ascii="仿宋_GB2312" w:eastAsia="仿宋_GB2312" w:hAnsi="仿宋" w:cs="仿宋" w:hint="eastAsia"/>
          <w:sz w:val="32"/>
          <w:szCs w:val="32"/>
        </w:rPr>
        <w:t xml:space="preserve"> 本办法自2025年x月x日起施行。</w:t>
      </w: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42684A" w:rsidRDefault="0042684A">
      <w:pPr>
        <w:rPr>
          <w:rFonts w:ascii="仿宋" w:eastAsia="仿宋" w:hAnsi="仿宋" w:cs="仿宋"/>
          <w:b/>
          <w:sz w:val="36"/>
          <w:szCs w:val="36"/>
        </w:rPr>
      </w:pPr>
    </w:p>
    <w:p w:rsidR="00CF2B04" w:rsidRDefault="00610AB8">
      <w:pPr>
        <w:rPr>
          <w:rFonts w:ascii="仿宋" w:eastAsia="仿宋" w:hAnsi="仿宋" w:cs="仿宋"/>
          <w:b/>
          <w:sz w:val="36"/>
          <w:szCs w:val="36"/>
        </w:rPr>
      </w:pPr>
      <w:r w:rsidRPr="00610AB8">
        <w:rPr>
          <w:rFonts w:ascii="仿宋" w:eastAsia="仿宋" w:hAnsi="仿宋" w:cs="仿宋" w:hint="eastAsia"/>
          <w:b/>
          <w:sz w:val="36"/>
          <w:szCs w:val="36"/>
        </w:rPr>
        <w:t>附件：</w:t>
      </w:r>
    </w:p>
    <w:p w:rsidR="00F73FB4" w:rsidRDefault="00F73FB4" w:rsidP="00F73FB4">
      <w:pPr>
        <w:jc w:val="center"/>
        <w:rPr>
          <w:rFonts w:ascii="仿宋" w:eastAsia="仿宋" w:hAnsi="仿宋" w:cs="仿宋"/>
          <w:b/>
          <w:sz w:val="36"/>
          <w:szCs w:val="36"/>
        </w:rPr>
      </w:pPr>
      <w:r>
        <w:rPr>
          <w:rFonts w:ascii="仿宋" w:eastAsia="仿宋" w:hAnsi="仿宋" w:cs="仿宋" w:hint="eastAsia"/>
          <w:b/>
          <w:sz w:val="36"/>
          <w:szCs w:val="36"/>
        </w:rPr>
        <w:t>揭阳市各类建筑层高与计算容积率</w:t>
      </w:r>
    </w:p>
    <w:p w:rsidR="00856362" w:rsidRPr="00610AB8" w:rsidRDefault="00F73FB4" w:rsidP="00F73FB4">
      <w:pPr>
        <w:jc w:val="center"/>
        <w:rPr>
          <w:rFonts w:ascii="仿宋" w:eastAsia="仿宋" w:hAnsi="仿宋" w:cs="仿宋"/>
          <w:b/>
          <w:sz w:val="36"/>
          <w:szCs w:val="36"/>
        </w:rPr>
      </w:pPr>
      <w:r>
        <w:rPr>
          <w:rFonts w:ascii="仿宋" w:eastAsia="仿宋" w:hAnsi="仿宋" w:cs="仿宋" w:hint="eastAsia"/>
          <w:b/>
          <w:sz w:val="36"/>
          <w:szCs w:val="36"/>
        </w:rPr>
        <w:t>建筑面积折算倍数关系表</w:t>
      </w:r>
    </w:p>
    <w:tbl>
      <w:tblPr>
        <w:tblStyle w:val="a8"/>
        <w:tblW w:w="9800" w:type="dxa"/>
        <w:tblLook w:val="04A0" w:firstRow="1" w:lastRow="0" w:firstColumn="1" w:lastColumn="0" w:noHBand="0" w:noVBand="1"/>
      </w:tblPr>
      <w:tblGrid>
        <w:gridCol w:w="679"/>
        <w:gridCol w:w="1130"/>
        <w:gridCol w:w="2127"/>
        <w:gridCol w:w="1984"/>
        <w:gridCol w:w="1843"/>
        <w:gridCol w:w="2037"/>
      </w:tblGrid>
      <w:tr w:rsidR="002E2872" w:rsidRPr="00116707" w:rsidTr="001040B9">
        <w:trPr>
          <w:trHeight w:val="435"/>
        </w:trPr>
        <w:tc>
          <w:tcPr>
            <w:tcW w:w="1809" w:type="dxa"/>
            <w:gridSpan w:val="2"/>
            <w:vAlign w:val="center"/>
            <w:hideMark/>
          </w:tcPr>
          <w:p w:rsidR="00116707" w:rsidRPr="00116707" w:rsidRDefault="00116707" w:rsidP="00094814">
            <w:pPr>
              <w:widowControl/>
              <w:jc w:val="center"/>
              <w:rPr>
                <w:rFonts w:ascii="宋体" w:eastAsia="宋体" w:hAnsi="宋体" w:cs="宋体"/>
                <w:b/>
                <w:bCs/>
                <w:color w:val="000000"/>
                <w:kern w:val="0"/>
                <w:sz w:val="24"/>
              </w:rPr>
            </w:pPr>
            <w:r w:rsidRPr="00116707">
              <w:rPr>
                <w:rFonts w:ascii="宋体" w:eastAsia="宋体" w:hAnsi="宋体" w:cs="宋体" w:hint="eastAsia"/>
                <w:b/>
                <w:bCs/>
                <w:color w:val="000000"/>
                <w:kern w:val="0"/>
                <w:sz w:val="24"/>
              </w:rPr>
              <w:t>建筑类型</w:t>
            </w:r>
          </w:p>
        </w:tc>
        <w:tc>
          <w:tcPr>
            <w:tcW w:w="2127" w:type="dxa"/>
            <w:vAlign w:val="center"/>
            <w:hideMark/>
          </w:tcPr>
          <w:p w:rsidR="00116707" w:rsidRPr="00116707" w:rsidRDefault="00116707" w:rsidP="00094814">
            <w:pPr>
              <w:widowControl/>
              <w:jc w:val="center"/>
              <w:rPr>
                <w:rFonts w:ascii="宋体" w:eastAsia="宋体" w:hAnsi="宋体" w:cs="宋体"/>
                <w:b/>
                <w:bCs/>
                <w:color w:val="000000"/>
                <w:kern w:val="0"/>
                <w:sz w:val="24"/>
              </w:rPr>
            </w:pPr>
            <w:r w:rsidRPr="00116707">
              <w:rPr>
                <w:rFonts w:ascii="宋体" w:eastAsia="宋体" w:hAnsi="宋体" w:cs="宋体" w:hint="eastAsia"/>
                <w:b/>
                <w:bCs/>
                <w:color w:val="000000"/>
                <w:kern w:val="0"/>
                <w:sz w:val="24"/>
              </w:rPr>
              <w:t>层高</w:t>
            </w:r>
            <w:r w:rsidR="003D781D">
              <w:rPr>
                <w:rFonts w:ascii="宋体" w:eastAsia="宋体" w:hAnsi="宋体" w:cs="宋体" w:hint="eastAsia"/>
                <w:b/>
                <w:bCs/>
                <w:color w:val="000000"/>
                <w:kern w:val="0"/>
                <w:sz w:val="24"/>
              </w:rPr>
              <w:t>H</w:t>
            </w:r>
            <w:r>
              <w:rPr>
                <w:rFonts w:ascii="宋体" w:eastAsia="宋体" w:hAnsi="宋体" w:cs="宋体" w:hint="eastAsia"/>
                <w:b/>
                <w:bCs/>
                <w:color w:val="000000"/>
                <w:kern w:val="0"/>
                <w:sz w:val="24"/>
              </w:rPr>
              <w:t>（米）</w:t>
            </w:r>
          </w:p>
        </w:tc>
        <w:tc>
          <w:tcPr>
            <w:tcW w:w="1984" w:type="dxa"/>
            <w:vAlign w:val="center"/>
            <w:hideMark/>
          </w:tcPr>
          <w:p w:rsidR="00116707" w:rsidRPr="00116707" w:rsidRDefault="00116707" w:rsidP="00094814">
            <w:pPr>
              <w:widowControl/>
              <w:jc w:val="center"/>
              <w:rPr>
                <w:rFonts w:ascii="宋体" w:eastAsia="宋体" w:hAnsi="宋体" w:cs="宋体"/>
                <w:b/>
                <w:bCs/>
                <w:color w:val="000000"/>
                <w:kern w:val="0"/>
                <w:sz w:val="24"/>
              </w:rPr>
            </w:pPr>
            <w:r w:rsidRPr="00116707">
              <w:rPr>
                <w:rFonts w:ascii="宋体" w:eastAsia="宋体" w:hAnsi="宋体" w:cs="宋体" w:hint="eastAsia"/>
                <w:b/>
                <w:bCs/>
                <w:color w:val="000000"/>
                <w:kern w:val="0"/>
                <w:sz w:val="24"/>
              </w:rPr>
              <w:t>建筑面积计算</w:t>
            </w:r>
          </w:p>
        </w:tc>
        <w:tc>
          <w:tcPr>
            <w:tcW w:w="1843" w:type="dxa"/>
            <w:vAlign w:val="center"/>
            <w:hideMark/>
          </w:tcPr>
          <w:p w:rsidR="00116707" w:rsidRPr="00116707" w:rsidRDefault="00116707" w:rsidP="00094814">
            <w:pPr>
              <w:widowControl/>
              <w:jc w:val="center"/>
              <w:rPr>
                <w:rFonts w:ascii="宋体" w:eastAsia="宋体" w:hAnsi="宋体" w:cs="宋体"/>
                <w:b/>
                <w:bCs/>
                <w:color w:val="000000"/>
                <w:kern w:val="0"/>
                <w:sz w:val="24"/>
              </w:rPr>
            </w:pPr>
            <w:r w:rsidRPr="00116707">
              <w:rPr>
                <w:rFonts w:ascii="宋体" w:eastAsia="宋体" w:hAnsi="宋体" w:cs="宋体" w:hint="eastAsia"/>
                <w:b/>
                <w:bCs/>
                <w:color w:val="000000"/>
                <w:kern w:val="0"/>
                <w:sz w:val="24"/>
              </w:rPr>
              <w:t>计容面积计算</w:t>
            </w:r>
          </w:p>
        </w:tc>
        <w:tc>
          <w:tcPr>
            <w:tcW w:w="2037" w:type="dxa"/>
            <w:vAlign w:val="center"/>
            <w:hideMark/>
          </w:tcPr>
          <w:p w:rsidR="00116707" w:rsidRPr="00116707" w:rsidRDefault="00647A5B" w:rsidP="0009481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超高折算</w:t>
            </w:r>
            <w:r w:rsidRPr="00647A5B">
              <w:rPr>
                <w:rFonts w:ascii="宋体" w:eastAsia="宋体" w:hAnsi="宋体" w:cs="宋体" w:hint="eastAsia"/>
                <w:b/>
                <w:bCs/>
                <w:color w:val="000000"/>
                <w:kern w:val="0"/>
                <w:sz w:val="22"/>
                <w:szCs w:val="22"/>
              </w:rPr>
              <w:t>倍数</w:t>
            </w:r>
          </w:p>
        </w:tc>
      </w:tr>
      <w:tr w:rsidR="002E2872" w:rsidRPr="00116707" w:rsidTr="001040B9">
        <w:trPr>
          <w:trHeight w:val="435"/>
        </w:trPr>
        <w:tc>
          <w:tcPr>
            <w:tcW w:w="1809" w:type="dxa"/>
            <w:gridSpan w:val="2"/>
            <w:vMerge w:val="restart"/>
            <w:vAlign w:val="center"/>
            <w:hideMark/>
          </w:tcPr>
          <w:p w:rsidR="0054324D"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居住建筑</w:t>
            </w:r>
          </w:p>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w:t>
            </w:r>
            <w:r w:rsidR="0054324D">
              <w:rPr>
                <w:rFonts w:ascii="宋体" w:eastAsia="宋体" w:hAnsi="宋体" w:cs="宋体" w:hint="eastAsia"/>
                <w:color w:val="000000"/>
                <w:kern w:val="0"/>
                <w:sz w:val="24"/>
              </w:rPr>
              <w:t>含</w:t>
            </w:r>
            <w:r w:rsidRPr="00116707">
              <w:rPr>
                <w:rFonts w:ascii="宋体" w:eastAsia="宋体" w:hAnsi="宋体" w:cs="宋体" w:hint="eastAsia"/>
                <w:color w:val="000000"/>
                <w:kern w:val="0"/>
                <w:sz w:val="24"/>
              </w:rPr>
              <w:t>住宅、公寓和宿舍）</w:t>
            </w:r>
          </w:p>
        </w:tc>
        <w:tc>
          <w:tcPr>
            <w:tcW w:w="2127" w:type="dxa"/>
            <w:vAlign w:val="center"/>
            <w:hideMark/>
          </w:tcPr>
          <w:p w:rsidR="002E2872" w:rsidRPr="009B4DB7" w:rsidRDefault="009B4DB7" w:rsidP="00094814">
            <w:pPr>
              <w:widowControl/>
              <w:jc w:val="center"/>
              <w:rPr>
                <w:rFonts w:ascii="宋体" w:eastAsia="宋体" w:hAnsi="宋体" w:cs="宋体"/>
                <w:color w:val="000000"/>
                <w:kern w:val="0"/>
                <w:sz w:val="24"/>
              </w:rPr>
            </w:pPr>
            <w:r w:rsidRPr="00337914">
              <w:rPr>
                <w:rFonts w:ascii="宋体" w:eastAsia="宋体" w:hAnsi="宋体" w:cs="宋体" w:hint="eastAsia"/>
                <w:color w:val="000000"/>
                <w:kern w:val="0"/>
                <w:sz w:val="24"/>
              </w:rPr>
              <w:t>H</w:t>
            </w:r>
            <w:r>
              <w:rPr>
                <w:rFonts w:ascii="宋体" w:eastAsia="宋体" w:hAnsi="宋体" w:cs="宋体" w:hint="eastAsia"/>
                <w:b/>
                <w:color w:val="000000"/>
                <w:kern w:val="0"/>
                <w:sz w:val="24"/>
              </w:rPr>
              <w:t xml:space="preserve"> </w:t>
            </w:r>
            <w:r w:rsidR="002E2872" w:rsidRPr="009B4DB7">
              <w:rPr>
                <w:rFonts w:ascii="宋体" w:eastAsia="宋体" w:hAnsi="宋体" w:cs="宋体" w:hint="eastAsia"/>
                <w:color w:val="000000"/>
                <w:kern w:val="0"/>
                <w:sz w:val="24"/>
              </w:rPr>
              <w:t>≤3.6</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2037" w:type="dxa"/>
            <w:vMerge w:val="restart"/>
            <w:vAlign w:val="center"/>
            <w:hideMark/>
          </w:tcPr>
          <w:p w:rsidR="002E2872" w:rsidRPr="00116707" w:rsidRDefault="00E3568C" w:rsidP="001040B9">
            <w:pPr>
              <w:widowControl/>
              <w:jc w:val="center"/>
              <w:rPr>
                <w:rFonts w:ascii="宋体" w:eastAsia="宋体" w:hAnsi="宋体" w:cs="宋体"/>
                <w:color w:val="000000"/>
                <w:kern w:val="0"/>
                <w:sz w:val="24"/>
              </w:rPr>
            </w:pPr>
            <w:r w:rsidRPr="00E3568C">
              <w:rPr>
                <w:rFonts w:ascii="宋体" w:eastAsia="宋体" w:hAnsi="宋体" w:cs="宋体" w:hint="eastAsia"/>
                <w:color w:val="000000"/>
                <w:kern w:val="0"/>
                <w:sz w:val="24"/>
              </w:rPr>
              <w:t>建筑层高超出</w:t>
            </w:r>
            <w:r w:rsidR="00FF6552" w:rsidRPr="00E3568C">
              <w:rPr>
                <w:rFonts w:ascii="宋体" w:eastAsia="宋体" w:hAnsi="宋体" w:cs="宋体" w:hint="eastAsia"/>
                <w:color w:val="000000"/>
                <w:kern w:val="0"/>
                <w:sz w:val="24"/>
              </w:rPr>
              <w:t>建筑层高基准值</w:t>
            </w:r>
            <w:r>
              <w:rPr>
                <w:rFonts w:ascii="宋体" w:eastAsia="宋体" w:hAnsi="宋体" w:cs="宋体" w:hint="eastAsia"/>
                <w:color w:val="000000"/>
                <w:kern w:val="0"/>
                <w:sz w:val="24"/>
              </w:rPr>
              <w:t>的，</w:t>
            </w:r>
            <w:r w:rsidR="002E2872" w:rsidRPr="00116707">
              <w:rPr>
                <w:rFonts w:ascii="宋体" w:eastAsia="宋体" w:hAnsi="宋体" w:cs="宋体" w:hint="eastAsia"/>
                <w:color w:val="000000"/>
                <w:kern w:val="0"/>
                <w:sz w:val="24"/>
              </w:rPr>
              <w:t>超高部分按照每2.2米为</w:t>
            </w:r>
            <w:r w:rsidR="0042684A">
              <w:rPr>
                <w:rFonts w:ascii="宋体" w:eastAsia="宋体" w:hAnsi="宋体" w:cs="宋体" w:hint="eastAsia"/>
                <w:color w:val="000000"/>
                <w:kern w:val="0"/>
                <w:sz w:val="24"/>
              </w:rPr>
              <w:t>1</w:t>
            </w:r>
            <w:r w:rsidR="0042684A" w:rsidRPr="0042684A">
              <w:rPr>
                <w:rFonts w:ascii="宋体" w:eastAsia="宋体" w:hAnsi="宋体" w:cs="宋体" w:hint="eastAsia"/>
                <w:color w:val="000000"/>
                <w:kern w:val="0"/>
                <w:sz w:val="24"/>
              </w:rPr>
              <w:t>倍</w:t>
            </w:r>
            <w:r w:rsidR="002E2872" w:rsidRPr="00116707">
              <w:rPr>
                <w:rFonts w:ascii="宋体" w:eastAsia="宋体" w:hAnsi="宋体" w:cs="宋体" w:hint="eastAsia"/>
                <w:color w:val="000000"/>
                <w:kern w:val="0"/>
                <w:sz w:val="24"/>
              </w:rPr>
              <w:t>、余数进一</w:t>
            </w:r>
            <w:r w:rsidR="0042684A">
              <w:rPr>
                <w:rFonts w:ascii="宋体" w:eastAsia="宋体" w:hAnsi="宋体" w:cs="宋体" w:hint="eastAsia"/>
                <w:color w:val="000000"/>
                <w:kern w:val="0"/>
                <w:sz w:val="24"/>
              </w:rPr>
              <w:t>累</w:t>
            </w:r>
            <w:r w:rsidR="001040B9">
              <w:rPr>
                <w:rFonts w:ascii="宋体" w:eastAsia="宋体" w:hAnsi="宋体" w:cs="宋体" w:hint="eastAsia"/>
                <w:color w:val="000000"/>
                <w:kern w:val="0"/>
                <w:sz w:val="24"/>
              </w:rPr>
              <w:t>加</w:t>
            </w:r>
            <w:r w:rsidR="0042684A">
              <w:rPr>
                <w:rFonts w:ascii="宋体" w:eastAsia="宋体" w:hAnsi="宋体" w:cs="宋体" w:hint="eastAsia"/>
                <w:color w:val="000000"/>
                <w:kern w:val="0"/>
                <w:sz w:val="24"/>
              </w:rPr>
              <w:t>倍数</w:t>
            </w:r>
            <w:r w:rsidR="001040B9">
              <w:rPr>
                <w:rFonts w:ascii="宋体" w:eastAsia="宋体" w:hAnsi="宋体" w:cs="宋体" w:hint="eastAsia"/>
                <w:color w:val="000000"/>
                <w:kern w:val="0"/>
                <w:sz w:val="24"/>
              </w:rPr>
              <w:t>，按其水平投影面积（不包含阳台）的</w:t>
            </w:r>
            <w:r w:rsidR="001040B9" w:rsidRPr="001040B9">
              <w:rPr>
                <w:rFonts w:ascii="宋体" w:eastAsia="宋体" w:hAnsi="宋体" w:cs="宋体" w:hint="eastAsia"/>
                <w:color w:val="000000"/>
                <w:kern w:val="0"/>
                <w:sz w:val="24"/>
              </w:rPr>
              <w:t>累加</w:t>
            </w:r>
            <w:r w:rsidR="001040B9">
              <w:rPr>
                <w:rFonts w:ascii="宋体" w:eastAsia="宋体" w:hAnsi="宋体" w:cs="宋体" w:hint="eastAsia"/>
                <w:color w:val="000000"/>
                <w:kern w:val="0"/>
                <w:sz w:val="24"/>
              </w:rPr>
              <w:t>倍数计算容积率建筑面</w:t>
            </w:r>
            <w:r w:rsidR="002E2872" w:rsidRPr="00116707">
              <w:rPr>
                <w:rFonts w:ascii="宋体" w:eastAsia="宋体" w:hAnsi="宋体" w:cs="宋体" w:hint="eastAsia"/>
                <w:color w:val="000000"/>
                <w:kern w:val="0"/>
                <w:sz w:val="24"/>
              </w:rPr>
              <w:t>积</w:t>
            </w:r>
            <w:r w:rsidR="001040B9">
              <w:rPr>
                <w:rFonts w:ascii="宋体" w:eastAsia="宋体" w:hAnsi="宋体" w:cs="宋体" w:hint="eastAsia"/>
                <w:color w:val="000000"/>
                <w:kern w:val="0"/>
                <w:sz w:val="24"/>
              </w:rPr>
              <w:t>。</w:t>
            </w:r>
          </w:p>
        </w:tc>
      </w:tr>
      <w:tr w:rsidR="002E2872" w:rsidRPr="00116707" w:rsidTr="001040B9">
        <w:trPr>
          <w:trHeight w:val="435"/>
        </w:trPr>
        <w:tc>
          <w:tcPr>
            <w:tcW w:w="1809" w:type="dxa"/>
            <w:gridSpan w:val="2"/>
            <w:vMerge/>
            <w:vAlign w:val="center"/>
            <w:hideMark/>
          </w:tcPr>
          <w:p w:rsidR="002E2872" w:rsidRPr="00116707" w:rsidRDefault="002E2872" w:rsidP="00094814">
            <w:pPr>
              <w:widowControl/>
              <w:jc w:val="center"/>
              <w:rPr>
                <w:rFonts w:ascii="宋体" w:eastAsia="宋体" w:hAnsi="宋体" w:cs="宋体"/>
                <w:color w:val="000000"/>
                <w:kern w:val="0"/>
                <w:sz w:val="24"/>
              </w:rPr>
            </w:pPr>
          </w:p>
        </w:tc>
        <w:tc>
          <w:tcPr>
            <w:tcW w:w="2127" w:type="dxa"/>
            <w:vAlign w:val="center"/>
            <w:hideMark/>
          </w:tcPr>
          <w:p w:rsidR="002E2872" w:rsidRPr="009B4DB7" w:rsidRDefault="002E2872" w:rsidP="00337914">
            <w:pPr>
              <w:widowControl/>
              <w:jc w:val="center"/>
              <w:rPr>
                <w:rFonts w:ascii="宋体" w:eastAsia="宋体" w:hAnsi="宋体" w:cs="宋体"/>
                <w:color w:val="000000"/>
                <w:kern w:val="0"/>
                <w:sz w:val="24"/>
              </w:rPr>
            </w:pPr>
            <w:r w:rsidRPr="009B4DB7">
              <w:rPr>
                <w:rFonts w:ascii="宋体" w:eastAsia="宋体" w:hAnsi="宋体" w:cs="宋体" w:hint="eastAsia"/>
                <w:color w:val="000000"/>
                <w:kern w:val="0"/>
                <w:sz w:val="24"/>
              </w:rPr>
              <w:t>3.6</w:t>
            </w:r>
            <w:r w:rsidR="006E40EF" w:rsidRPr="006E40EF">
              <w:rPr>
                <w:rFonts w:ascii="宋体" w:eastAsia="宋体" w:hAnsi="宋体" w:cs="宋体" w:hint="eastAsia"/>
                <w:color w:val="000000"/>
                <w:kern w:val="0"/>
                <w:sz w:val="28"/>
                <w:szCs w:val="28"/>
              </w:rPr>
              <w:t>＜</w:t>
            </w:r>
            <w:r w:rsidR="00337914" w:rsidRPr="006E40EF">
              <w:rPr>
                <w:rFonts w:ascii="宋体" w:eastAsia="宋体" w:hAnsi="宋体" w:cs="宋体" w:hint="eastAsia"/>
                <w:color w:val="000000"/>
                <w:kern w:val="0"/>
                <w:sz w:val="24"/>
              </w:rPr>
              <w:t>H</w:t>
            </w:r>
            <w:r w:rsidRPr="009B4DB7">
              <w:rPr>
                <w:rFonts w:ascii="宋体" w:eastAsia="宋体" w:hAnsi="宋体" w:cs="宋体" w:hint="eastAsia"/>
                <w:color w:val="000000"/>
                <w:kern w:val="0"/>
                <w:sz w:val="24"/>
              </w:rPr>
              <w:t>≤5.8</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2倍</w:t>
            </w:r>
          </w:p>
        </w:tc>
        <w:tc>
          <w:tcPr>
            <w:tcW w:w="2037" w:type="dxa"/>
            <w:vMerge/>
            <w:vAlign w:val="center"/>
            <w:hideMark/>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1809" w:type="dxa"/>
            <w:gridSpan w:val="2"/>
            <w:vMerge w:val="restart"/>
            <w:vAlign w:val="center"/>
            <w:hideMark/>
          </w:tcPr>
          <w:p w:rsidR="0054324D"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复式住宅客厅、起居室挑空</w:t>
            </w:r>
          </w:p>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部分</w:t>
            </w:r>
          </w:p>
        </w:tc>
        <w:tc>
          <w:tcPr>
            <w:tcW w:w="2127" w:type="dxa"/>
            <w:vAlign w:val="center"/>
            <w:hideMark/>
          </w:tcPr>
          <w:p w:rsidR="002E2872" w:rsidRPr="009B4DB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H </w:t>
            </w:r>
            <w:r w:rsidR="002E2872" w:rsidRPr="009B4DB7">
              <w:rPr>
                <w:rFonts w:ascii="宋体" w:eastAsia="宋体" w:hAnsi="宋体" w:cs="宋体" w:hint="eastAsia"/>
                <w:color w:val="000000"/>
                <w:kern w:val="0"/>
                <w:sz w:val="24"/>
              </w:rPr>
              <w:t>≤7.2</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2037" w:type="dxa"/>
            <w:vMerge/>
            <w:vAlign w:val="center"/>
            <w:hideMark/>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1809" w:type="dxa"/>
            <w:gridSpan w:val="2"/>
            <w:vMerge/>
            <w:vAlign w:val="center"/>
            <w:hideMark/>
          </w:tcPr>
          <w:p w:rsidR="002E2872" w:rsidRPr="00116707" w:rsidRDefault="002E2872" w:rsidP="00094814">
            <w:pPr>
              <w:widowControl/>
              <w:jc w:val="center"/>
              <w:rPr>
                <w:rFonts w:ascii="宋体" w:eastAsia="宋体" w:hAnsi="宋体" w:cs="宋体"/>
                <w:color w:val="000000"/>
                <w:kern w:val="0"/>
                <w:sz w:val="24"/>
              </w:rPr>
            </w:pPr>
          </w:p>
        </w:tc>
        <w:tc>
          <w:tcPr>
            <w:tcW w:w="2127" w:type="dxa"/>
            <w:vAlign w:val="center"/>
            <w:hideMark/>
          </w:tcPr>
          <w:p w:rsidR="002E2872" w:rsidRPr="009B4DB7" w:rsidRDefault="002E2872" w:rsidP="00094814">
            <w:pPr>
              <w:widowControl/>
              <w:jc w:val="center"/>
              <w:rPr>
                <w:rFonts w:ascii="宋体" w:eastAsia="宋体" w:hAnsi="宋体" w:cs="宋体"/>
                <w:color w:val="000000"/>
                <w:kern w:val="0"/>
                <w:sz w:val="24"/>
              </w:rPr>
            </w:pPr>
            <w:r w:rsidRPr="009B4DB7">
              <w:rPr>
                <w:rFonts w:ascii="宋体" w:eastAsia="宋体" w:hAnsi="宋体" w:cs="宋体" w:hint="eastAsia"/>
                <w:color w:val="000000"/>
                <w:kern w:val="0"/>
                <w:sz w:val="24"/>
              </w:rPr>
              <w:t>7.2</w:t>
            </w:r>
            <w:r w:rsidR="006E40EF" w:rsidRPr="006E40EF">
              <w:rPr>
                <w:rFonts w:ascii="宋体" w:eastAsia="宋体" w:hAnsi="宋体" w:cs="宋体" w:hint="eastAsia"/>
                <w:color w:val="000000"/>
                <w:kern w:val="0"/>
                <w:sz w:val="28"/>
                <w:szCs w:val="28"/>
              </w:rPr>
              <w:t>＜</w:t>
            </w:r>
            <w:r w:rsidR="006E40EF" w:rsidRPr="006E40EF">
              <w:rPr>
                <w:rFonts w:ascii="宋体" w:eastAsia="宋体" w:hAnsi="宋体" w:cs="宋体" w:hint="eastAsia"/>
                <w:color w:val="000000"/>
                <w:kern w:val="0"/>
                <w:sz w:val="24"/>
              </w:rPr>
              <w:t>H</w:t>
            </w:r>
            <w:r w:rsidRPr="009B4DB7">
              <w:rPr>
                <w:rFonts w:ascii="宋体" w:eastAsia="宋体" w:hAnsi="宋体" w:cs="宋体" w:hint="eastAsia"/>
                <w:color w:val="000000"/>
                <w:kern w:val="0"/>
                <w:sz w:val="24"/>
              </w:rPr>
              <w:t>≤9.4</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2倍</w:t>
            </w:r>
          </w:p>
        </w:tc>
        <w:tc>
          <w:tcPr>
            <w:tcW w:w="2037" w:type="dxa"/>
            <w:vMerge/>
            <w:vAlign w:val="center"/>
            <w:hideMark/>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1809" w:type="dxa"/>
            <w:gridSpan w:val="2"/>
            <w:vMerge w:val="restart"/>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办公</w:t>
            </w:r>
            <w:r>
              <w:rPr>
                <w:rFonts w:ascii="宋体" w:eastAsia="宋体" w:hAnsi="宋体" w:cs="宋体" w:hint="eastAsia"/>
                <w:color w:val="000000"/>
                <w:kern w:val="0"/>
                <w:sz w:val="24"/>
              </w:rPr>
              <w:t>建筑</w:t>
            </w:r>
          </w:p>
        </w:tc>
        <w:tc>
          <w:tcPr>
            <w:tcW w:w="2127" w:type="dxa"/>
            <w:vAlign w:val="center"/>
            <w:hideMark/>
          </w:tcPr>
          <w:p w:rsidR="002E2872" w:rsidRPr="009B4DB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H </w:t>
            </w:r>
            <w:r w:rsidR="002E2872" w:rsidRPr="009B4DB7">
              <w:rPr>
                <w:rFonts w:ascii="宋体" w:eastAsia="宋体" w:hAnsi="宋体" w:cs="宋体" w:hint="eastAsia"/>
                <w:color w:val="000000"/>
                <w:kern w:val="0"/>
                <w:sz w:val="24"/>
              </w:rPr>
              <w:t>≤4.5</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2037" w:type="dxa"/>
            <w:vMerge/>
            <w:vAlign w:val="center"/>
            <w:hideMark/>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1809" w:type="dxa"/>
            <w:gridSpan w:val="2"/>
            <w:vMerge/>
            <w:vAlign w:val="center"/>
            <w:hideMark/>
          </w:tcPr>
          <w:p w:rsidR="002E2872" w:rsidRPr="00116707" w:rsidRDefault="002E2872" w:rsidP="00094814">
            <w:pPr>
              <w:widowControl/>
              <w:jc w:val="center"/>
              <w:rPr>
                <w:rFonts w:ascii="宋体" w:eastAsia="宋体" w:hAnsi="宋体" w:cs="宋体"/>
                <w:color w:val="000000"/>
                <w:kern w:val="0"/>
                <w:sz w:val="24"/>
              </w:rPr>
            </w:pPr>
          </w:p>
        </w:tc>
        <w:tc>
          <w:tcPr>
            <w:tcW w:w="2127" w:type="dxa"/>
            <w:vAlign w:val="center"/>
            <w:hideMark/>
          </w:tcPr>
          <w:p w:rsidR="002E2872" w:rsidRPr="009B4DB7" w:rsidRDefault="002E2872" w:rsidP="00094814">
            <w:pPr>
              <w:widowControl/>
              <w:jc w:val="center"/>
              <w:rPr>
                <w:rFonts w:ascii="宋体" w:eastAsia="宋体" w:hAnsi="宋体" w:cs="宋体"/>
                <w:color w:val="000000"/>
                <w:kern w:val="0"/>
                <w:sz w:val="24"/>
              </w:rPr>
            </w:pPr>
            <w:r w:rsidRPr="009B4DB7">
              <w:rPr>
                <w:rFonts w:ascii="宋体" w:eastAsia="宋体" w:hAnsi="宋体" w:cs="宋体" w:hint="eastAsia"/>
                <w:color w:val="000000"/>
                <w:kern w:val="0"/>
                <w:sz w:val="24"/>
              </w:rPr>
              <w:t>4.5</w:t>
            </w:r>
            <w:r w:rsidR="006E40EF" w:rsidRPr="006E40EF">
              <w:rPr>
                <w:rFonts w:ascii="宋体" w:eastAsia="宋体" w:hAnsi="宋体" w:cs="宋体" w:hint="eastAsia"/>
                <w:color w:val="000000"/>
                <w:kern w:val="0"/>
                <w:sz w:val="28"/>
                <w:szCs w:val="28"/>
              </w:rPr>
              <w:t>＜</w:t>
            </w:r>
            <w:r w:rsidR="006E40EF" w:rsidRPr="006E40EF">
              <w:rPr>
                <w:rFonts w:ascii="宋体" w:eastAsia="宋体" w:hAnsi="宋体" w:cs="宋体" w:hint="eastAsia"/>
                <w:color w:val="000000"/>
                <w:kern w:val="0"/>
                <w:sz w:val="24"/>
              </w:rPr>
              <w:t>H</w:t>
            </w:r>
            <w:r w:rsidRPr="009B4DB7">
              <w:rPr>
                <w:rFonts w:ascii="宋体" w:eastAsia="宋体" w:hAnsi="宋体" w:cs="宋体" w:hint="eastAsia"/>
                <w:color w:val="000000"/>
                <w:kern w:val="0"/>
                <w:sz w:val="24"/>
              </w:rPr>
              <w:t>≤6.7</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2倍</w:t>
            </w:r>
          </w:p>
        </w:tc>
        <w:tc>
          <w:tcPr>
            <w:tcW w:w="2037" w:type="dxa"/>
            <w:vMerge/>
            <w:vAlign w:val="center"/>
            <w:hideMark/>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679" w:type="dxa"/>
            <w:vMerge w:val="restart"/>
            <w:tcBorders>
              <w:right w:val="single" w:sz="4" w:space="0" w:color="auto"/>
            </w:tcBorders>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商业</w:t>
            </w:r>
            <w:r>
              <w:rPr>
                <w:rFonts w:ascii="宋体" w:eastAsia="宋体" w:hAnsi="宋体" w:cs="宋体" w:hint="eastAsia"/>
                <w:color w:val="000000"/>
                <w:kern w:val="0"/>
                <w:sz w:val="24"/>
              </w:rPr>
              <w:t>建筑</w:t>
            </w:r>
          </w:p>
        </w:tc>
        <w:tc>
          <w:tcPr>
            <w:tcW w:w="1130" w:type="dxa"/>
            <w:vMerge w:val="restart"/>
            <w:tcBorders>
              <w:left w:val="single" w:sz="4" w:space="0" w:color="auto"/>
            </w:tcBorders>
            <w:vAlign w:val="center"/>
          </w:tcPr>
          <w:p w:rsidR="0054324D"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普通</w:t>
            </w:r>
          </w:p>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商业</w:t>
            </w:r>
          </w:p>
        </w:tc>
        <w:tc>
          <w:tcPr>
            <w:tcW w:w="2127" w:type="dxa"/>
            <w:vAlign w:val="center"/>
            <w:hideMark/>
          </w:tcPr>
          <w:p w:rsidR="002E2872" w:rsidRPr="009B4DB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H </w:t>
            </w:r>
            <w:r w:rsidR="002E2872" w:rsidRPr="009B4DB7">
              <w:rPr>
                <w:rFonts w:ascii="宋体" w:eastAsia="宋体" w:hAnsi="宋体" w:cs="宋体" w:hint="eastAsia"/>
                <w:color w:val="000000"/>
                <w:kern w:val="0"/>
                <w:sz w:val="24"/>
              </w:rPr>
              <w:t>≤4.8</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2037" w:type="dxa"/>
            <w:vMerge/>
            <w:vAlign w:val="center"/>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679" w:type="dxa"/>
            <w:vMerge/>
            <w:tcBorders>
              <w:right w:val="single" w:sz="4" w:space="0" w:color="auto"/>
            </w:tcBorders>
            <w:vAlign w:val="center"/>
            <w:hideMark/>
          </w:tcPr>
          <w:p w:rsidR="002E2872" w:rsidRPr="00116707" w:rsidRDefault="002E2872" w:rsidP="00094814">
            <w:pPr>
              <w:widowControl/>
              <w:jc w:val="center"/>
              <w:rPr>
                <w:rFonts w:ascii="宋体" w:eastAsia="宋体" w:hAnsi="宋体" w:cs="宋体"/>
                <w:color w:val="000000"/>
                <w:kern w:val="0"/>
                <w:sz w:val="24"/>
              </w:rPr>
            </w:pPr>
          </w:p>
        </w:tc>
        <w:tc>
          <w:tcPr>
            <w:tcW w:w="1130" w:type="dxa"/>
            <w:vMerge/>
            <w:tcBorders>
              <w:left w:val="single" w:sz="4" w:space="0" w:color="auto"/>
              <w:bottom w:val="single" w:sz="4" w:space="0" w:color="auto"/>
            </w:tcBorders>
            <w:vAlign w:val="center"/>
          </w:tcPr>
          <w:p w:rsidR="002E2872" w:rsidRPr="00116707" w:rsidRDefault="002E2872" w:rsidP="00094814">
            <w:pPr>
              <w:widowControl/>
              <w:jc w:val="center"/>
              <w:rPr>
                <w:rFonts w:ascii="宋体" w:eastAsia="宋体" w:hAnsi="宋体" w:cs="宋体"/>
                <w:color w:val="000000"/>
                <w:kern w:val="0"/>
                <w:sz w:val="24"/>
              </w:rPr>
            </w:pPr>
          </w:p>
        </w:tc>
        <w:tc>
          <w:tcPr>
            <w:tcW w:w="2127" w:type="dxa"/>
            <w:vAlign w:val="center"/>
            <w:hideMark/>
          </w:tcPr>
          <w:p w:rsidR="002E2872" w:rsidRPr="009B4DB7" w:rsidRDefault="002E2872" w:rsidP="00094814">
            <w:pPr>
              <w:widowControl/>
              <w:jc w:val="center"/>
              <w:rPr>
                <w:rFonts w:ascii="宋体" w:eastAsia="宋体" w:hAnsi="宋体" w:cs="宋体"/>
                <w:color w:val="000000"/>
                <w:kern w:val="0"/>
                <w:sz w:val="24"/>
              </w:rPr>
            </w:pPr>
            <w:r w:rsidRPr="009B4DB7">
              <w:rPr>
                <w:rFonts w:ascii="宋体" w:eastAsia="宋体" w:hAnsi="宋体" w:cs="宋体" w:hint="eastAsia"/>
                <w:color w:val="000000"/>
                <w:kern w:val="0"/>
                <w:sz w:val="24"/>
              </w:rPr>
              <w:t>4.8</w:t>
            </w:r>
            <w:r w:rsidR="006E40EF" w:rsidRPr="006E40EF">
              <w:rPr>
                <w:rFonts w:ascii="宋体" w:eastAsia="宋体" w:hAnsi="宋体" w:cs="宋体" w:hint="eastAsia"/>
                <w:color w:val="000000"/>
                <w:kern w:val="0"/>
                <w:sz w:val="28"/>
                <w:szCs w:val="28"/>
              </w:rPr>
              <w:t>＜</w:t>
            </w:r>
            <w:r w:rsidR="006E40EF" w:rsidRPr="006E40EF">
              <w:rPr>
                <w:rFonts w:ascii="宋体" w:eastAsia="宋体" w:hAnsi="宋体" w:cs="宋体" w:hint="eastAsia"/>
                <w:color w:val="000000"/>
                <w:kern w:val="0"/>
                <w:sz w:val="24"/>
              </w:rPr>
              <w:t>H</w:t>
            </w:r>
            <w:r w:rsidR="0054324D" w:rsidRPr="009B4DB7">
              <w:rPr>
                <w:rFonts w:ascii="宋体" w:eastAsia="宋体" w:hAnsi="宋体" w:cs="宋体" w:hint="eastAsia"/>
                <w:color w:val="000000"/>
                <w:kern w:val="0"/>
                <w:sz w:val="24"/>
              </w:rPr>
              <w:t>≤7.0</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2倍</w:t>
            </w:r>
          </w:p>
        </w:tc>
        <w:tc>
          <w:tcPr>
            <w:tcW w:w="2037" w:type="dxa"/>
            <w:vMerge/>
            <w:vAlign w:val="center"/>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679" w:type="dxa"/>
            <w:vMerge/>
            <w:tcBorders>
              <w:right w:val="single" w:sz="4" w:space="0" w:color="auto"/>
            </w:tcBorders>
            <w:vAlign w:val="center"/>
            <w:hideMark/>
          </w:tcPr>
          <w:p w:rsidR="002E2872" w:rsidRPr="00116707" w:rsidRDefault="002E2872" w:rsidP="00094814">
            <w:pPr>
              <w:widowControl/>
              <w:jc w:val="center"/>
              <w:rPr>
                <w:rFonts w:ascii="宋体" w:eastAsia="宋体" w:hAnsi="宋体" w:cs="宋体"/>
                <w:color w:val="000000"/>
                <w:kern w:val="0"/>
                <w:sz w:val="24"/>
              </w:rPr>
            </w:pPr>
          </w:p>
        </w:tc>
        <w:tc>
          <w:tcPr>
            <w:tcW w:w="1130" w:type="dxa"/>
            <w:vMerge w:val="restart"/>
            <w:tcBorders>
              <w:top w:val="single" w:sz="4" w:space="0" w:color="auto"/>
              <w:left w:val="single" w:sz="4" w:space="0" w:color="auto"/>
            </w:tcBorders>
            <w:vAlign w:val="center"/>
          </w:tcPr>
          <w:p w:rsidR="002E2872" w:rsidRPr="00116707" w:rsidRDefault="002E2872"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集中大</w:t>
            </w:r>
            <w:r w:rsidRPr="00116707">
              <w:rPr>
                <w:rFonts w:ascii="宋体" w:eastAsia="宋体" w:hAnsi="宋体" w:cs="宋体" w:hint="eastAsia"/>
                <w:color w:val="000000"/>
                <w:kern w:val="0"/>
                <w:sz w:val="24"/>
              </w:rPr>
              <w:t>型商业</w:t>
            </w:r>
          </w:p>
        </w:tc>
        <w:tc>
          <w:tcPr>
            <w:tcW w:w="2127" w:type="dxa"/>
            <w:vAlign w:val="center"/>
            <w:hideMark/>
          </w:tcPr>
          <w:p w:rsidR="002E2872" w:rsidRPr="009B4DB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H </w:t>
            </w:r>
            <w:r w:rsidR="002E2872" w:rsidRPr="009B4DB7">
              <w:rPr>
                <w:rFonts w:ascii="宋体" w:eastAsia="宋体" w:hAnsi="宋体" w:cs="宋体" w:hint="eastAsia"/>
                <w:color w:val="000000"/>
                <w:kern w:val="0"/>
                <w:sz w:val="24"/>
              </w:rPr>
              <w:t>≤6</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2037" w:type="dxa"/>
            <w:vMerge/>
            <w:vAlign w:val="center"/>
          </w:tcPr>
          <w:p w:rsidR="002E2872" w:rsidRPr="00116707" w:rsidRDefault="002E2872" w:rsidP="00094814">
            <w:pPr>
              <w:widowControl/>
              <w:jc w:val="center"/>
              <w:rPr>
                <w:rFonts w:ascii="宋体" w:eastAsia="宋体" w:hAnsi="宋体" w:cs="宋体"/>
                <w:color w:val="000000"/>
                <w:kern w:val="0"/>
                <w:sz w:val="24"/>
              </w:rPr>
            </w:pPr>
          </w:p>
        </w:tc>
      </w:tr>
      <w:tr w:rsidR="002E2872" w:rsidRPr="00116707" w:rsidTr="001040B9">
        <w:trPr>
          <w:trHeight w:val="435"/>
        </w:trPr>
        <w:tc>
          <w:tcPr>
            <w:tcW w:w="679" w:type="dxa"/>
            <w:vMerge/>
            <w:tcBorders>
              <w:right w:val="single" w:sz="4" w:space="0" w:color="auto"/>
            </w:tcBorders>
            <w:vAlign w:val="center"/>
            <w:hideMark/>
          </w:tcPr>
          <w:p w:rsidR="002E2872" w:rsidRPr="00116707" w:rsidRDefault="002E2872" w:rsidP="00094814">
            <w:pPr>
              <w:widowControl/>
              <w:jc w:val="center"/>
              <w:rPr>
                <w:rFonts w:ascii="宋体" w:eastAsia="宋体" w:hAnsi="宋体" w:cs="宋体"/>
                <w:color w:val="000000"/>
                <w:kern w:val="0"/>
                <w:sz w:val="24"/>
              </w:rPr>
            </w:pPr>
          </w:p>
        </w:tc>
        <w:tc>
          <w:tcPr>
            <w:tcW w:w="1130" w:type="dxa"/>
            <w:vMerge/>
            <w:tcBorders>
              <w:left w:val="single" w:sz="4" w:space="0" w:color="auto"/>
            </w:tcBorders>
            <w:vAlign w:val="center"/>
          </w:tcPr>
          <w:p w:rsidR="002E2872" w:rsidRPr="00116707" w:rsidRDefault="002E2872" w:rsidP="00094814">
            <w:pPr>
              <w:widowControl/>
              <w:jc w:val="center"/>
              <w:rPr>
                <w:rFonts w:ascii="宋体" w:eastAsia="宋体" w:hAnsi="宋体" w:cs="宋体"/>
                <w:color w:val="000000"/>
                <w:kern w:val="0"/>
                <w:sz w:val="24"/>
              </w:rPr>
            </w:pPr>
          </w:p>
        </w:tc>
        <w:tc>
          <w:tcPr>
            <w:tcW w:w="2127" w:type="dxa"/>
            <w:vAlign w:val="center"/>
            <w:hideMark/>
          </w:tcPr>
          <w:p w:rsidR="002E2872" w:rsidRPr="009B4DB7" w:rsidRDefault="002E2872" w:rsidP="00094814">
            <w:pPr>
              <w:widowControl/>
              <w:jc w:val="center"/>
              <w:rPr>
                <w:rFonts w:ascii="宋体" w:eastAsia="宋体" w:hAnsi="宋体" w:cs="宋体"/>
                <w:color w:val="000000"/>
                <w:kern w:val="0"/>
                <w:sz w:val="24"/>
              </w:rPr>
            </w:pPr>
            <w:r w:rsidRPr="009B4DB7">
              <w:rPr>
                <w:rFonts w:ascii="宋体" w:eastAsia="宋体" w:hAnsi="宋体" w:cs="宋体" w:hint="eastAsia"/>
                <w:color w:val="000000"/>
                <w:kern w:val="0"/>
                <w:sz w:val="24"/>
              </w:rPr>
              <w:t>6</w:t>
            </w:r>
            <w:r w:rsidR="006E40EF" w:rsidRPr="006E40EF">
              <w:rPr>
                <w:rFonts w:ascii="宋体" w:eastAsia="宋体" w:hAnsi="宋体" w:cs="宋体" w:hint="eastAsia"/>
                <w:color w:val="000000"/>
                <w:kern w:val="0"/>
                <w:sz w:val="28"/>
                <w:szCs w:val="28"/>
              </w:rPr>
              <w:t>＜</w:t>
            </w:r>
            <w:r w:rsidR="006E40EF" w:rsidRPr="006E40EF">
              <w:rPr>
                <w:rFonts w:ascii="宋体" w:eastAsia="宋体" w:hAnsi="宋体" w:cs="宋体" w:hint="eastAsia"/>
                <w:color w:val="000000"/>
                <w:kern w:val="0"/>
                <w:sz w:val="24"/>
              </w:rPr>
              <w:t>H</w:t>
            </w:r>
            <w:r w:rsidR="0054324D" w:rsidRPr="009B4DB7">
              <w:rPr>
                <w:rFonts w:ascii="宋体" w:eastAsia="宋体" w:hAnsi="宋体" w:cs="宋体" w:hint="eastAsia"/>
                <w:color w:val="000000"/>
                <w:kern w:val="0"/>
                <w:sz w:val="24"/>
              </w:rPr>
              <w:t>≤8.2</w:t>
            </w:r>
          </w:p>
        </w:tc>
        <w:tc>
          <w:tcPr>
            <w:tcW w:w="1984" w:type="dxa"/>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tcBorders>
              <w:top w:val="single" w:sz="4" w:space="0" w:color="auto"/>
            </w:tcBorders>
            <w:vAlign w:val="center"/>
            <w:hideMark/>
          </w:tcPr>
          <w:p w:rsidR="002E2872" w:rsidRPr="00116707" w:rsidRDefault="002E2872"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2倍</w:t>
            </w:r>
          </w:p>
        </w:tc>
        <w:tc>
          <w:tcPr>
            <w:tcW w:w="2037" w:type="dxa"/>
            <w:vMerge/>
            <w:vAlign w:val="center"/>
          </w:tcPr>
          <w:p w:rsidR="002E2872" w:rsidRPr="00116707" w:rsidRDefault="002E2872" w:rsidP="00094814">
            <w:pPr>
              <w:widowControl/>
              <w:jc w:val="center"/>
              <w:rPr>
                <w:rFonts w:ascii="宋体" w:eastAsia="宋体" w:hAnsi="宋体" w:cs="宋体"/>
                <w:color w:val="000000"/>
                <w:kern w:val="0"/>
                <w:sz w:val="24"/>
              </w:rPr>
            </w:pPr>
          </w:p>
        </w:tc>
      </w:tr>
      <w:tr w:rsidR="006E40EF" w:rsidRPr="00116707" w:rsidTr="001040B9">
        <w:trPr>
          <w:trHeight w:val="435"/>
        </w:trPr>
        <w:tc>
          <w:tcPr>
            <w:tcW w:w="1809" w:type="dxa"/>
            <w:gridSpan w:val="2"/>
            <w:vMerge w:val="restart"/>
            <w:vAlign w:val="center"/>
            <w:hideMark/>
          </w:tcPr>
          <w:p w:rsidR="006E40EF" w:rsidRDefault="006E40EF"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厂房</w:t>
            </w:r>
          </w:p>
          <w:p w:rsidR="006E40EF" w:rsidRPr="0011670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仓储</w:t>
            </w:r>
          </w:p>
        </w:tc>
        <w:tc>
          <w:tcPr>
            <w:tcW w:w="2127" w:type="dxa"/>
            <w:vAlign w:val="center"/>
            <w:hideMark/>
          </w:tcPr>
          <w:p w:rsidR="006E40EF" w:rsidRPr="009B4DB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H </w:t>
            </w:r>
            <w:r w:rsidRPr="009B4DB7">
              <w:rPr>
                <w:rFonts w:ascii="宋体" w:eastAsia="宋体" w:hAnsi="宋体" w:cs="宋体" w:hint="eastAsia"/>
                <w:color w:val="000000"/>
                <w:kern w:val="0"/>
                <w:sz w:val="24"/>
              </w:rPr>
              <w:t>≤8</w:t>
            </w:r>
          </w:p>
        </w:tc>
        <w:tc>
          <w:tcPr>
            <w:tcW w:w="1984" w:type="dxa"/>
            <w:vAlign w:val="center"/>
            <w:hideMark/>
          </w:tcPr>
          <w:p w:rsidR="006E40EF" w:rsidRPr="00116707" w:rsidRDefault="006E40EF"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6E40EF" w:rsidRPr="00116707" w:rsidRDefault="006E40EF"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2037" w:type="dxa"/>
            <w:vMerge w:val="restart"/>
            <w:vAlign w:val="center"/>
            <w:hideMark/>
          </w:tcPr>
          <w:p w:rsidR="006E40EF" w:rsidRPr="00116707" w:rsidRDefault="006E40EF" w:rsidP="006E40EF">
            <w:pPr>
              <w:jc w:val="center"/>
              <w:rPr>
                <w:rFonts w:ascii="宋体" w:eastAsia="宋体" w:hAnsi="宋体" w:cs="宋体"/>
                <w:color w:val="000000"/>
                <w:kern w:val="0"/>
                <w:sz w:val="20"/>
                <w:szCs w:val="20"/>
              </w:rPr>
            </w:pPr>
            <w:r w:rsidRPr="00E3568C">
              <w:rPr>
                <w:rFonts w:ascii="宋体" w:eastAsia="宋体" w:hAnsi="宋体" w:cs="宋体" w:hint="eastAsia"/>
                <w:color w:val="000000"/>
                <w:kern w:val="0"/>
                <w:sz w:val="24"/>
              </w:rPr>
              <w:t>建筑层高超出</w:t>
            </w:r>
            <w:r>
              <w:rPr>
                <w:rFonts w:ascii="宋体" w:eastAsia="宋体" w:hAnsi="宋体" w:cs="宋体" w:hint="eastAsia"/>
                <w:color w:val="000000"/>
                <w:kern w:val="0"/>
                <w:sz w:val="24"/>
              </w:rPr>
              <w:t>8米均按2倍计算容积率建筑面</w:t>
            </w:r>
            <w:r w:rsidRPr="00116707">
              <w:rPr>
                <w:rFonts w:ascii="宋体" w:eastAsia="宋体" w:hAnsi="宋体" w:cs="宋体" w:hint="eastAsia"/>
                <w:color w:val="000000"/>
                <w:kern w:val="0"/>
                <w:sz w:val="24"/>
              </w:rPr>
              <w:t>积</w:t>
            </w:r>
            <w:r>
              <w:rPr>
                <w:rFonts w:ascii="宋体" w:eastAsia="宋体" w:hAnsi="宋体" w:cs="宋体" w:hint="eastAsia"/>
                <w:color w:val="000000"/>
                <w:kern w:val="0"/>
                <w:sz w:val="24"/>
              </w:rPr>
              <w:t>。</w:t>
            </w:r>
          </w:p>
        </w:tc>
      </w:tr>
      <w:tr w:rsidR="006E40EF" w:rsidRPr="00116707" w:rsidTr="001040B9">
        <w:trPr>
          <w:trHeight w:val="435"/>
        </w:trPr>
        <w:tc>
          <w:tcPr>
            <w:tcW w:w="1809" w:type="dxa"/>
            <w:gridSpan w:val="2"/>
            <w:vMerge/>
            <w:hideMark/>
          </w:tcPr>
          <w:p w:rsidR="006E40EF" w:rsidRPr="00116707" w:rsidRDefault="006E40EF" w:rsidP="00116707">
            <w:pPr>
              <w:widowControl/>
              <w:jc w:val="left"/>
              <w:rPr>
                <w:rFonts w:ascii="宋体" w:eastAsia="宋体" w:hAnsi="宋体" w:cs="宋体"/>
                <w:color w:val="000000"/>
                <w:kern w:val="0"/>
                <w:sz w:val="24"/>
              </w:rPr>
            </w:pPr>
          </w:p>
        </w:tc>
        <w:tc>
          <w:tcPr>
            <w:tcW w:w="2127" w:type="dxa"/>
            <w:vAlign w:val="center"/>
            <w:hideMark/>
          </w:tcPr>
          <w:p w:rsidR="006E40EF" w:rsidRPr="009B4DB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H</w:t>
            </w:r>
            <w:r w:rsidRPr="009B4DB7">
              <w:rPr>
                <w:rFonts w:ascii="宋体" w:eastAsia="宋体" w:hAnsi="宋体" w:cs="宋体" w:hint="eastAsia"/>
                <w:color w:val="000000"/>
                <w:kern w:val="0"/>
                <w:sz w:val="24"/>
              </w:rPr>
              <w:t>＞8</w:t>
            </w:r>
          </w:p>
        </w:tc>
        <w:tc>
          <w:tcPr>
            <w:tcW w:w="1984" w:type="dxa"/>
            <w:vAlign w:val="center"/>
            <w:hideMark/>
          </w:tcPr>
          <w:p w:rsidR="006E40EF" w:rsidRPr="00116707" w:rsidRDefault="006E40EF" w:rsidP="00094814">
            <w:pPr>
              <w:widowControl/>
              <w:jc w:val="center"/>
              <w:rPr>
                <w:rFonts w:ascii="宋体" w:eastAsia="宋体" w:hAnsi="宋体" w:cs="宋体"/>
                <w:color w:val="000000"/>
                <w:kern w:val="0"/>
                <w:sz w:val="24"/>
              </w:rPr>
            </w:pPr>
            <w:r w:rsidRPr="00116707">
              <w:rPr>
                <w:rFonts w:ascii="宋体" w:eastAsia="宋体" w:hAnsi="宋体" w:cs="宋体" w:hint="eastAsia"/>
                <w:color w:val="000000"/>
                <w:kern w:val="0"/>
                <w:sz w:val="24"/>
              </w:rPr>
              <w:t>1倍</w:t>
            </w:r>
          </w:p>
        </w:tc>
        <w:tc>
          <w:tcPr>
            <w:tcW w:w="1843" w:type="dxa"/>
            <w:vAlign w:val="center"/>
            <w:hideMark/>
          </w:tcPr>
          <w:p w:rsidR="006E40EF" w:rsidRPr="00116707" w:rsidRDefault="006E40EF" w:rsidP="0009481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r w:rsidRPr="00116707">
              <w:rPr>
                <w:rFonts w:ascii="宋体" w:eastAsia="宋体" w:hAnsi="宋体" w:cs="宋体" w:hint="eastAsia"/>
                <w:color w:val="000000"/>
                <w:kern w:val="0"/>
                <w:sz w:val="24"/>
              </w:rPr>
              <w:t>倍</w:t>
            </w:r>
          </w:p>
        </w:tc>
        <w:tc>
          <w:tcPr>
            <w:tcW w:w="2037" w:type="dxa"/>
            <w:vMerge/>
            <w:vAlign w:val="center"/>
            <w:hideMark/>
          </w:tcPr>
          <w:p w:rsidR="006E40EF" w:rsidRPr="00116707" w:rsidRDefault="006E40EF" w:rsidP="00094814">
            <w:pPr>
              <w:widowControl/>
              <w:jc w:val="center"/>
              <w:rPr>
                <w:rFonts w:ascii="宋体" w:eastAsia="宋体" w:hAnsi="宋体" w:cs="宋体"/>
                <w:color w:val="000000"/>
                <w:kern w:val="0"/>
                <w:sz w:val="20"/>
                <w:szCs w:val="20"/>
              </w:rPr>
            </w:pPr>
          </w:p>
        </w:tc>
      </w:tr>
    </w:tbl>
    <w:p w:rsidR="00856362" w:rsidRPr="00610AB8" w:rsidRDefault="00856362" w:rsidP="00703314">
      <w:pPr>
        <w:rPr>
          <w:rFonts w:ascii="仿宋" w:eastAsia="仿宋" w:hAnsi="仿宋" w:cs="仿宋"/>
          <w:sz w:val="32"/>
          <w:szCs w:val="32"/>
        </w:rPr>
      </w:pPr>
    </w:p>
    <w:sectPr w:rsidR="00856362" w:rsidRPr="00610AB8" w:rsidSect="009216A3">
      <w:footerReference w:type="default" r:id="rId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61" w:rsidRDefault="00620E61" w:rsidP="00974A34">
      <w:r>
        <w:separator/>
      </w:r>
    </w:p>
  </w:endnote>
  <w:endnote w:type="continuationSeparator" w:id="0">
    <w:p w:rsidR="00620E61" w:rsidRDefault="00620E61" w:rsidP="0097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0079"/>
      <w:docPartObj>
        <w:docPartGallery w:val="Page Numbers (Bottom of Page)"/>
        <w:docPartUnique/>
      </w:docPartObj>
    </w:sdtPr>
    <w:sdtEndPr/>
    <w:sdtContent>
      <w:p w:rsidR="00974A34" w:rsidRDefault="00F85BB3">
        <w:pPr>
          <w:pStyle w:val="a5"/>
          <w:jc w:val="center"/>
        </w:pPr>
        <w:r>
          <w:fldChar w:fldCharType="begin"/>
        </w:r>
        <w:r>
          <w:instrText xml:space="preserve"> PAGE   \* MERGEFORMAT </w:instrText>
        </w:r>
        <w:r>
          <w:fldChar w:fldCharType="separate"/>
        </w:r>
        <w:r w:rsidR="00F5635E" w:rsidRPr="00F5635E">
          <w:rPr>
            <w:noProof/>
            <w:lang w:val="zh-CN"/>
          </w:rPr>
          <w:t>8</w:t>
        </w:r>
        <w:r>
          <w:rPr>
            <w:noProof/>
            <w:lang w:val="zh-CN"/>
          </w:rPr>
          <w:fldChar w:fldCharType="end"/>
        </w:r>
      </w:p>
    </w:sdtContent>
  </w:sdt>
  <w:p w:rsidR="00974A34" w:rsidRDefault="00974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61" w:rsidRDefault="00620E61" w:rsidP="00974A34">
      <w:r>
        <w:separator/>
      </w:r>
    </w:p>
  </w:footnote>
  <w:footnote w:type="continuationSeparator" w:id="0">
    <w:p w:rsidR="00620E61" w:rsidRDefault="00620E61" w:rsidP="0097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9D63530"/>
    <w:rsid w:val="00094814"/>
    <w:rsid w:val="000B2CE7"/>
    <w:rsid w:val="001040B9"/>
    <w:rsid w:val="00116707"/>
    <w:rsid w:val="001602E6"/>
    <w:rsid w:val="001656AB"/>
    <w:rsid w:val="00167999"/>
    <w:rsid w:val="00175BDB"/>
    <w:rsid w:val="001B177D"/>
    <w:rsid w:val="001D77BE"/>
    <w:rsid w:val="0023733D"/>
    <w:rsid w:val="00264B78"/>
    <w:rsid w:val="00297349"/>
    <w:rsid w:val="002E2872"/>
    <w:rsid w:val="0033771D"/>
    <w:rsid w:val="00337914"/>
    <w:rsid w:val="00375E45"/>
    <w:rsid w:val="003D781D"/>
    <w:rsid w:val="003E32EA"/>
    <w:rsid w:val="00423386"/>
    <w:rsid w:val="0042684A"/>
    <w:rsid w:val="00435159"/>
    <w:rsid w:val="00472671"/>
    <w:rsid w:val="004A7BD5"/>
    <w:rsid w:val="005042CE"/>
    <w:rsid w:val="0054324D"/>
    <w:rsid w:val="00571B87"/>
    <w:rsid w:val="0057475A"/>
    <w:rsid w:val="00585D7A"/>
    <w:rsid w:val="005862E2"/>
    <w:rsid w:val="005C2D6D"/>
    <w:rsid w:val="00610AB8"/>
    <w:rsid w:val="00620E61"/>
    <w:rsid w:val="00647A5B"/>
    <w:rsid w:val="006D7B3D"/>
    <w:rsid w:val="006E40EF"/>
    <w:rsid w:val="00703314"/>
    <w:rsid w:val="00720DC7"/>
    <w:rsid w:val="00761532"/>
    <w:rsid w:val="00765704"/>
    <w:rsid w:val="007757A8"/>
    <w:rsid w:val="00777A3A"/>
    <w:rsid w:val="007B027D"/>
    <w:rsid w:val="007B320C"/>
    <w:rsid w:val="007D0C4F"/>
    <w:rsid w:val="007E4AA0"/>
    <w:rsid w:val="00801B3B"/>
    <w:rsid w:val="00802976"/>
    <w:rsid w:val="00856362"/>
    <w:rsid w:val="00862443"/>
    <w:rsid w:val="008A30C7"/>
    <w:rsid w:val="008C573A"/>
    <w:rsid w:val="008D2537"/>
    <w:rsid w:val="00907960"/>
    <w:rsid w:val="009216A3"/>
    <w:rsid w:val="00930653"/>
    <w:rsid w:val="00943B08"/>
    <w:rsid w:val="00974A34"/>
    <w:rsid w:val="00981547"/>
    <w:rsid w:val="00991F67"/>
    <w:rsid w:val="009B4DB7"/>
    <w:rsid w:val="00A1742B"/>
    <w:rsid w:val="00A357FB"/>
    <w:rsid w:val="00AC03D4"/>
    <w:rsid w:val="00AC0F3A"/>
    <w:rsid w:val="00AC25B4"/>
    <w:rsid w:val="00AE2BF2"/>
    <w:rsid w:val="00AF5531"/>
    <w:rsid w:val="00AF6378"/>
    <w:rsid w:val="00B53270"/>
    <w:rsid w:val="00BC1515"/>
    <w:rsid w:val="00C87A6E"/>
    <w:rsid w:val="00C96113"/>
    <w:rsid w:val="00CA23EC"/>
    <w:rsid w:val="00CE11ED"/>
    <w:rsid w:val="00CF2B04"/>
    <w:rsid w:val="00E3568C"/>
    <w:rsid w:val="00E443CC"/>
    <w:rsid w:val="00EE64C6"/>
    <w:rsid w:val="00F35477"/>
    <w:rsid w:val="00F5635E"/>
    <w:rsid w:val="00F73FB4"/>
    <w:rsid w:val="00F85BB3"/>
    <w:rsid w:val="00FB7A62"/>
    <w:rsid w:val="00FF3D94"/>
    <w:rsid w:val="00FF6552"/>
    <w:rsid w:val="49D635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6B9AF"/>
  <w15:docId w15:val="{E6FF8E27-7184-416F-B66D-7268396C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16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4A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4A34"/>
    <w:rPr>
      <w:rFonts w:asciiTheme="minorHAnsi" w:eastAsiaTheme="minorEastAsia" w:hAnsiTheme="minorHAnsi" w:cstheme="minorBidi"/>
      <w:kern w:val="2"/>
      <w:sz w:val="18"/>
      <w:szCs w:val="18"/>
    </w:rPr>
  </w:style>
  <w:style w:type="paragraph" w:styleId="a5">
    <w:name w:val="footer"/>
    <w:basedOn w:val="a"/>
    <w:link w:val="a6"/>
    <w:uiPriority w:val="99"/>
    <w:rsid w:val="00974A34"/>
    <w:pPr>
      <w:tabs>
        <w:tab w:val="center" w:pos="4153"/>
        <w:tab w:val="right" w:pos="8306"/>
      </w:tabs>
      <w:snapToGrid w:val="0"/>
      <w:jc w:val="left"/>
    </w:pPr>
    <w:rPr>
      <w:sz w:val="18"/>
      <w:szCs w:val="18"/>
    </w:rPr>
  </w:style>
  <w:style w:type="character" w:customStyle="1" w:styleId="a6">
    <w:name w:val="页脚 字符"/>
    <w:basedOn w:val="a0"/>
    <w:link w:val="a5"/>
    <w:uiPriority w:val="99"/>
    <w:rsid w:val="00974A34"/>
    <w:rPr>
      <w:rFonts w:asciiTheme="minorHAnsi" w:eastAsiaTheme="minorEastAsia" w:hAnsiTheme="minorHAnsi" w:cstheme="minorBidi"/>
      <w:kern w:val="2"/>
      <w:sz w:val="18"/>
      <w:szCs w:val="18"/>
    </w:rPr>
  </w:style>
  <w:style w:type="paragraph" w:styleId="a7">
    <w:name w:val="Normal (Web)"/>
    <w:basedOn w:val="a"/>
    <w:uiPriority w:val="99"/>
    <w:unhideWhenUsed/>
    <w:rsid w:val="007B027D"/>
    <w:pPr>
      <w:spacing w:before="100" w:beforeAutospacing="1" w:after="100" w:afterAutospacing="1"/>
      <w:jc w:val="left"/>
    </w:pPr>
    <w:rPr>
      <w:rFonts w:ascii="Calibri" w:eastAsia="宋体" w:hAnsi="Calibri" w:cs="Times New Roman"/>
      <w:kern w:val="0"/>
      <w:sz w:val="24"/>
    </w:rPr>
  </w:style>
  <w:style w:type="table" w:styleId="a8">
    <w:name w:val="Table Grid"/>
    <w:basedOn w:val="a1"/>
    <w:rsid w:val="001167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7880">
      <w:bodyDiv w:val="1"/>
      <w:marLeft w:val="0"/>
      <w:marRight w:val="0"/>
      <w:marTop w:val="0"/>
      <w:marBottom w:val="0"/>
      <w:divBdr>
        <w:top w:val="none" w:sz="0" w:space="0" w:color="auto"/>
        <w:left w:val="none" w:sz="0" w:space="0" w:color="auto"/>
        <w:bottom w:val="none" w:sz="0" w:space="0" w:color="auto"/>
        <w:right w:val="none" w:sz="0" w:space="0" w:color="auto"/>
      </w:divBdr>
    </w:div>
    <w:div w:id="563639726">
      <w:bodyDiv w:val="1"/>
      <w:marLeft w:val="0"/>
      <w:marRight w:val="0"/>
      <w:marTop w:val="0"/>
      <w:marBottom w:val="0"/>
      <w:divBdr>
        <w:top w:val="none" w:sz="0" w:space="0" w:color="auto"/>
        <w:left w:val="none" w:sz="0" w:space="0" w:color="auto"/>
        <w:bottom w:val="none" w:sz="0" w:space="0" w:color="auto"/>
        <w:right w:val="none" w:sz="0" w:space="0" w:color="auto"/>
      </w:divBdr>
    </w:div>
    <w:div w:id="1022632861">
      <w:bodyDiv w:val="1"/>
      <w:marLeft w:val="0"/>
      <w:marRight w:val="0"/>
      <w:marTop w:val="0"/>
      <w:marBottom w:val="0"/>
      <w:divBdr>
        <w:top w:val="none" w:sz="0" w:space="0" w:color="auto"/>
        <w:left w:val="none" w:sz="0" w:space="0" w:color="auto"/>
        <w:bottom w:val="none" w:sz="0" w:space="0" w:color="auto"/>
        <w:right w:val="none" w:sz="0" w:space="0" w:color="auto"/>
      </w:divBdr>
    </w:div>
    <w:div w:id="1814784462">
      <w:bodyDiv w:val="1"/>
      <w:marLeft w:val="0"/>
      <w:marRight w:val="0"/>
      <w:marTop w:val="0"/>
      <w:marBottom w:val="0"/>
      <w:divBdr>
        <w:top w:val="none" w:sz="0" w:space="0" w:color="auto"/>
        <w:left w:val="none" w:sz="0" w:space="0" w:color="auto"/>
        <w:bottom w:val="none" w:sz="0" w:space="0" w:color="auto"/>
        <w:right w:val="none" w:sz="0" w:space="0" w:color="auto"/>
      </w:divBdr>
    </w:div>
    <w:div w:id="2062627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487</Words>
  <Characters>2778</Characters>
  <Application>Microsoft Office Word</Application>
  <DocSecurity>0</DocSecurity>
  <Lines>23</Lines>
  <Paragraphs>6</Paragraphs>
  <ScaleCrop>false</ScaleCrop>
  <Company>揭阳市城市规划局</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洪东林(UE000336)</cp:lastModifiedBy>
  <cp:revision>45</cp:revision>
  <dcterms:created xsi:type="dcterms:W3CDTF">2025-04-03T08:24:00Z</dcterms:created>
  <dcterms:modified xsi:type="dcterms:W3CDTF">2025-04-22T07:48:00Z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