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4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bookmarkStart w:id="9" w:name="_GoBack"/>
      <w:bookmarkEnd w:id="9"/>
    </w:p>
    <w:p>
      <w:pPr>
        <w:keepNext w:val="0"/>
        <w:keepLines w:val="0"/>
        <w:pageBreakBefore w:val="0"/>
        <w:kinsoku/>
        <w:wordWrap/>
        <w:overflowPunct/>
        <w:topLinePunct w:val="0"/>
        <w:bidi w:val="0"/>
        <w:snapToGrid/>
        <w:spacing w:line="5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overflowPunct/>
        <w:topLinePunct w:val="0"/>
        <w:bidi w:val="0"/>
        <w:snapToGrid/>
        <w:spacing w:line="54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sz w:val="44"/>
          <w:szCs w:val="44"/>
        </w:rPr>
        <w:t>揭阳市</w:t>
      </w:r>
      <w:r>
        <w:rPr>
          <w:rFonts w:hint="eastAsia" w:ascii="方正小标宋简体" w:hAnsi="方正小标宋简体" w:eastAsia="方正小标宋简体" w:cs="方正小标宋简体"/>
          <w:b w:val="0"/>
          <w:bCs w:val="0"/>
          <w:sz w:val="44"/>
          <w:szCs w:val="44"/>
          <w:lang w:eastAsia="zh-CN"/>
        </w:rPr>
        <w:t>公立医疗机构</w:t>
      </w: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t>“免陪照护服务”等</w:t>
      </w:r>
    </w:p>
    <w:p>
      <w:pPr>
        <w:keepNext w:val="0"/>
        <w:keepLines w:val="0"/>
        <w:pageBreakBefore w:val="0"/>
        <w:kinsoku/>
        <w:wordWrap/>
        <w:overflowPunct/>
        <w:topLinePunct w:val="0"/>
        <w:bidi w:val="0"/>
        <w:snapToGrid/>
        <w:spacing w:line="5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医疗服务价格项目</w:t>
      </w:r>
      <w:r>
        <w:rPr>
          <w:rFonts w:hint="eastAsia" w:ascii="方正小标宋简体" w:hAnsi="方正小标宋简体" w:eastAsia="方正小标宋简体" w:cs="方正小标宋简体"/>
          <w:b w:val="0"/>
          <w:bCs w:val="0"/>
          <w:sz w:val="44"/>
          <w:szCs w:val="44"/>
        </w:rPr>
        <w:t>价格制定方案</w:t>
      </w:r>
    </w:p>
    <w:p>
      <w:pPr>
        <w:keepNext w:val="0"/>
        <w:keepLines w:val="0"/>
        <w:pageBreakBefore w:val="0"/>
        <w:kinsoku/>
        <w:wordWrap/>
        <w:overflowPunct/>
        <w:topLinePunct w:val="0"/>
        <w:bidi w:val="0"/>
        <w:snapToGrid/>
        <w:spacing w:line="5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征求意见稿</w:t>
      </w:r>
      <w:r>
        <w:rPr>
          <w:rFonts w:hint="eastAsia" w:ascii="方正小标宋简体" w:hAnsi="方正小标宋简体" w:eastAsia="方正小标宋简体" w:cs="方正小标宋简体"/>
          <w:b w:val="0"/>
          <w:bCs w:val="0"/>
          <w:sz w:val="44"/>
          <w:szCs w:val="44"/>
        </w:rPr>
        <w:t>）</w:t>
      </w:r>
    </w:p>
    <w:p>
      <w:pPr>
        <w:keepNext w:val="0"/>
        <w:keepLines w:val="0"/>
        <w:pageBreakBefore w:val="0"/>
        <w:kinsoku/>
        <w:wordWrap/>
        <w:overflowPunct/>
        <w:topLinePunct w:val="0"/>
        <w:bidi w:val="0"/>
        <w:snapToGrid/>
        <w:spacing w:line="540" w:lineRule="exact"/>
        <w:textAlignment w:val="auto"/>
        <w:rPr>
          <w:rFonts w:hint="eastAsia" w:eastAsia="仿宋_GB2312"/>
          <w:b w:val="0"/>
          <w:bCs w:val="0"/>
          <w:sz w:val="32"/>
          <w:szCs w:val="32"/>
          <w:lang w:val="en-US" w:eastAsia="zh-CN"/>
        </w:rPr>
      </w:pPr>
    </w:p>
    <w:p>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i w:val="0"/>
          <w:snapToGrid/>
          <w:color w:val="000000"/>
          <w:sz w:val="32"/>
          <w:szCs w:val="32"/>
          <w:lang w:val="en-US" w:eastAsia="zh-CN"/>
        </w:rPr>
        <w:t>为贯彻落实《国家医疗保障局办公室关于进一步做好医疗服务价格管理工作的通知》（医保办发〔2022〕16号）</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themeColor="text1"/>
          <w:sz w:val="32"/>
          <w:szCs w:val="32"/>
          <w:lang w:eastAsia="zh-CN"/>
          <w14:textFill>
            <w14:solidFill>
              <w14:schemeClr w14:val="tx1"/>
            </w14:solidFill>
          </w14:textFill>
        </w:rPr>
        <w:t>《广东省医疗保障局新增医疗服务价格项目管理办法》（粤医保规〔202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号）</w:t>
      </w:r>
      <w:r>
        <w:rPr>
          <w:rFonts w:hint="eastAsia" w:ascii="仿宋_GB2312" w:hAnsi="仿宋_GB2312" w:eastAsia="仿宋_GB2312" w:cs="仿宋_GB2312"/>
          <w:b w:val="0"/>
          <w:i w:val="0"/>
          <w:snapToGrid/>
          <w:color w:val="000000"/>
          <w:sz w:val="32"/>
          <w:szCs w:val="32"/>
          <w:lang w:val="en-US" w:eastAsia="zh-CN"/>
        </w:rPr>
        <w:t>等文件精神，</w:t>
      </w:r>
      <w:r>
        <w:rPr>
          <w:rFonts w:hint="eastAsia" w:ascii="仿宋_GB2312" w:hAnsi="仿宋_GB2312" w:eastAsia="仿宋_GB2312" w:cs="仿宋_GB2312"/>
          <w:b w:val="0"/>
          <w:bCs w:val="0"/>
          <w:sz w:val="32"/>
          <w:szCs w:val="32"/>
          <w:lang w:val="en-US" w:eastAsia="zh-CN"/>
        </w:rPr>
        <w:t>根据</w:t>
      </w:r>
      <w:r>
        <w:rPr>
          <w:rFonts w:hint="eastAsia" w:ascii="仿宋_GB2312" w:hAnsi="仿宋_GB2312" w:eastAsia="仿宋_GB2312" w:cs="仿宋_GB2312"/>
          <w:sz w:val="32"/>
          <w:szCs w:val="32"/>
          <w:lang w:val="en-US" w:eastAsia="zh-CN"/>
        </w:rPr>
        <w:t>《广东省医疗保障局关于公布“免陪照护服务”价格项目的通知》(粤医保发〔2025〕2号）、</w:t>
      </w:r>
      <w:bookmarkStart w:id="0" w:name="OLE_LINK4"/>
      <w:r>
        <w:rPr>
          <w:rFonts w:hint="eastAsia" w:ascii="仿宋_GB2312" w:hAnsi="仿宋_GB2312" w:eastAsia="仿宋_GB2312" w:cs="仿宋_GB2312"/>
          <w:color w:val="auto"/>
          <w:sz w:val="32"/>
          <w:szCs w:val="32"/>
          <w:highlight w:val="none"/>
          <w:u w:val="none"/>
          <w:lang w:val="en-US" w:eastAsia="zh-CN"/>
        </w:rPr>
        <w:t>《广东省医疗保障局关于公布临床量表评估类医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疗服务价格项目的通知》（</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粤医保发〔202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文件要求，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结合我市实际，为制定我市各级公立医疗机构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“免陪照护服务”等</w:t>
      </w:r>
      <w:r>
        <w:rPr>
          <w:rFonts w:hint="eastAsia" w:ascii="仿宋_GB2312" w:hAnsi="仿宋_GB2312" w:eastAsia="仿宋_GB2312" w:cs="仿宋_GB2312"/>
          <w:color w:val="000000" w:themeColor="text1"/>
          <w:sz w:val="32"/>
          <w:szCs w:val="32"/>
          <w:lang w:eastAsia="zh-CN"/>
          <w14:textFill>
            <w14:solidFill>
              <w14:schemeClr w14:val="tx1"/>
            </w14:solidFill>
          </w14:textFill>
        </w:rPr>
        <w:t>医疗服</w:t>
      </w:r>
      <w:r>
        <w:rPr>
          <w:rFonts w:hint="eastAsia" w:ascii="仿宋_GB2312" w:hAnsi="仿宋_GB2312" w:eastAsia="仿宋_GB2312" w:cs="仿宋_GB2312"/>
          <w:b w:val="0"/>
          <w:bCs w:val="0"/>
          <w:sz w:val="32"/>
          <w:szCs w:val="32"/>
          <w:lang w:eastAsia="zh-CN"/>
        </w:rPr>
        <w:t>务价格项目的价格，特</w:t>
      </w:r>
      <w:r>
        <w:rPr>
          <w:rFonts w:hint="eastAsia" w:ascii="仿宋_GB2312" w:hAnsi="仿宋_GB2312" w:eastAsia="仿宋_GB2312" w:cs="仿宋_GB2312"/>
          <w:b w:val="0"/>
          <w:bCs w:val="0"/>
          <w:sz w:val="32"/>
          <w:szCs w:val="32"/>
        </w:rPr>
        <w:t>制定本方案。</w:t>
      </w:r>
    </w:p>
    <w:p>
      <w:pPr>
        <w:keepNext w:val="0"/>
        <w:keepLines w:val="0"/>
        <w:pageBreakBefore w:val="0"/>
        <w:kinsoku/>
        <w:wordWrap/>
        <w:overflowPunct/>
        <w:topLinePunct w:val="0"/>
        <w:bidi w:val="0"/>
        <w:snapToGrid/>
        <w:spacing w:line="540" w:lineRule="exact"/>
        <w:ind w:firstLine="640" w:firstLineChars="200"/>
        <w:jc w:val="left"/>
        <w:textAlignment w:val="auto"/>
        <w:rPr>
          <w:rFonts w:ascii="黑体" w:hAnsi="黑体" w:eastAsia="黑体" w:cs="黑体"/>
          <w:b w:val="0"/>
          <w:bCs w:val="0"/>
          <w:sz w:val="32"/>
          <w:szCs w:val="32"/>
        </w:rPr>
      </w:pPr>
      <w:r>
        <w:rPr>
          <w:rFonts w:hint="eastAsia" w:ascii="黑体" w:hAnsi="黑体" w:eastAsia="黑体" w:cs="黑体"/>
          <w:b w:val="0"/>
          <w:bCs w:val="0"/>
          <w:sz w:val="32"/>
          <w:szCs w:val="32"/>
        </w:rPr>
        <w:t>一、实施范围</w:t>
      </w:r>
    </w:p>
    <w:p>
      <w:pPr>
        <w:pStyle w:val="6"/>
        <w:keepNext w:val="0"/>
        <w:keepLines w:val="0"/>
        <w:pageBreakBefore w:val="0"/>
        <w:widowControl/>
        <w:shd w:val="clear" w:color="auto" w:fill="FFFFFF"/>
        <w:kinsoku/>
        <w:wordWrap/>
        <w:overflowPunct/>
        <w:topLinePunct w:val="0"/>
        <w:bidi w:val="0"/>
        <w:snapToGrid/>
        <w:spacing w:before="0" w:beforeAutospacing="0" w:after="0" w:afterAutospacing="0" w:line="540" w:lineRule="exact"/>
        <w:ind w:firstLine="640" w:firstLineChars="200"/>
        <w:textAlignment w:val="auto"/>
        <w:rPr>
          <w:rFonts w:eastAsia="仿宋_GB2312" w:asciiTheme="minorHAnsi" w:hAnsiTheme="minorHAnsi" w:cstheme="minorBidi"/>
          <w:b w:val="0"/>
          <w:bCs w:val="0"/>
          <w:kern w:val="2"/>
          <w:sz w:val="32"/>
          <w:szCs w:val="32"/>
          <w:lang w:val="en-US" w:eastAsia="zh-CN" w:bidi="ar-SA"/>
        </w:rPr>
      </w:pPr>
      <w:r>
        <w:rPr>
          <w:rFonts w:hint="eastAsia" w:eastAsia="仿宋_GB2312" w:asciiTheme="minorHAnsi" w:hAnsiTheme="minorHAnsi" w:cstheme="minorBidi"/>
          <w:b w:val="0"/>
          <w:bCs w:val="0"/>
          <w:kern w:val="2"/>
          <w:sz w:val="32"/>
          <w:szCs w:val="32"/>
          <w:lang w:val="en-US" w:eastAsia="zh-CN" w:bidi="ar-SA"/>
        </w:rPr>
        <w:t>全市各级公立医疗机构。</w:t>
      </w:r>
    </w:p>
    <w:p>
      <w:pPr>
        <w:keepNext w:val="0"/>
        <w:keepLines w:val="0"/>
        <w:pageBreakBefore w:val="0"/>
        <w:kinsoku/>
        <w:wordWrap/>
        <w:overflowPunct/>
        <w:topLinePunct w:val="0"/>
        <w:bidi w:val="0"/>
        <w:snapToGrid/>
        <w:spacing w:line="540" w:lineRule="exact"/>
        <w:ind w:firstLine="640" w:firstLineChars="200"/>
        <w:jc w:val="left"/>
        <w:textAlignment w:val="auto"/>
        <w:rPr>
          <w:rFonts w:ascii="黑体" w:hAnsi="黑体" w:eastAsia="黑体" w:cs="黑体"/>
          <w:b w:val="0"/>
          <w:bCs w:val="0"/>
          <w:sz w:val="32"/>
          <w:szCs w:val="32"/>
        </w:rPr>
      </w:pPr>
      <w:r>
        <w:rPr>
          <w:rFonts w:hint="eastAsia" w:ascii="黑体" w:hAnsi="黑体" w:eastAsia="黑体" w:cs="黑体"/>
          <w:b w:val="0"/>
          <w:bCs w:val="0"/>
          <w:sz w:val="32"/>
          <w:szCs w:val="32"/>
        </w:rPr>
        <w:t>二、定价依据</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《广东省定价目录（2022年版）》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粤府办</w:t>
      </w:r>
      <w:r>
        <w:rPr>
          <w:rFonts w:hint="eastAsia" w:ascii="仿宋_GB2312" w:hAnsi="仿宋_GB2312" w:eastAsia="仿宋_GB2312" w:cs="仿宋_GB2312"/>
          <w:b w:val="0"/>
          <w:bCs w:val="0"/>
          <w:kern w:val="0"/>
          <w:sz w:val="32"/>
          <w:szCs w:val="32"/>
          <w:lang w:val="en-US" w:eastAsia="zh-CN" w:bidi="ar"/>
        </w:rPr>
        <w:t>〔2022〕5号）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val="0"/>
          <w:bCs w:val="0"/>
          <w:kern w:val="0"/>
          <w:sz w:val="32"/>
          <w:szCs w:val="32"/>
          <w:lang w:val="en-US" w:eastAsia="zh-CN" w:bidi="ar"/>
        </w:rPr>
        <w:t>《广东省发展改革委关于印发关于政府制定价格行为规则的实施细则（2024年修订）的通知》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kern w:val="0"/>
          <w:sz w:val="32"/>
          <w:szCs w:val="32"/>
          <w:lang w:val="en-US" w:eastAsia="zh-CN" w:bidi="ar"/>
        </w:rPr>
        <w:t>粤发改规〔2024〕3号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（三）《广东省医疗保障局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关于印发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新增医疗服务价格项目管理办法》（粤医保规〔202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号）</w:t>
      </w:r>
    </w:p>
    <w:p>
      <w:pPr>
        <w:pStyle w:val="2"/>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sz w:val="32"/>
          <w:szCs w:val="32"/>
          <w:lang w:val="en-US" w:eastAsia="zh-CN"/>
        </w:rPr>
        <w:t>《广东省医疗保障局关于公布“免陪照护服务”价格项目的通知》(粤医保发〔2025〕2号）</w:t>
      </w:r>
    </w:p>
    <w:p>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color w:val="auto"/>
          <w:sz w:val="32"/>
          <w:szCs w:val="32"/>
          <w:highlight w:val="none"/>
          <w:u w:val="none"/>
          <w:lang w:val="en-US" w:eastAsia="zh-CN"/>
        </w:rPr>
        <w:t>《广东省医疗保障局关于公布临床量表评估类医疗服务价格项目的通知》（</w:t>
      </w:r>
      <w:r>
        <w:rPr>
          <w:rFonts w:hint="default" w:ascii="仿宋_GB2312" w:hAnsi="仿宋_GB2312" w:eastAsia="仿宋_GB2312" w:cs="仿宋_GB2312"/>
          <w:color w:val="auto"/>
          <w:sz w:val="32"/>
          <w:szCs w:val="32"/>
          <w:highlight w:val="none"/>
          <w:u w:val="none"/>
          <w:lang w:val="en-US" w:eastAsia="zh-CN"/>
        </w:rPr>
        <w:t>粤医保发〔202</w:t>
      </w:r>
      <w:r>
        <w:rPr>
          <w:rFonts w:hint="eastAsia" w:ascii="仿宋_GB2312" w:hAnsi="仿宋_GB2312" w:eastAsia="仿宋_GB2312" w:cs="仿宋_GB2312"/>
          <w:color w:val="auto"/>
          <w:sz w:val="32"/>
          <w:szCs w:val="32"/>
          <w:highlight w:val="none"/>
          <w:u w:val="none"/>
          <w:lang w:val="en-US" w:eastAsia="zh-CN"/>
        </w:rPr>
        <w:t>5</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4</w:t>
      </w:r>
      <w:r>
        <w:rPr>
          <w:rFonts w:hint="default" w:ascii="仿宋_GB2312" w:hAnsi="仿宋_GB2312" w:eastAsia="仿宋_GB2312" w:cs="仿宋_GB2312"/>
          <w:color w:val="auto"/>
          <w:sz w:val="32"/>
          <w:szCs w:val="32"/>
          <w:highlight w:val="none"/>
          <w:u w:val="none"/>
          <w:lang w:val="en-US" w:eastAsia="zh-CN"/>
        </w:rPr>
        <w:t>号</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kinsoku/>
        <w:wordWrap/>
        <w:overflowPunct/>
        <w:topLinePunct w:val="0"/>
        <w:bidi w:val="0"/>
        <w:snapToGrid/>
        <w:spacing w:line="540" w:lineRule="exact"/>
        <w:ind w:firstLine="640" w:firstLineChars="200"/>
        <w:jc w:val="left"/>
        <w:textAlignment w:val="auto"/>
        <w:rPr>
          <w:rFonts w:ascii="黑体" w:hAnsi="黑体" w:eastAsia="黑体"/>
          <w:b w:val="0"/>
          <w:bCs w:val="0"/>
          <w:sz w:val="32"/>
          <w:szCs w:val="32"/>
        </w:rPr>
      </w:pPr>
      <w:r>
        <w:rPr>
          <w:rFonts w:hint="eastAsia" w:ascii="黑体" w:hAnsi="黑体" w:eastAsia="黑体"/>
          <w:b w:val="0"/>
          <w:bCs w:val="0"/>
          <w:sz w:val="32"/>
          <w:szCs w:val="32"/>
        </w:rPr>
        <w:t>三、定价原则</w:t>
      </w:r>
    </w:p>
    <w:p>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我市公立医疗机构“</w:t>
      </w:r>
      <w:r>
        <w:rPr>
          <w:rFonts w:hint="eastAsia" w:ascii="仿宋_GB2312" w:hAnsi="仿宋_GB2312" w:eastAsia="仿宋_GB2312" w:cs="仿宋_GB2312"/>
          <w:sz w:val="32"/>
          <w:szCs w:val="32"/>
          <w:lang w:val="en-US" w:eastAsia="zh-CN"/>
        </w:rPr>
        <w:t>免陪照护服务</w:t>
      </w:r>
      <w:r>
        <w:rPr>
          <w:rFonts w:hint="eastAsia" w:ascii="仿宋_GB2312" w:hAnsi="仿宋_GB2312" w:eastAsia="仿宋_GB2312" w:cs="仿宋_GB2312"/>
          <w:b w:val="0"/>
          <w:bCs w:val="0"/>
          <w:color w:val="auto"/>
          <w:sz w:val="32"/>
          <w:szCs w:val="32"/>
          <w:u w:val="none"/>
          <w:lang w:val="en-US" w:eastAsia="zh-CN"/>
        </w:rPr>
        <w:t>”等医疗服务价格项目执行政府指导价，按照服务产出为导向、医疗人力资源消耗为基础、技术劳务与物耗分开的原则，在省公布的“</w:t>
      </w:r>
      <w:r>
        <w:rPr>
          <w:rFonts w:hint="eastAsia" w:ascii="仿宋_GB2312" w:hAnsi="仿宋_GB2312" w:eastAsia="仿宋_GB2312" w:cs="仿宋_GB2312"/>
          <w:sz w:val="32"/>
          <w:szCs w:val="32"/>
          <w:lang w:val="en-US" w:eastAsia="zh-CN"/>
        </w:rPr>
        <w:t>免陪照护服务</w:t>
      </w:r>
      <w:r>
        <w:rPr>
          <w:rFonts w:hint="eastAsia" w:ascii="仿宋_GB2312" w:hAnsi="仿宋_GB2312" w:eastAsia="仿宋_GB2312" w:cs="仿宋_GB2312"/>
          <w:b w:val="0"/>
          <w:bCs w:val="0"/>
          <w:color w:val="auto"/>
          <w:sz w:val="32"/>
          <w:szCs w:val="32"/>
          <w:u w:val="none"/>
          <w:lang w:val="en-US" w:eastAsia="zh-CN"/>
        </w:rPr>
        <w:t>”等医疗服务价格项目全省最高限价的范围内，分别制定我市各级别公立医疗机构项目最高限价。</w:t>
      </w:r>
    </w:p>
    <w:p>
      <w:pPr>
        <w:keepNext w:val="0"/>
        <w:keepLines w:val="0"/>
        <w:pageBreakBefore w:val="0"/>
        <w:kinsoku/>
        <w:wordWrap/>
        <w:overflowPunct/>
        <w:topLinePunct w:val="0"/>
        <w:bidi w:val="0"/>
        <w:snapToGrid/>
        <w:spacing w:line="540" w:lineRule="exact"/>
        <w:ind w:firstLine="640" w:firstLineChars="200"/>
        <w:jc w:val="left"/>
        <w:textAlignment w:val="auto"/>
        <w:rPr>
          <w:rFonts w:ascii="黑体" w:hAnsi="黑体" w:eastAsia="黑体"/>
          <w:b w:val="0"/>
          <w:bCs w:val="0"/>
          <w:sz w:val="32"/>
          <w:szCs w:val="32"/>
        </w:rPr>
      </w:pPr>
      <w:r>
        <w:rPr>
          <w:rFonts w:hint="eastAsia" w:ascii="黑体" w:hAnsi="黑体" w:eastAsia="黑体"/>
          <w:b w:val="0"/>
          <w:bCs w:val="0"/>
          <w:sz w:val="32"/>
          <w:szCs w:val="32"/>
        </w:rPr>
        <w:t>四、定价内容</w:t>
      </w:r>
    </w:p>
    <w:p>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结合我市经济医疗发展水平、群众承受能力和医疗机构成本调查情况，对</w:t>
      </w:r>
      <w:bookmarkStart w:id="1" w:name="OLE_LINK2"/>
      <w:r>
        <w:rPr>
          <w:rFonts w:hint="eastAsia" w:ascii="仿宋_GB2312" w:hAnsi="仿宋_GB2312" w:eastAsia="仿宋_GB2312" w:cs="仿宋_GB2312"/>
          <w:b w:val="0"/>
          <w:bCs w:val="0"/>
          <w:color w:val="auto"/>
          <w:sz w:val="32"/>
          <w:szCs w:val="32"/>
          <w:u w:val="none"/>
          <w:lang w:val="en-US" w:eastAsia="zh-CN"/>
        </w:rPr>
        <w:t>“免陪照护服务”</w:t>
      </w:r>
      <w:bookmarkEnd w:id="1"/>
      <w:r>
        <w:rPr>
          <w:rFonts w:hint="eastAsia" w:ascii="仿宋_GB2312" w:hAnsi="仿宋_GB2312" w:eastAsia="仿宋_GB2312" w:cs="仿宋_GB2312"/>
          <w:b w:val="0"/>
          <w:bCs w:val="0"/>
          <w:color w:val="auto"/>
          <w:sz w:val="32"/>
          <w:szCs w:val="32"/>
          <w:u w:val="none"/>
          <w:lang w:val="en-US" w:eastAsia="zh-CN"/>
        </w:rPr>
        <w:t>“临床量表评估类”等医疗服务价格项目按以下标准确定我市各级别公立医疗机构的最高限价。</w:t>
      </w:r>
    </w:p>
    <w:p>
      <w:pPr>
        <w:keepNext w:val="0"/>
        <w:keepLines w:val="0"/>
        <w:pageBreakBefore w:val="0"/>
        <w:kinsoku/>
        <w:wordWrap/>
        <w:overflowPunct/>
        <w:topLinePunct w:val="0"/>
        <w:bidi w:val="0"/>
        <w:snapToGrid/>
        <w:spacing w:line="540" w:lineRule="exact"/>
        <w:ind w:firstLine="640" w:firstLineChars="200"/>
        <w:textAlignment w:val="auto"/>
        <w:rPr>
          <w:rFonts w:hint="default" w:ascii="仿宋_GB2312" w:hAnsi="仿宋_GB2312" w:eastAsia="仿宋_GB2312" w:cs="仿宋_GB2312"/>
          <w:b w:val="0"/>
          <w:bCs w:val="0"/>
          <w:color w:val="auto"/>
          <w:sz w:val="32"/>
          <w:szCs w:val="32"/>
          <w:u w:val="none"/>
          <w:lang w:val="en-US" w:eastAsia="zh-CN"/>
        </w:rPr>
      </w:pPr>
      <w:bookmarkStart w:id="2" w:name="OLE_LINK9"/>
      <w:bookmarkStart w:id="3" w:name="OLE_LINK1"/>
      <w:r>
        <w:rPr>
          <w:rFonts w:hint="eastAsia" w:ascii="仿宋_GB2312" w:hAnsi="仿宋_GB2312" w:eastAsia="仿宋_GB2312" w:cs="仿宋_GB2312"/>
          <w:b w:val="0"/>
          <w:bCs w:val="0"/>
          <w:color w:val="auto"/>
          <w:sz w:val="32"/>
          <w:szCs w:val="32"/>
          <w:u w:val="none"/>
          <w:lang w:val="en-US" w:eastAsia="zh-CN"/>
        </w:rPr>
        <w:t>我市三级公立医疗机构“免陪照护服务”</w:t>
      </w:r>
      <w:bookmarkStart w:id="4" w:name="OLE_LINK3"/>
      <w:r>
        <w:rPr>
          <w:rFonts w:hint="default" w:ascii="仿宋_GB2312" w:hAnsi="仿宋_GB2312" w:eastAsia="仿宋_GB2312" w:cs="仿宋_GB2312"/>
          <w:b w:val="0"/>
          <w:bCs w:val="0"/>
          <w:color w:val="auto"/>
          <w:sz w:val="32"/>
          <w:szCs w:val="32"/>
          <w:u w:val="none"/>
          <w:lang w:val="en-US" w:eastAsia="zh-CN"/>
        </w:rPr>
        <w:t>医疗服务价格</w:t>
      </w:r>
      <w:r>
        <w:rPr>
          <w:rFonts w:hint="eastAsia" w:ascii="仿宋_GB2312" w:hAnsi="仿宋_GB2312" w:eastAsia="仿宋_GB2312" w:cs="仿宋_GB2312"/>
          <w:b w:val="0"/>
          <w:bCs w:val="0"/>
          <w:color w:val="auto"/>
          <w:sz w:val="32"/>
          <w:szCs w:val="32"/>
          <w:u w:val="none"/>
          <w:lang w:val="en-US" w:eastAsia="zh-CN"/>
        </w:rPr>
        <w:t>项目的价格在</w:t>
      </w:r>
      <w:bookmarkStart w:id="5" w:name="OLE_LINK6"/>
      <w:r>
        <w:rPr>
          <w:rFonts w:hint="eastAsia" w:ascii="仿宋_GB2312" w:hAnsi="仿宋_GB2312" w:eastAsia="仿宋_GB2312" w:cs="仿宋_GB2312"/>
          <w:b w:val="0"/>
          <w:bCs w:val="0"/>
          <w:color w:val="auto"/>
          <w:sz w:val="32"/>
          <w:szCs w:val="32"/>
          <w:u w:val="none"/>
          <w:lang w:val="en-US" w:eastAsia="zh-CN"/>
        </w:rPr>
        <w:t>全省最高限价</w:t>
      </w:r>
      <w:bookmarkEnd w:id="5"/>
      <w:r>
        <w:rPr>
          <w:rFonts w:hint="eastAsia" w:ascii="仿宋_GB2312" w:hAnsi="仿宋_GB2312" w:eastAsia="仿宋_GB2312" w:cs="仿宋_GB2312"/>
          <w:b w:val="0"/>
          <w:bCs w:val="0"/>
          <w:color w:val="auto"/>
          <w:sz w:val="32"/>
          <w:szCs w:val="32"/>
          <w:u w:val="none"/>
          <w:lang w:val="en-US" w:eastAsia="zh-CN"/>
        </w:rPr>
        <w:t>下浮10%</w:t>
      </w:r>
      <w:bookmarkEnd w:id="4"/>
      <w:r>
        <w:rPr>
          <w:rFonts w:hint="eastAsia" w:ascii="仿宋_GB2312" w:hAnsi="仿宋_GB2312" w:eastAsia="仿宋_GB2312" w:cs="仿宋_GB2312"/>
          <w:b w:val="0"/>
          <w:bCs w:val="0"/>
          <w:color w:val="auto"/>
          <w:sz w:val="32"/>
          <w:szCs w:val="32"/>
          <w:u w:val="none"/>
          <w:lang w:val="en-US" w:eastAsia="zh-CN"/>
        </w:rPr>
        <w:t>，</w:t>
      </w:r>
      <w:bookmarkStart w:id="6" w:name="OLE_LINK8"/>
      <w:r>
        <w:rPr>
          <w:rFonts w:hint="eastAsia" w:ascii="仿宋_GB2312" w:hAnsi="仿宋_GB2312" w:eastAsia="仿宋_GB2312" w:cs="仿宋_GB2312"/>
          <w:b w:val="0"/>
          <w:bCs w:val="0"/>
          <w:color w:val="auto"/>
          <w:sz w:val="32"/>
          <w:szCs w:val="32"/>
          <w:u w:val="none"/>
          <w:lang w:val="en-US" w:eastAsia="zh-CN"/>
        </w:rPr>
        <w:t>“临床量表评估类”</w:t>
      </w:r>
      <w:bookmarkEnd w:id="6"/>
      <w:r>
        <w:rPr>
          <w:rFonts w:hint="default" w:ascii="仿宋_GB2312" w:hAnsi="仿宋_GB2312" w:eastAsia="仿宋_GB2312" w:cs="仿宋_GB2312"/>
          <w:b w:val="0"/>
          <w:bCs w:val="0"/>
          <w:color w:val="auto"/>
          <w:sz w:val="32"/>
          <w:szCs w:val="32"/>
          <w:u w:val="none"/>
          <w:lang w:val="en-US" w:eastAsia="zh-CN"/>
        </w:rPr>
        <w:t>医疗服务价格</w:t>
      </w:r>
      <w:r>
        <w:rPr>
          <w:rFonts w:hint="eastAsia" w:ascii="仿宋_GB2312" w:hAnsi="仿宋_GB2312" w:eastAsia="仿宋_GB2312" w:cs="仿宋_GB2312"/>
          <w:b w:val="0"/>
          <w:bCs w:val="0"/>
          <w:color w:val="auto"/>
          <w:sz w:val="32"/>
          <w:szCs w:val="32"/>
          <w:u w:val="none"/>
          <w:lang w:val="en-US" w:eastAsia="zh-CN"/>
        </w:rPr>
        <w:t>项目的价格在全省最高限价下浮5%；二级公立医疗机构比三级公立医疗机构下浮5%，一级公立医疗机构比二级公立医疗机构下浮10%</w:t>
      </w:r>
      <w:bookmarkEnd w:id="2"/>
      <w:r>
        <w:rPr>
          <w:rFonts w:hint="eastAsia" w:ascii="仿宋_GB2312" w:hAnsi="仿宋_GB2312" w:eastAsia="仿宋_GB2312" w:cs="仿宋_GB2312"/>
          <w:b w:val="0"/>
          <w:bCs w:val="0"/>
          <w:color w:val="auto"/>
          <w:sz w:val="32"/>
          <w:szCs w:val="32"/>
          <w:u w:val="none"/>
          <w:lang w:val="en-US" w:eastAsia="zh-CN"/>
        </w:rPr>
        <w:t>（具体价格详见</w:t>
      </w:r>
      <w:bookmarkStart w:id="7" w:name="OLE_LINK5"/>
      <w:r>
        <w:rPr>
          <w:rFonts w:hint="eastAsia" w:ascii="仿宋_GB2312" w:hAnsi="仿宋_GB2312" w:eastAsia="仿宋_GB2312" w:cs="仿宋_GB2312"/>
          <w:b w:val="0"/>
          <w:bCs w:val="0"/>
          <w:color w:val="auto"/>
          <w:sz w:val="32"/>
          <w:szCs w:val="32"/>
          <w:u w:val="none"/>
          <w:lang w:val="en-US" w:eastAsia="zh-CN"/>
        </w:rPr>
        <w:t>附件1、</w:t>
      </w:r>
      <w:bookmarkEnd w:id="7"/>
      <w:r>
        <w:rPr>
          <w:rFonts w:hint="eastAsia" w:ascii="仿宋_GB2312" w:hAnsi="仿宋_GB2312" w:eastAsia="仿宋_GB2312" w:cs="仿宋_GB2312"/>
          <w:b w:val="0"/>
          <w:bCs w:val="0"/>
          <w:color w:val="auto"/>
          <w:sz w:val="32"/>
          <w:szCs w:val="32"/>
          <w:u w:val="none"/>
          <w:lang w:val="en-US" w:eastAsia="zh-CN"/>
        </w:rPr>
        <w:t>2）。</w:t>
      </w:r>
    </w:p>
    <w:bookmarkEnd w:id="3"/>
    <w:p>
      <w:pPr>
        <w:pStyle w:val="6"/>
        <w:keepNext w:val="0"/>
        <w:keepLines w:val="0"/>
        <w:pageBreakBefore w:val="0"/>
        <w:widowControl/>
        <w:shd w:val="clear" w:color="auto" w:fill="FFFFFF"/>
        <w:kinsoku/>
        <w:wordWrap/>
        <w:overflowPunct/>
        <w:topLinePunct w:val="0"/>
        <w:bidi w:val="0"/>
        <w:snapToGrid/>
        <w:spacing w:before="0" w:beforeAutospacing="0" w:after="106" w:afterAutospacing="0" w:line="540" w:lineRule="exact"/>
        <w:ind w:firstLine="640" w:firstLineChars="200"/>
        <w:textAlignment w:val="auto"/>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shd w:val="clear" w:color="auto" w:fill="FFFFFF"/>
        </w:rPr>
        <w:t>五、配套措施</w:t>
      </w:r>
    </w:p>
    <w:p>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各县（市、区）医疗保障局要按规定做好</w:t>
      </w:r>
      <w:r>
        <w:rPr>
          <w:rFonts w:hint="default" w:ascii="仿宋_GB2312" w:hAnsi="仿宋_GB2312" w:eastAsia="仿宋_GB2312" w:cs="仿宋_GB2312"/>
          <w:b w:val="0"/>
          <w:bCs w:val="0"/>
          <w:sz w:val="32"/>
          <w:szCs w:val="32"/>
          <w:lang w:val="en-US" w:eastAsia="zh-CN"/>
        </w:rPr>
        <w:t>政策落实工作，加强对辖区内医疗机构项目执行的指导和监督</w:t>
      </w:r>
      <w:r>
        <w:rPr>
          <w:rFonts w:hint="eastAsia" w:ascii="仿宋_GB2312" w:hAnsi="仿宋_GB2312" w:eastAsia="仿宋_GB2312" w:cs="仿宋_GB2312"/>
          <w:b w:val="0"/>
          <w:bCs w:val="0"/>
          <w:sz w:val="32"/>
          <w:szCs w:val="32"/>
          <w:lang w:val="en-US" w:eastAsia="zh-CN"/>
        </w:rPr>
        <w:t>。市医疗保障事业管理中心应及时做好修订医疗服务价格项目信息维护，确保修订医疗服务价格项目顺利结算。</w:t>
      </w:r>
      <w:r>
        <w:rPr>
          <w:rFonts w:hint="eastAsia" w:ascii="Times New Roman" w:hAnsi="Times New Roman" w:eastAsia="仿宋_GB2312" w:cs="Nimbus Roman"/>
          <w:color w:val="auto"/>
          <w:sz w:val="32"/>
          <w:szCs w:val="32"/>
          <w:lang w:val="en-US" w:eastAsia="zh-CN"/>
        </w:rPr>
        <w:t>医疗机构要严格按照价格政策规定和免陪照护服务规范、临床诊疗规范向患者提供服务并收取费用，不得收取未列明的费用；建立健全内部价格管理制度，严格执行医疗服务价格公示制度，规范医疗服务收费行为</w:t>
      </w:r>
      <w:r>
        <w:rPr>
          <w:rFonts w:hint="eastAsia" w:ascii="仿宋_GB2312" w:hAnsi="仿宋_GB2312" w:eastAsia="仿宋_GB2312" w:cs="仿宋_GB2312"/>
          <w:b w:val="0"/>
          <w:bCs w:val="0"/>
          <w:sz w:val="32"/>
          <w:szCs w:val="32"/>
          <w:lang w:val="en-US" w:eastAsia="zh-CN"/>
        </w:rPr>
        <w:t>，保障患者就医全过程的价格信息知情权。</w:t>
      </w:r>
    </w:p>
    <w:p>
      <w:pPr>
        <w:pStyle w:val="6"/>
        <w:keepNext w:val="0"/>
        <w:keepLines w:val="0"/>
        <w:pageBreakBefore w:val="0"/>
        <w:widowControl/>
        <w:shd w:val="clear" w:color="auto" w:fill="FFFFFF"/>
        <w:kinsoku/>
        <w:wordWrap/>
        <w:overflowPunct/>
        <w:topLinePunct w:val="0"/>
        <w:bidi w:val="0"/>
        <w:snapToGrid/>
        <w:spacing w:before="0" w:beforeAutospacing="0" w:after="106" w:afterAutospacing="0" w:line="540" w:lineRule="exact"/>
        <w:ind w:firstLine="640" w:firstLineChars="200"/>
        <w:textAlignment w:val="auto"/>
        <w:rPr>
          <w:rFonts w:ascii="仿宋_GB2312" w:hAnsi="仿宋_GB2312" w:eastAsia="仿宋_GB2312" w:cs="仿宋_GB2312"/>
          <w:b w:val="0"/>
          <w:bCs w:val="0"/>
          <w:sz w:val="32"/>
          <w:szCs w:val="32"/>
        </w:rPr>
      </w:pPr>
      <w:r>
        <w:rPr>
          <w:rFonts w:hint="eastAsia" w:ascii="黑体" w:hAnsi="黑体" w:eastAsia="黑体" w:cs="黑体"/>
          <w:b w:val="0"/>
          <w:bCs w:val="0"/>
          <w:color w:val="000000"/>
          <w:sz w:val="32"/>
          <w:szCs w:val="32"/>
          <w:shd w:val="clear" w:color="auto" w:fill="FFFFFF"/>
        </w:rPr>
        <w:t>六、实施时间</w:t>
      </w:r>
    </w:p>
    <w:p>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本方案自2025年4月1日起实施，有效期至2030年3月31日止。此前相关医疗服务价格项目价格管理文件与本方案不符的，以本方案为准。如遇国家或省出台新政策，按新政策执行。</w:t>
      </w:r>
    </w:p>
    <w:p>
      <w:pPr>
        <w:keepNext w:val="0"/>
        <w:keepLines w:val="0"/>
        <w:pageBreakBefore w:val="0"/>
        <w:kinsoku/>
        <w:wordWrap/>
        <w:overflowPunct/>
        <w:topLinePunct w:val="0"/>
        <w:bidi w:val="0"/>
        <w:snapToGrid/>
        <w:spacing w:line="540" w:lineRule="exact"/>
        <w:ind w:left="1598" w:leftChars="304" w:hanging="960" w:hangingChars="3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bidi w:val="0"/>
        <w:snapToGrid/>
        <w:spacing w:line="540" w:lineRule="exact"/>
        <w:ind w:left="1918" w:leftChars="304" w:hanging="1280" w:hangingChars="4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bookmarkStart w:id="8" w:name="OLE_LINK7"/>
      <w:r>
        <w:rPr>
          <w:rFonts w:hint="eastAsia" w:ascii="仿宋_GB2312" w:hAnsi="仿宋_GB2312" w:eastAsia="仿宋_GB2312" w:cs="仿宋_GB2312"/>
          <w:b w:val="0"/>
          <w:bCs w:val="0"/>
          <w:sz w:val="32"/>
          <w:szCs w:val="32"/>
          <w:lang w:val="en-US" w:eastAsia="zh-CN"/>
        </w:rPr>
        <w:t>揭阳市公立医疗机构“</w:t>
      </w:r>
      <w:r>
        <w:rPr>
          <w:rFonts w:hint="eastAsia" w:ascii="仿宋_GB2312" w:hAnsi="仿宋_GB2312" w:eastAsia="仿宋_GB2312" w:cs="仿宋_GB2312"/>
          <w:color w:val="auto"/>
          <w:kern w:val="2"/>
          <w:sz w:val="32"/>
          <w:szCs w:val="32"/>
          <w:lang w:val="en-US" w:eastAsia="zh-CN" w:bidi="ar-SA"/>
        </w:rPr>
        <w:t>免陪照护服务</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医疗服务价格</w:t>
      </w:r>
      <w:r>
        <w:rPr>
          <w:rFonts w:hint="eastAsia" w:ascii="仿宋_GB2312" w:hAnsi="仿宋_GB2312" w:eastAsia="仿宋_GB2312" w:cs="仿宋_GB2312"/>
          <w:b w:val="0"/>
          <w:bCs w:val="0"/>
          <w:sz w:val="32"/>
          <w:szCs w:val="32"/>
          <w:lang w:val="en-US" w:eastAsia="zh-CN"/>
        </w:rPr>
        <w:t>项目表</w:t>
      </w:r>
    </w:p>
    <w:bookmarkEnd w:id="8"/>
    <w:p>
      <w:pPr>
        <w:keepNext w:val="0"/>
        <w:keepLines w:val="0"/>
        <w:pageBreakBefore w:val="0"/>
        <w:kinsoku/>
        <w:wordWrap/>
        <w:overflowPunct/>
        <w:topLinePunct w:val="0"/>
        <w:bidi w:val="0"/>
        <w:snapToGrid/>
        <w:spacing w:line="540" w:lineRule="exact"/>
        <w:ind w:left="1916" w:leftChars="760" w:hanging="320" w:hanging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2.揭阳市公立医疗机构“</w:t>
      </w:r>
      <w:r>
        <w:rPr>
          <w:rFonts w:hint="eastAsia" w:ascii="仿宋_GB2312" w:hAnsi="仿宋_GB2312" w:eastAsia="仿宋_GB2312" w:cs="仿宋_GB2312"/>
          <w:b w:val="0"/>
          <w:bCs w:val="0"/>
          <w:color w:val="auto"/>
          <w:sz w:val="32"/>
          <w:szCs w:val="32"/>
          <w:u w:val="none"/>
          <w:lang w:val="en-US" w:eastAsia="zh-CN"/>
        </w:rPr>
        <w:t>临床量表评估类</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医疗服务价格</w:t>
      </w:r>
      <w:r>
        <w:rPr>
          <w:rFonts w:hint="eastAsia" w:ascii="仿宋_GB2312" w:hAnsi="仿宋_GB2312" w:eastAsia="仿宋_GB2312" w:cs="仿宋_GB2312"/>
          <w:b w:val="0"/>
          <w:bCs w:val="0"/>
          <w:sz w:val="32"/>
          <w:szCs w:val="32"/>
          <w:lang w:val="en-US" w:eastAsia="zh-CN"/>
        </w:rPr>
        <w:t>项目表</w:t>
      </w:r>
    </w:p>
    <w:p>
      <w:pPr>
        <w:pStyle w:val="6"/>
        <w:keepNext w:val="0"/>
        <w:keepLines w:val="0"/>
        <w:pageBreakBefore w:val="0"/>
        <w:widowControl/>
        <w:shd w:val="clear" w:color="auto" w:fill="FFFFFF"/>
        <w:kinsoku/>
        <w:wordWrap/>
        <w:overflowPunct/>
        <w:topLinePunct w:val="0"/>
        <w:bidi w:val="0"/>
        <w:snapToGrid/>
        <w:spacing w:before="0" w:beforeAutospacing="0" w:after="106" w:afterAutospacing="0" w:line="540" w:lineRule="exact"/>
        <w:textAlignment w:val="auto"/>
        <w:rPr>
          <w:rFonts w:hint="eastAsia" w:eastAsia="仿宋_GB2312" w:asciiTheme="minorHAnsi" w:hAnsiTheme="minorHAnsi" w:cstheme="minorBidi"/>
          <w:b w:val="0"/>
          <w:bCs w:val="0"/>
          <w:strike/>
          <w:dstrike w:val="0"/>
          <w:color w:val="FF0000"/>
          <w:kern w:val="2"/>
          <w:sz w:val="32"/>
          <w:szCs w:val="32"/>
          <w:lang w:val="en-US" w:eastAsia="zh-CN" w:bidi="ar-SA"/>
        </w:rPr>
      </w:pPr>
    </w:p>
    <w:p>
      <w:pPr>
        <w:pStyle w:val="6"/>
        <w:keepNext w:val="0"/>
        <w:keepLines w:val="0"/>
        <w:pageBreakBefore w:val="0"/>
        <w:widowControl/>
        <w:shd w:val="clear" w:color="auto" w:fill="FFFFFF"/>
        <w:kinsoku/>
        <w:wordWrap/>
        <w:overflowPunct/>
        <w:topLinePunct w:val="0"/>
        <w:bidi w:val="0"/>
        <w:snapToGrid/>
        <w:spacing w:before="0" w:beforeAutospacing="0" w:after="106" w:afterAutospacing="0" w:line="540" w:lineRule="exact"/>
        <w:ind w:left="1598" w:leftChars="304" w:hanging="960" w:hangingChars="300"/>
        <w:textAlignment w:val="auto"/>
        <w:rPr>
          <w:rFonts w:hint="eastAsia" w:eastAsia="仿宋_GB2312" w:asciiTheme="minorHAnsi" w:hAnsiTheme="minorHAnsi" w:cstheme="minorBidi"/>
          <w:b w:val="0"/>
          <w:bCs w:val="0"/>
          <w:kern w:val="2"/>
          <w:sz w:val="32"/>
          <w:szCs w:val="32"/>
          <w:lang w:val="en-US" w:eastAsia="zh-CN" w:bidi="ar-S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1"/>
                              <w:szCs w:val="32"/>
                            </w:rPr>
                          </w:pPr>
                          <w:r>
                            <w:rPr>
                              <w:rFonts w:hint="default" w:ascii="Times New Roman" w:hAnsi="Times New Roman" w:eastAsia="叶根友毛笔行书2.0版" w:cs="Times New Roman"/>
                              <w:sz w:val="28"/>
                              <w:szCs w:val="44"/>
                            </w:rPr>
                            <w:fldChar w:fldCharType="begin"/>
                          </w:r>
                          <w:r>
                            <w:rPr>
                              <w:rFonts w:hint="default" w:ascii="Times New Roman" w:hAnsi="Times New Roman" w:eastAsia="叶根友毛笔行书2.0版" w:cs="Times New Roman"/>
                              <w:sz w:val="28"/>
                              <w:szCs w:val="44"/>
                            </w:rPr>
                            <w:instrText xml:space="preserve"> PAGE  \* MERGEFORMAT </w:instrText>
                          </w:r>
                          <w:r>
                            <w:rPr>
                              <w:rFonts w:hint="default" w:ascii="Times New Roman" w:hAnsi="Times New Roman" w:eastAsia="叶根友毛笔行书2.0版" w:cs="Times New Roman"/>
                              <w:sz w:val="28"/>
                              <w:szCs w:val="44"/>
                            </w:rPr>
                            <w:fldChar w:fldCharType="separate"/>
                          </w:r>
                          <w:r>
                            <w:rPr>
                              <w:rFonts w:hint="default" w:ascii="Times New Roman" w:hAnsi="Times New Roman" w:eastAsia="叶根友毛笔行书2.0版" w:cs="Times New Roman"/>
                              <w:sz w:val="28"/>
                              <w:szCs w:val="44"/>
                            </w:rPr>
                            <w:t>1</w:t>
                          </w:r>
                          <w:r>
                            <w:rPr>
                              <w:rFonts w:hint="default" w:ascii="Times New Roman" w:hAnsi="Times New Roman" w:eastAsia="叶根友毛笔行书2.0版" w:cs="Times New Roman"/>
                              <w:sz w:val="28"/>
                              <w:szCs w:val="44"/>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4"/>
                      <w:rPr>
                        <w:sz w:val="21"/>
                        <w:szCs w:val="32"/>
                      </w:rPr>
                    </w:pPr>
                    <w:r>
                      <w:rPr>
                        <w:rFonts w:hint="default" w:ascii="Times New Roman" w:hAnsi="Times New Roman" w:eastAsia="叶根友毛笔行书2.0版" w:cs="Times New Roman"/>
                        <w:sz w:val="28"/>
                        <w:szCs w:val="44"/>
                      </w:rPr>
                      <w:fldChar w:fldCharType="begin"/>
                    </w:r>
                    <w:r>
                      <w:rPr>
                        <w:rFonts w:hint="default" w:ascii="Times New Roman" w:hAnsi="Times New Roman" w:eastAsia="叶根友毛笔行书2.0版" w:cs="Times New Roman"/>
                        <w:sz w:val="28"/>
                        <w:szCs w:val="44"/>
                      </w:rPr>
                      <w:instrText xml:space="preserve"> PAGE  \* MERGEFORMAT </w:instrText>
                    </w:r>
                    <w:r>
                      <w:rPr>
                        <w:rFonts w:hint="default" w:ascii="Times New Roman" w:hAnsi="Times New Roman" w:eastAsia="叶根友毛笔行书2.0版" w:cs="Times New Roman"/>
                        <w:sz w:val="28"/>
                        <w:szCs w:val="44"/>
                      </w:rPr>
                      <w:fldChar w:fldCharType="separate"/>
                    </w:r>
                    <w:r>
                      <w:rPr>
                        <w:rFonts w:hint="default" w:ascii="Times New Roman" w:hAnsi="Times New Roman" w:eastAsia="叶根友毛笔行书2.0版" w:cs="Times New Roman"/>
                        <w:sz w:val="28"/>
                        <w:szCs w:val="44"/>
                      </w:rPr>
                      <w:t>1</w:t>
                    </w:r>
                    <w:r>
                      <w:rPr>
                        <w:rFonts w:hint="default" w:ascii="Times New Roman" w:hAnsi="Times New Roman" w:eastAsia="叶根友毛笔行书2.0版" w:cs="Times New Roman"/>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AD9BA"/>
    <w:multiLevelType w:val="singleLevel"/>
    <w:tmpl w:val="674AD9B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dit="readOnly"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85"/>
    <w:rsid w:val="00024696"/>
    <w:rsid w:val="00072977"/>
    <w:rsid w:val="00081B50"/>
    <w:rsid w:val="000A4461"/>
    <w:rsid w:val="001A6689"/>
    <w:rsid w:val="001C0272"/>
    <w:rsid w:val="001D1AE3"/>
    <w:rsid w:val="00252BFF"/>
    <w:rsid w:val="00296008"/>
    <w:rsid w:val="002E336F"/>
    <w:rsid w:val="003054A6"/>
    <w:rsid w:val="00333D30"/>
    <w:rsid w:val="00355D74"/>
    <w:rsid w:val="00363EC7"/>
    <w:rsid w:val="00390DFF"/>
    <w:rsid w:val="00395F78"/>
    <w:rsid w:val="003F74B2"/>
    <w:rsid w:val="004267C9"/>
    <w:rsid w:val="00440371"/>
    <w:rsid w:val="00485695"/>
    <w:rsid w:val="004E317B"/>
    <w:rsid w:val="005332BF"/>
    <w:rsid w:val="0054602B"/>
    <w:rsid w:val="005554FD"/>
    <w:rsid w:val="00560609"/>
    <w:rsid w:val="00596FC6"/>
    <w:rsid w:val="005E3893"/>
    <w:rsid w:val="006817E0"/>
    <w:rsid w:val="006B08EA"/>
    <w:rsid w:val="006C7340"/>
    <w:rsid w:val="00713BEF"/>
    <w:rsid w:val="0071796E"/>
    <w:rsid w:val="00781BC0"/>
    <w:rsid w:val="00782EF6"/>
    <w:rsid w:val="00787C54"/>
    <w:rsid w:val="007D4E3F"/>
    <w:rsid w:val="0082686F"/>
    <w:rsid w:val="00870636"/>
    <w:rsid w:val="008A7590"/>
    <w:rsid w:val="008B69D0"/>
    <w:rsid w:val="008C4416"/>
    <w:rsid w:val="008E63A9"/>
    <w:rsid w:val="00926D25"/>
    <w:rsid w:val="00950F7C"/>
    <w:rsid w:val="009C70F6"/>
    <w:rsid w:val="009E13BC"/>
    <w:rsid w:val="00A13183"/>
    <w:rsid w:val="00A328AA"/>
    <w:rsid w:val="00A71CB5"/>
    <w:rsid w:val="00A7571F"/>
    <w:rsid w:val="00AA1F46"/>
    <w:rsid w:val="00B25429"/>
    <w:rsid w:val="00B50347"/>
    <w:rsid w:val="00BE4CC8"/>
    <w:rsid w:val="00C2752C"/>
    <w:rsid w:val="00C421A8"/>
    <w:rsid w:val="00C72C90"/>
    <w:rsid w:val="00C76552"/>
    <w:rsid w:val="00C95B13"/>
    <w:rsid w:val="00C97985"/>
    <w:rsid w:val="00CD7A86"/>
    <w:rsid w:val="00D00CD3"/>
    <w:rsid w:val="00D11AEE"/>
    <w:rsid w:val="00D2710F"/>
    <w:rsid w:val="00D27578"/>
    <w:rsid w:val="00DB1D74"/>
    <w:rsid w:val="00E04596"/>
    <w:rsid w:val="00E1553C"/>
    <w:rsid w:val="00E60462"/>
    <w:rsid w:val="00E724C2"/>
    <w:rsid w:val="00E745AE"/>
    <w:rsid w:val="00E80706"/>
    <w:rsid w:val="00E83FDC"/>
    <w:rsid w:val="00EE2350"/>
    <w:rsid w:val="00EE6E9F"/>
    <w:rsid w:val="00F31FB7"/>
    <w:rsid w:val="00F46767"/>
    <w:rsid w:val="00F87574"/>
    <w:rsid w:val="00FB11E7"/>
    <w:rsid w:val="00FD51F7"/>
    <w:rsid w:val="00FD6F39"/>
    <w:rsid w:val="01100C9F"/>
    <w:rsid w:val="011F0C2B"/>
    <w:rsid w:val="016B2F84"/>
    <w:rsid w:val="01F42015"/>
    <w:rsid w:val="0233230C"/>
    <w:rsid w:val="02500B1F"/>
    <w:rsid w:val="02804235"/>
    <w:rsid w:val="02CA5E0A"/>
    <w:rsid w:val="02EA374D"/>
    <w:rsid w:val="030D4500"/>
    <w:rsid w:val="03183075"/>
    <w:rsid w:val="0348475C"/>
    <w:rsid w:val="03F51535"/>
    <w:rsid w:val="04017CDE"/>
    <w:rsid w:val="05911B5B"/>
    <w:rsid w:val="059A6710"/>
    <w:rsid w:val="05D1794E"/>
    <w:rsid w:val="06BD3DED"/>
    <w:rsid w:val="073D2779"/>
    <w:rsid w:val="07573FF2"/>
    <w:rsid w:val="07957951"/>
    <w:rsid w:val="08435B9A"/>
    <w:rsid w:val="09234EC9"/>
    <w:rsid w:val="097F333C"/>
    <w:rsid w:val="0A73417F"/>
    <w:rsid w:val="0AE42045"/>
    <w:rsid w:val="0B0125AD"/>
    <w:rsid w:val="0B3123A6"/>
    <w:rsid w:val="0BD863A4"/>
    <w:rsid w:val="0CD46DF7"/>
    <w:rsid w:val="0CDA6363"/>
    <w:rsid w:val="0D0521D5"/>
    <w:rsid w:val="0D127E9A"/>
    <w:rsid w:val="0E1C112C"/>
    <w:rsid w:val="0E661D02"/>
    <w:rsid w:val="0E6829EB"/>
    <w:rsid w:val="0EA67E8D"/>
    <w:rsid w:val="0ED040AC"/>
    <w:rsid w:val="0F60660A"/>
    <w:rsid w:val="0FA21AA0"/>
    <w:rsid w:val="0FA47DCA"/>
    <w:rsid w:val="100978D9"/>
    <w:rsid w:val="108A4663"/>
    <w:rsid w:val="10BA4C41"/>
    <w:rsid w:val="10BD0B8C"/>
    <w:rsid w:val="10E47825"/>
    <w:rsid w:val="10ED09D3"/>
    <w:rsid w:val="111979E1"/>
    <w:rsid w:val="117D6831"/>
    <w:rsid w:val="11A966FF"/>
    <w:rsid w:val="11BE6AC6"/>
    <w:rsid w:val="121D5045"/>
    <w:rsid w:val="122F487A"/>
    <w:rsid w:val="12E21358"/>
    <w:rsid w:val="13CD1686"/>
    <w:rsid w:val="14203FE6"/>
    <w:rsid w:val="14710551"/>
    <w:rsid w:val="14B80232"/>
    <w:rsid w:val="14DF40D3"/>
    <w:rsid w:val="156B5699"/>
    <w:rsid w:val="16307F1F"/>
    <w:rsid w:val="16511214"/>
    <w:rsid w:val="16BE1458"/>
    <w:rsid w:val="1746148A"/>
    <w:rsid w:val="18395A7E"/>
    <w:rsid w:val="187F6E92"/>
    <w:rsid w:val="190B41F0"/>
    <w:rsid w:val="196E789D"/>
    <w:rsid w:val="19BC08FC"/>
    <w:rsid w:val="1A2F604B"/>
    <w:rsid w:val="1A6E60EC"/>
    <w:rsid w:val="1A791FCF"/>
    <w:rsid w:val="1ACF5F28"/>
    <w:rsid w:val="1AEB1E30"/>
    <w:rsid w:val="1BF66561"/>
    <w:rsid w:val="1C2F651A"/>
    <w:rsid w:val="1CD55BB0"/>
    <w:rsid w:val="1D7B65C4"/>
    <w:rsid w:val="1D8B51D2"/>
    <w:rsid w:val="1D9B1F4D"/>
    <w:rsid w:val="1E003E73"/>
    <w:rsid w:val="1E143832"/>
    <w:rsid w:val="1ED61223"/>
    <w:rsid w:val="1F2530F1"/>
    <w:rsid w:val="1FC74A41"/>
    <w:rsid w:val="202F5379"/>
    <w:rsid w:val="20CC286C"/>
    <w:rsid w:val="210958BB"/>
    <w:rsid w:val="213F1BB6"/>
    <w:rsid w:val="234B7F2D"/>
    <w:rsid w:val="23864A92"/>
    <w:rsid w:val="23EB19BB"/>
    <w:rsid w:val="24621C7A"/>
    <w:rsid w:val="248A3D14"/>
    <w:rsid w:val="24AF076B"/>
    <w:rsid w:val="25CC3C89"/>
    <w:rsid w:val="25DB4F36"/>
    <w:rsid w:val="279D750C"/>
    <w:rsid w:val="28107965"/>
    <w:rsid w:val="283C4620"/>
    <w:rsid w:val="28425774"/>
    <w:rsid w:val="285457C0"/>
    <w:rsid w:val="287F44E3"/>
    <w:rsid w:val="28D121E1"/>
    <w:rsid w:val="28E26223"/>
    <w:rsid w:val="28F81EC7"/>
    <w:rsid w:val="29510797"/>
    <w:rsid w:val="299E4E12"/>
    <w:rsid w:val="2A0410B8"/>
    <w:rsid w:val="2A0C21EA"/>
    <w:rsid w:val="2A72127E"/>
    <w:rsid w:val="2A883BC8"/>
    <w:rsid w:val="2AE44F3C"/>
    <w:rsid w:val="2B291940"/>
    <w:rsid w:val="2C422FDB"/>
    <w:rsid w:val="2C95214A"/>
    <w:rsid w:val="2CEE2E70"/>
    <w:rsid w:val="2DEE274A"/>
    <w:rsid w:val="2DF3388E"/>
    <w:rsid w:val="2E355D0A"/>
    <w:rsid w:val="2E7B23B7"/>
    <w:rsid w:val="2EB90EF0"/>
    <w:rsid w:val="2FC0139F"/>
    <w:rsid w:val="30563127"/>
    <w:rsid w:val="30AC4CC0"/>
    <w:rsid w:val="30B114BA"/>
    <w:rsid w:val="315E3D7F"/>
    <w:rsid w:val="316C5410"/>
    <w:rsid w:val="321E132D"/>
    <w:rsid w:val="32F63386"/>
    <w:rsid w:val="35447646"/>
    <w:rsid w:val="35746E7F"/>
    <w:rsid w:val="35CE02F2"/>
    <w:rsid w:val="36167A14"/>
    <w:rsid w:val="373616EC"/>
    <w:rsid w:val="38593B23"/>
    <w:rsid w:val="38A86FBC"/>
    <w:rsid w:val="38B94D9B"/>
    <w:rsid w:val="38E05BD4"/>
    <w:rsid w:val="390B2F65"/>
    <w:rsid w:val="393E509B"/>
    <w:rsid w:val="3943208D"/>
    <w:rsid w:val="394767B8"/>
    <w:rsid w:val="394B448B"/>
    <w:rsid w:val="396A4FCC"/>
    <w:rsid w:val="3A3877CF"/>
    <w:rsid w:val="3AAA2BBD"/>
    <w:rsid w:val="3AB160FA"/>
    <w:rsid w:val="3B190206"/>
    <w:rsid w:val="3B5A2F58"/>
    <w:rsid w:val="3BDF6B65"/>
    <w:rsid w:val="3C022AE2"/>
    <w:rsid w:val="3C4E5F92"/>
    <w:rsid w:val="3D132B0A"/>
    <w:rsid w:val="3DBA17A9"/>
    <w:rsid w:val="3DBA4A4E"/>
    <w:rsid w:val="3E101A1F"/>
    <w:rsid w:val="3E1118D0"/>
    <w:rsid w:val="3E19476B"/>
    <w:rsid w:val="3E2B243B"/>
    <w:rsid w:val="3E953007"/>
    <w:rsid w:val="3E9F5FEC"/>
    <w:rsid w:val="3EED15C3"/>
    <w:rsid w:val="3F0F1BBB"/>
    <w:rsid w:val="3F301AA4"/>
    <w:rsid w:val="3F787735"/>
    <w:rsid w:val="3FB548E0"/>
    <w:rsid w:val="41262C95"/>
    <w:rsid w:val="4157154C"/>
    <w:rsid w:val="41770BE2"/>
    <w:rsid w:val="418E0A05"/>
    <w:rsid w:val="41F5405B"/>
    <w:rsid w:val="4209003D"/>
    <w:rsid w:val="425A3483"/>
    <w:rsid w:val="42850FA5"/>
    <w:rsid w:val="436F5F71"/>
    <w:rsid w:val="43C772A8"/>
    <w:rsid w:val="46A026A0"/>
    <w:rsid w:val="474171D4"/>
    <w:rsid w:val="47A76283"/>
    <w:rsid w:val="48E11821"/>
    <w:rsid w:val="49022AC6"/>
    <w:rsid w:val="4912743B"/>
    <w:rsid w:val="4931416F"/>
    <w:rsid w:val="499E5D8A"/>
    <w:rsid w:val="4A9D7D86"/>
    <w:rsid w:val="4B0823E9"/>
    <w:rsid w:val="4B161707"/>
    <w:rsid w:val="4B58078C"/>
    <w:rsid w:val="4C3C457C"/>
    <w:rsid w:val="4C4B66EA"/>
    <w:rsid w:val="4CC867B6"/>
    <w:rsid w:val="4D4C2903"/>
    <w:rsid w:val="4E0861B0"/>
    <w:rsid w:val="4E616E6C"/>
    <w:rsid w:val="4E782468"/>
    <w:rsid w:val="4E8C43FE"/>
    <w:rsid w:val="4EA44912"/>
    <w:rsid w:val="4EA874EF"/>
    <w:rsid w:val="4F3B52A8"/>
    <w:rsid w:val="4F680340"/>
    <w:rsid w:val="4FCF4521"/>
    <w:rsid w:val="50495F5C"/>
    <w:rsid w:val="509700FF"/>
    <w:rsid w:val="50E13A37"/>
    <w:rsid w:val="51842A8A"/>
    <w:rsid w:val="518C6681"/>
    <w:rsid w:val="51FA3305"/>
    <w:rsid w:val="521D29F8"/>
    <w:rsid w:val="52D85D9B"/>
    <w:rsid w:val="52E7238E"/>
    <w:rsid w:val="5324727A"/>
    <w:rsid w:val="541A47EC"/>
    <w:rsid w:val="543448E6"/>
    <w:rsid w:val="543E0C20"/>
    <w:rsid w:val="54617548"/>
    <w:rsid w:val="54F16492"/>
    <w:rsid w:val="554B5BA7"/>
    <w:rsid w:val="55B57AF9"/>
    <w:rsid w:val="55C1044D"/>
    <w:rsid w:val="56124517"/>
    <w:rsid w:val="56C9415D"/>
    <w:rsid w:val="56FA512F"/>
    <w:rsid w:val="573D45DA"/>
    <w:rsid w:val="5759489B"/>
    <w:rsid w:val="57614534"/>
    <w:rsid w:val="577113A4"/>
    <w:rsid w:val="577B0110"/>
    <w:rsid w:val="57E1362E"/>
    <w:rsid w:val="57EC5790"/>
    <w:rsid w:val="589557B6"/>
    <w:rsid w:val="58AB6C71"/>
    <w:rsid w:val="59F70BB7"/>
    <w:rsid w:val="5A3B3409"/>
    <w:rsid w:val="5A5A6003"/>
    <w:rsid w:val="5A7615B8"/>
    <w:rsid w:val="5A7C76C3"/>
    <w:rsid w:val="5AA17894"/>
    <w:rsid w:val="5AD95716"/>
    <w:rsid w:val="5BD528CE"/>
    <w:rsid w:val="5C720576"/>
    <w:rsid w:val="5D1431D0"/>
    <w:rsid w:val="5D3E0D24"/>
    <w:rsid w:val="5DA13D99"/>
    <w:rsid w:val="5DED6C77"/>
    <w:rsid w:val="5E0B5FBA"/>
    <w:rsid w:val="5E624C54"/>
    <w:rsid w:val="5ED67FFE"/>
    <w:rsid w:val="5F545CFF"/>
    <w:rsid w:val="6120689A"/>
    <w:rsid w:val="617246B1"/>
    <w:rsid w:val="61A41363"/>
    <w:rsid w:val="61F50F6C"/>
    <w:rsid w:val="62810189"/>
    <w:rsid w:val="62AC6D72"/>
    <w:rsid w:val="62B12526"/>
    <w:rsid w:val="630A1D4B"/>
    <w:rsid w:val="631344D0"/>
    <w:rsid w:val="633075AE"/>
    <w:rsid w:val="645C1B3C"/>
    <w:rsid w:val="64893236"/>
    <w:rsid w:val="64A47BC2"/>
    <w:rsid w:val="65422CBB"/>
    <w:rsid w:val="65EC32C5"/>
    <w:rsid w:val="65F80921"/>
    <w:rsid w:val="66314471"/>
    <w:rsid w:val="66C43A5E"/>
    <w:rsid w:val="66D858FA"/>
    <w:rsid w:val="67397BA9"/>
    <w:rsid w:val="675166B7"/>
    <w:rsid w:val="675B2AEF"/>
    <w:rsid w:val="675C17EF"/>
    <w:rsid w:val="67F0412F"/>
    <w:rsid w:val="67FD062B"/>
    <w:rsid w:val="68450CB5"/>
    <w:rsid w:val="69071E49"/>
    <w:rsid w:val="692C2F0A"/>
    <w:rsid w:val="69AC3519"/>
    <w:rsid w:val="6A151EB1"/>
    <w:rsid w:val="6A2F7955"/>
    <w:rsid w:val="6A360376"/>
    <w:rsid w:val="6A6E7A68"/>
    <w:rsid w:val="6A8A3E0C"/>
    <w:rsid w:val="6AF45510"/>
    <w:rsid w:val="6B3243CE"/>
    <w:rsid w:val="6B775CC8"/>
    <w:rsid w:val="6BA6418D"/>
    <w:rsid w:val="6BCA46E6"/>
    <w:rsid w:val="6BD644B8"/>
    <w:rsid w:val="6BFE56F9"/>
    <w:rsid w:val="6CA14243"/>
    <w:rsid w:val="6DAC1786"/>
    <w:rsid w:val="6DB71C07"/>
    <w:rsid w:val="6DC63DE2"/>
    <w:rsid w:val="6DFE3F37"/>
    <w:rsid w:val="6E18214A"/>
    <w:rsid w:val="6E4E6DCF"/>
    <w:rsid w:val="6E924D0D"/>
    <w:rsid w:val="6E9F44E4"/>
    <w:rsid w:val="6EE8127C"/>
    <w:rsid w:val="6F0E02FD"/>
    <w:rsid w:val="6F166D9B"/>
    <w:rsid w:val="6F214436"/>
    <w:rsid w:val="6F47138E"/>
    <w:rsid w:val="6F787690"/>
    <w:rsid w:val="702F32AF"/>
    <w:rsid w:val="70397FC3"/>
    <w:rsid w:val="70500BF2"/>
    <w:rsid w:val="70D90211"/>
    <w:rsid w:val="716B7D01"/>
    <w:rsid w:val="71A53070"/>
    <w:rsid w:val="71CF1F62"/>
    <w:rsid w:val="71D36015"/>
    <w:rsid w:val="726025F7"/>
    <w:rsid w:val="72EC0F9B"/>
    <w:rsid w:val="73056C49"/>
    <w:rsid w:val="73245797"/>
    <w:rsid w:val="73976CA2"/>
    <w:rsid w:val="73BA35EB"/>
    <w:rsid w:val="73E24728"/>
    <w:rsid w:val="74DD3A38"/>
    <w:rsid w:val="752C1BD0"/>
    <w:rsid w:val="753D3B7E"/>
    <w:rsid w:val="765D41F5"/>
    <w:rsid w:val="766D7232"/>
    <w:rsid w:val="76AC10EC"/>
    <w:rsid w:val="77E97DF6"/>
    <w:rsid w:val="78592218"/>
    <w:rsid w:val="786B044B"/>
    <w:rsid w:val="7870610D"/>
    <w:rsid w:val="78B163B1"/>
    <w:rsid w:val="78D94AA3"/>
    <w:rsid w:val="78F753D2"/>
    <w:rsid w:val="799E1FF7"/>
    <w:rsid w:val="79CF1287"/>
    <w:rsid w:val="7A756D4B"/>
    <w:rsid w:val="7ACA13C3"/>
    <w:rsid w:val="7B596181"/>
    <w:rsid w:val="7B8342BF"/>
    <w:rsid w:val="7C7E5586"/>
    <w:rsid w:val="7C9B2A87"/>
    <w:rsid w:val="7CDD0CB6"/>
    <w:rsid w:val="7D485EDA"/>
    <w:rsid w:val="7DBD09AC"/>
    <w:rsid w:val="7E045A37"/>
    <w:rsid w:val="7E775B5E"/>
    <w:rsid w:val="7F004E66"/>
    <w:rsid w:val="7F7C54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0000FF"/>
      <w:u w:val="none"/>
    </w:rPr>
  </w:style>
  <w:style w:type="character" w:styleId="15">
    <w:name w:val="HTML Code"/>
    <w:basedOn w:val="7"/>
    <w:qFormat/>
    <w:uiPriority w:val="0"/>
    <w:rPr>
      <w:rFonts w:ascii="Courier New" w:hAnsi="Courier New"/>
      <w:sz w:val="20"/>
      <w:u w:val="none"/>
    </w:rPr>
  </w:style>
  <w:style w:type="character" w:styleId="16">
    <w:name w:val="HTML Cite"/>
    <w:basedOn w:val="7"/>
    <w:qFormat/>
    <w:uiPriority w:val="0"/>
  </w:style>
  <w:style w:type="character" w:customStyle="1" w:styleId="18">
    <w:name w:val="curre"/>
    <w:basedOn w:val="7"/>
    <w:qFormat/>
    <w:uiPriority w:val="0"/>
    <w:rPr>
      <w:color w:val="FFFFFF"/>
      <w:shd w:val="clear" w:color="auto" w:fill="2F6EA2"/>
    </w:rPr>
  </w:style>
  <w:style w:type="paragraph" w:styleId="19">
    <w:name w:val="List Paragraph"/>
    <w:basedOn w:val="1"/>
    <w:unhideWhenUsed/>
    <w:qFormat/>
    <w:uiPriority w:val="99"/>
    <w:pPr>
      <w:ind w:firstLine="420" w:firstLineChars="200"/>
    </w:pPr>
  </w:style>
  <w:style w:type="paragraph" w:styleId="20">
    <w:name w:val="No Spacing"/>
    <w:link w:val="21"/>
    <w:qFormat/>
    <w:uiPriority w:val="1"/>
    <w:rPr>
      <w:rFonts w:asciiTheme="minorHAnsi" w:hAnsiTheme="minorHAnsi" w:eastAsiaTheme="minorEastAsia" w:cstheme="minorBidi"/>
      <w:sz w:val="22"/>
      <w:szCs w:val="22"/>
      <w:lang w:val="en-US" w:eastAsia="zh-CN" w:bidi="ar-SA"/>
    </w:rPr>
  </w:style>
  <w:style w:type="character" w:customStyle="1" w:styleId="21">
    <w:name w:val="无间隔 Char"/>
    <w:basedOn w:val="7"/>
    <w:link w:val="20"/>
    <w:qFormat/>
    <w:uiPriority w:val="1"/>
    <w:rPr>
      <w:rFonts w:asciiTheme="minorHAnsi" w:hAnsiTheme="minorHAnsi" w:eastAsiaTheme="minorEastAsia" w:cstheme="minorBidi"/>
      <w:sz w:val="22"/>
      <w:szCs w:val="22"/>
    </w:rPr>
  </w:style>
  <w:style w:type="character" w:customStyle="1" w:styleId="22">
    <w:name w:val="页眉 Char"/>
    <w:basedOn w:val="7"/>
    <w:link w:val="5"/>
    <w:qFormat/>
    <w:uiPriority w:val="99"/>
    <w:rPr>
      <w:rFonts w:asciiTheme="minorHAnsi" w:hAnsiTheme="minorHAnsi" w:eastAsiaTheme="minorEastAsia" w:cstheme="minorBidi"/>
      <w:kern w:val="2"/>
      <w:sz w:val="18"/>
      <w:szCs w:val="24"/>
    </w:rPr>
  </w:style>
  <w:style w:type="paragraph" w:customStyle="1" w:styleId="23">
    <w:name w:val="p0"/>
    <w:basedOn w:val="1"/>
    <w:qFormat/>
    <w:uiPriority w:val="0"/>
    <w:pPr>
      <w:widowControl/>
    </w:pPr>
    <w:rPr>
      <w:rFonts w:ascii="Calibri" w:hAnsi="Calibri"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1381</Words>
  <Characters>1448</Characters>
  <Lines>5</Lines>
  <Paragraphs>1</Paragraphs>
  <TotalTime>0</TotalTime>
  <ScaleCrop>false</ScaleCrop>
  <LinksUpToDate>false</LinksUpToDate>
  <CharactersWithSpaces>1455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2021-05-19T02:33:00Z</dcterms:created>
  <dc:creator>Administrator</dc:creator>
  <cp:lastModifiedBy>Administrator</cp:lastModifiedBy>
  <cp:lastPrinted>2025-03-06T01:21:00Z</cp:lastPrinted>
  <dcterms:modified xsi:type="dcterms:W3CDTF">2025-03-08T08:40:02Z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0BE33D23B2C7429E9653959C562C67FB_13</vt:lpwstr>
  </property>
  <property fmtid="{D5CDD505-2E9C-101B-9397-08002B2CF9AE}" pid="4" name="KSOTemplateDocerSaveRecord">
    <vt:lpwstr>eyJoZGlkIjoiOTM0MzRjNTMwOTEwNjdkYWY3MzUxOWUzYmUwZTk3MTQiLCJ1c2VySWQiOiI4NzY5NTU4MDUifQ==</vt:lpwstr>
  </property>
</Properties>
</file>