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9853A">
      <w:pPr>
        <w:pStyle w:val="54"/>
      </w:pPr>
      <w:bookmarkStart w:id="0" w:name="SectionMark0"/>
    </w:p>
    <w:p w14:paraId="0D225236">
      <w:pPr>
        <w:pStyle w:val="54"/>
        <w:sectPr>
          <w:headerReference r:id="rId4" w:type="first"/>
          <w:footerReference r:id="rId5" w:type="first"/>
          <w:headerReference r:id="rId3" w:type="default"/>
          <w:pgSz w:w="11907" w:h="16839"/>
          <w:pgMar w:top="567" w:right="851" w:bottom="1361" w:left="1418" w:header="0" w:footer="0" w:gutter="0"/>
          <w:pgNumType w:fmt="decimal" w:start="1"/>
          <w:cols w:space="720" w:num="1"/>
          <w:titlePg/>
          <w:docGrid w:type="lines" w:linePitch="312" w:charSpace="0"/>
        </w:sectPr>
      </w:pPr>
      <w: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1" o:spid="_x0000_s1026" o:spt="20" style="position:absolute;left:0pt;margin-left:0pt;margin-top:700pt;height:0pt;width:482pt;z-index:251668480;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sS+VjSAAAACgEAAA8AAAAA&#10;AAAAAQAgAAAAIgAAAGRycy9kb3ducmV2LnhtbFBLAQIUABQAAAAIAIdO4kCogTnl4QEAANIDAAAO&#10;AAAAAAAAAAEAIAAAACEBAABkcnMvZTJvRG9jLnhtbFBLBQYAAAAABgAGAFkBAAB0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0" t="0" r="0" b="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直线 10" o:spid="_x0000_s1026" o:spt="20" style="position:absolute;left:0pt;margin-left:0pt;margin-top:179pt;height:0pt;width:482pt;z-index:251667456;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PxKK+1AAAAAgBAAAPAAAA&#10;AAAAAAEAIAAAACIAAABkcnMvZG93bnJldi54bWxQSwECFAAUAAAACACHTuJA4o2iZuABAADRAwAA&#10;DgAAAAAAAAABACAAAAAjAQAAZHJzL2Uyb0RvYy54bWxQSwUGAAAAAAYABgBZAQAAdQU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8"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14:paraId="742F3C75">
                            <w:pPr>
                              <w:pStyle w:val="51"/>
                            </w:pPr>
                            <w:r>
                              <w:rPr>
                                <w:rFonts w:hint="eastAsia"/>
                              </w:rPr>
                              <w:t>揭阳市市场监督管理局</w:t>
                            </w:r>
                            <w:r>
                              <w:rPr>
                                <w:rStyle w:val="43"/>
                                <w:rFonts w:hint="eastAsia"/>
                              </w:rPr>
                              <w:t xml:space="preserve"> </w:t>
                            </w:r>
                            <w:r>
                              <w:rPr>
                                <w:rStyle w:val="43"/>
                                <w:rFonts w:hint="eastAsia"/>
                                <w:sz w:val="32"/>
                                <w:szCs w:val="32"/>
                              </w:rPr>
                              <w:t>发布</w:t>
                            </w:r>
                          </w:p>
                        </w:txbxContent>
                      </wps:txbx>
                      <wps:bodyPr wrap="square"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JVgbr2AAAAAoBAAAPAAAAAAAAAAEAIAAAACIAAABkcnMvZG93&#10;bnJldi54bWxQSwECFAAUAAAACACHTuJAje39HMcBAACmAwAADgAAAAAAAAABACAAAAAnAQAAZHJz&#10;L2Uyb0RvYy54bWxQSwUGAAAAAAYABgBZAQAAYAUAAAAA&#10;">
                <v:fill on="t" focussize="0,0"/>
                <v:stroke on="f"/>
                <v:imagedata o:title=""/>
                <o:lock v:ext="edit" aspectratio="f"/>
                <v:textbox inset="0mm,0mm,0mm,0mm">
                  <w:txbxContent>
                    <w:p w14:paraId="742F3C75">
                      <w:pPr>
                        <w:pStyle w:val="51"/>
                      </w:pPr>
                      <w:r>
                        <w:rPr>
                          <w:rFonts w:hint="eastAsia"/>
                        </w:rPr>
                        <w:t>揭阳市市场监督管理局</w:t>
                      </w:r>
                      <w:r>
                        <w:rPr>
                          <w:rStyle w:val="43"/>
                          <w:rFonts w:hint="eastAsia"/>
                        </w:rPr>
                        <w:t xml:space="preserve"> </w:t>
                      </w:r>
                      <w:r>
                        <w:rPr>
                          <w:rStyle w:val="43"/>
                          <w:rFonts w:hint="eastAsia"/>
                          <w:sz w:val="32"/>
                          <w:szCs w:val="32"/>
                        </w:rPr>
                        <w:t>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57A0EEA5">
                            <w:pPr>
                              <w:pStyle w:val="76"/>
                            </w:pPr>
                            <w:r>
                              <w:rPr>
                                <w:rFonts w:hint="eastAsia"/>
                              </w:rPr>
                              <w:t xml:space="preserve"> 2024-xx-xx实施</w:t>
                            </w:r>
                          </w:p>
                        </w:txbxContent>
                      </wps:txbx>
                      <wps:bodyPr wrap="square"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2q19oAAAANAQAADwAAAAAAAAABACAAAAAiAAAAZHJz&#10;L2Rvd25yZXYueG1sUEsBAhQAFAAAAAgAh07iQGw+FhLJAQAApgMAAA4AAAAAAAAAAQAgAAAAKQEA&#10;AGRycy9lMm9Eb2MueG1sUEsFBgAAAAAGAAYAWQEAAGQFAAAAAA==&#10;">
                <v:fill on="t" focussize="0,0"/>
                <v:stroke on="f"/>
                <v:imagedata o:title=""/>
                <o:lock v:ext="edit" aspectratio="f"/>
                <v:textbox inset="0mm,0mm,0mm,0mm">
                  <w:txbxContent>
                    <w:p w14:paraId="57A0EEA5">
                      <w:pPr>
                        <w:pStyle w:val="76"/>
                      </w:pPr>
                      <w:r>
                        <w:rPr>
                          <w:rFonts w:hint="eastAsia"/>
                        </w:rPr>
                        <w:t xml:space="preserve"> 2024-xx-xx实施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3A553399">
                            <w:pPr>
                              <w:pStyle w:val="77"/>
                            </w:pPr>
                            <w:r>
                              <w:rPr>
                                <w:rFonts w:hint="eastAsia"/>
                              </w:rPr>
                              <w:t>2024-xx-xx发布</w:t>
                            </w:r>
                          </w:p>
                          <w:p w14:paraId="71A93C83"/>
                        </w:txbxContent>
                      </wps:txbx>
                      <wps:bodyPr wrap="square"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82yojYAAAACgEAAA8AAAAAAAAAAQAgAAAAIgAAAGRycy9k&#10;b3ducmV2LnhtbFBLAQIUABQAAAAIAIdO4kDhYe2YyQEAAKYDAAAOAAAAAAAAAAEAIAAAACcBAABk&#10;cnMvZTJvRG9jLnhtbFBLBQYAAAAABgAGAFkBAABiBQAAAAA=&#10;">
                <v:fill on="t" focussize="0,0"/>
                <v:stroke on="f"/>
                <v:imagedata o:title=""/>
                <o:lock v:ext="edit" aspectratio="f"/>
                <v:textbox inset="0mm,0mm,0mm,0mm">
                  <w:txbxContent>
                    <w:p w14:paraId="3A553399">
                      <w:pPr>
                        <w:pStyle w:val="77"/>
                      </w:pPr>
                      <w:r>
                        <w:rPr>
                          <w:rFonts w:hint="eastAsia"/>
                        </w:rPr>
                        <w:t>2024-xx-xx发布</w:t>
                      </w:r>
                    </w:p>
                    <w:p w14:paraId="71A93C83"/>
                  </w:txbxContent>
                </v:textbox>
                <w10:anchorlock/>
              </v:shape>
            </w:pict>
          </mc:Fallback>
        </mc:AlternateContent>
      </w:r>
      <w:bookmarkStart w:id="14" w:name="_GoBack"/>
      <w:bookmarkEnd w:id="14"/>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0" r="1270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3D7FFFE1">
                            <w:pPr>
                              <w:pStyle w:val="56"/>
                            </w:pPr>
                            <w:r>
                              <w:rPr>
                                <w:rFonts w:hint="eastAsia" w:hAnsi="黑体"/>
                                <w:sz w:val="48"/>
                                <w:szCs w:val="48"/>
                              </w:rPr>
                              <w:t>“普薯32号”甘薯栽培技术规范</w:t>
                            </w:r>
                          </w:p>
                          <w:p w14:paraId="7288231E">
                            <w:pPr>
                              <w:pStyle w:val="56"/>
                              <w:spacing w:line="240" w:lineRule="auto"/>
                              <w:rPr>
                                <w:sz w:val="10"/>
                                <w:szCs w:val="10"/>
                              </w:rPr>
                            </w:pPr>
                          </w:p>
                          <w:p w14:paraId="6BB82191">
                            <w:pPr>
                              <w:pStyle w:val="74"/>
                              <w:rPr>
                                <w:color w:val="000000"/>
                                <w:szCs w:val="28"/>
                              </w:rPr>
                            </w:pPr>
                            <w:r>
                              <w:rPr>
                                <w:color w:val="000000"/>
                                <w:szCs w:val="28"/>
                              </w:rPr>
                              <w:t>Technical code of practice on cultivation of sweetpotato "Pushu No.32"</w:t>
                            </w:r>
                            <w:r>
                              <w:rPr>
                                <w:rFonts w:hint="eastAsia"/>
                                <w:color w:val="000000"/>
                                <w:szCs w:val="28"/>
                              </w:rPr>
                              <w:t xml:space="preserve"> </w:t>
                            </w:r>
                          </w:p>
                          <w:p w14:paraId="11ECB8A1">
                            <w:pPr>
                              <w:pStyle w:val="74"/>
                            </w:pPr>
                          </w:p>
                          <w:p w14:paraId="4173C331">
                            <w:pPr>
                              <w:pStyle w:val="26"/>
                              <w:spacing w:before="370" w:line="400" w:lineRule="exact"/>
                              <w:jc w:val="center"/>
                              <w:rPr>
                                <w:sz w:val="44"/>
                                <w:szCs w:val="44"/>
                              </w:rPr>
                            </w:pPr>
                            <w:r>
                              <w:rPr>
                                <w:rFonts w:hint="eastAsia" w:cs="宋体"/>
                                <w:kern w:val="0"/>
                                <w:sz w:val="32"/>
                                <w:szCs w:val="32"/>
                                <w:lang w:bidi="ar"/>
                              </w:rPr>
                              <w:t>（</w:t>
                            </w:r>
                            <w:r>
                              <w:rPr>
                                <w:rFonts w:hint="eastAsia" w:cs="宋体"/>
                                <w:kern w:val="0"/>
                                <w:sz w:val="32"/>
                                <w:szCs w:val="32"/>
                                <w:lang w:val="en-US" w:eastAsia="zh-CN" w:bidi="ar"/>
                              </w:rPr>
                              <w:t>终审</w:t>
                            </w:r>
                            <w:r>
                              <w:rPr>
                                <w:rFonts w:hint="eastAsia" w:cs="宋体"/>
                                <w:kern w:val="0"/>
                                <w:sz w:val="32"/>
                                <w:szCs w:val="32"/>
                                <w:lang w:bidi="ar"/>
                              </w:rPr>
                              <w:t>稿）</w:t>
                            </w:r>
                          </w:p>
                          <w:p w14:paraId="11140C51">
                            <w:pPr>
                              <w:pStyle w:val="95"/>
                            </w:pPr>
                          </w:p>
                          <w:p w14:paraId="492926EA">
                            <w:pPr>
                              <w:pStyle w:val="85"/>
                            </w:pPr>
                          </w:p>
                          <w:p w14:paraId="4AC6AE48">
                            <w:pPr>
                              <w:pStyle w:val="97"/>
                            </w:pPr>
                          </w:p>
                        </w:txbxContent>
                      </wps:txbx>
                      <wps:bodyPr wrap="square"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3360;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UV59x2AAAAAkBAAAPAAAAAAAAAAEAIAAAACIAAABkcnMv&#10;ZG93bnJldi54bWxQSwECFAAUAAAACACHTuJA1kxAoMoBAACnAwAADgAAAAAAAAABACAAAAAnAQAA&#10;ZHJzL2Uyb0RvYy54bWxQSwUGAAAAAAYABgBZAQAAYwUAAAAA&#10;">
                <v:fill on="t" focussize="0,0"/>
                <v:stroke on="f"/>
                <v:imagedata o:title=""/>
                <o:lock v:ext="edit" aspectratio="f"/>
                <v:textbox inset="0mm,0mm,0mm,0mm">
                  <w:txbxContent>
                    <w:p w14:paraId="3D7FFFE1">
                      <w:pPr>
                        <w:pStyle w:val="56"/>
                      </w:pPr>
                      <w:r>
                        <w:rPr>
                          <w:rFonts w:hint="eastAsia" w:hAnsi="黑体"/>
                          <w:sz w:val="48"/>
                          <w:szCs w:val="48"/>
                        </w:rPr>
                        <w:t>“普薯32号”甘薯栽培技术规范</w:t>
                      </w:r>
                    </w:p>
                    <w:p w14:paraId="7288231E">
                      <w:pPr>
                        <w:pStyle w:val="56"/>
                        <w:spacing w:line="240" w:lineRule="auto"/>
                        <w:rPr>
                          <w:sz w:val="10"/>
                          <w:szCs w:val="10"/>
                        </w:rPr>
                      </w:pPr>
                    </w:p>
                    <w:p w14:paraId="6BB82191">
                      <w:pPr>
                        <w:pStyle w:val="74"/>
                        <w:rPr>
                          <w:color w:val="000000"/>
                          <w:szCs w:val="28"/>
                        </w:rPr>
                      </w:pPr>
                      <w:r>
                        <w:rPr>
                          <w:color w:val="000000"/>
                          <w:szCs w:val="28"/>
                        </w:rPr>
                        <w:t>Technical code of practice on cultivation of sweetpotato "Pushu No.32"</w:t>
                      </w:r>
                      <w:r>
                        <w:rPr>
                          <w:rFonts w:hint="eastAsia"/>
                          <w:color w:val="000000"/>
                          <w:szCs w:val="28"/>
                        </w:rPr>
                        <w:t xml:space="preserve"> </w:t>
                      </w:r>
                    </w:p>
                    <w:p w14:paraId="11ECB8A1">
                      <w:pPr>
                        <w:pStyle w:val="74"/>
                      </w:pPr>
                    </w:p>
                    <w:p w14:paraId="4173C331">
                      <w:pPr>
                        <w:pStyle w:val="26"/>
                        <w:spacing w:before="370" w:line="400" w:lineRule="exact"/>
                        <w:jc w:val="center"/>
                        <w:rPr>
                          <w:sz w:val="44"/>
                          <w:szCs w:val="44"/>
                        </w:rPr>
                      </w:pPr>
                      <w:r>
                        <w:rPr>
                          <w:rFonts w:hint="eastAsia" w:cs="宋体"/>
                          <w:kern w:val="0"/>
                          <w:sz w:val="32"/>
                          <w:szCs w:val="32"/>
                          <w:lang w:bidi="ar"/>
                        </w:rPr>
                        <w:t>（</w:t>
                      </w:r>
                      <w:r>
                        <w:rPr>
                          <w:rFonts w:hint="eastAsia" w:cs="宋体"/>
                          <w:kern w:val="0"/>
                          <w:sz w:val="32"/>
                          <w:szCs w:val="32"/>
                          <w:lang w:val="en-US" w:eastAsia="zh-CN" w:bidi="ar"/>
                        </w:rPr>
                        <w:t>终审</w:t>
                      </w:r>
                      <w:r>
                        <w:rPr>
                          <w:rFonts w:hint="eastAsia" w:cs="宋体"/>
                          <w:kern w:val="0"/>
                          <w:sz w:val="32"/>
                          <w:szCs w:val="32"/>
                          <w:lang w:bidi="ar"/>
                        </w:rPr>
                        <w:t>稿）</w:t>
                      </w:r>
                    </w:p>
                    <w:p w14:paraId="11140C51">
                      <w:pPr>
                        <w:pStyle w:val="95"/>
                      </w:pPr>
                    </w:p>
                    <w:p w14:paraId="492926EA">
                      <w:pPr>
                        <w:pStyle w:val="85"/>
                      </w:pPr>
                    </w:p>
                    <w:p w14:paraId="4AC6AE48">
                      <w:pPr>
                        <w:pStyle w:val="97"/>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2C7291AC">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wps:txbx>
                      <wps:bodyPr wrap="square"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AaT72AAAAAgBAAAPAAAAAAAAAAEAIAAAACIAAABkcnMvZG93&#10;bnJldi54bWxQSwECFAAUAAAACACHTuJAasu8CscBAACmAwAADgAAAAAAAAABACAAAAAnAQAAZHJz&#10;L2Uyb0RvYy54bWxQSwUGAAAAAAYABgBZAQAAYAUAAAAA&#10;">
                <v:fill on="t" focussize="0,0"/>
                <v:stroke on="f"/>
                <v:imagedata o:title=""/>
                <o:lock v:ext="edit" aspectratio="f"/>
                <v:textbox inset="0mm,0mm,0mm,0mm">
                  <w:txbxContent>
                    <w:p w14:paraId="2C7291AC">
                      <w:pPr>
                        <w:pStyle w:val="55"/>
                        <w:wordWrap w:val="0"/>
                      </w:pPr>
                      <w:r>
                        <w:t>DB</w:t>
                      </w:r>
                      <w:r>
                        <w:rPr>
                          <w:rFonts w:hint="eastAsia"/>
                        </w:rPr>
                        <w:t>4452</w:t>
                      </w:r>
                      <w:r>
                        <w:t>/T</w:t>
                      </w:r>
                      <w:r>
                        <w:rPr>
                          <w:rFonts w:hint="eastAsia"/>
                        </w:rPr>
                        <w:t xml:space="preserve"> xx-2024</w:t>
                      </w:r>
                      <w:r>
                        <w:t xml:space="preserve"> </w:t>
                      </w:r>
                      <w:r>
                        <w:rPr>
                          <w:rFonts w:hint="eastAsia"/>
                        </w:rPr>
                        <w:t xml:space="preserve"> </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14:paraId="59F9E7D4">
                            <w:pPr>
                              <w:pStyle w:val="49"/>
                            </w:pPr>
                            <w:r>
                              <w:t>DB</w:t>
                            </w:r>
                            <w:r>
                              <w:rPr>
                                <w:rFonts w:hint="eastAsia"/>
                              </w:rPr>
                              <w:t>/4452</w:t>
                            </w:r>
                          </w:p>
                        </w:txbxContent>
                      </wps:txbx>
                      <wps:bodyPr wrap="square"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lZOzzYAAAACgEAAA8AAAAAAAAAAQAgAAAAIgAAAGRycy9k&#10;b3ducmV2LnhtbFBLAQIUABQAAAAIAIdO4kDVCOgLyQEAAKYDAAAOAAAAAAAAAAEAIAAAACcBAABk&#10;cnMvZTJvRG9jLnhtbFBLBQYAAAAABgAGAFkBAABiBQAAAAA=&#10;">
                <v:fill on="t" focussize="0,0"/>
                <v:stroke on="f"/>
                <v:imagedata o:title=""/>
                <o:lock v:ext="edit" aspectratio="f"/>
                <v:textbox inset="0mm,0mm,0mm,0mm">
                  <w:txbxContent>
                    <w:p w14:paraId="59F9E7D4">
                      <w:pPr>
                        <w:pStyle w:val="49"/>
                      </w:pPr>
                      <w:r>
                        <w:t>DB</w:t>
                      </w:r>
                      <w:r>
                        <w:rPr>
                          <w:rFonts w:hint="eastAsia"/>
                        </w:rPr>
                        <w:t>/4452</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19BA8FA9">
                            <w:pPr>
                              <w:pStyle w:val="57"/>
                              <w:rPr>
                                <w:rFonts w:hint="eastAsia"/>
                              </w:rPr>
                            </w:pPr>
                            <w:r>
                              <w:rPr>
                                <w:rFonts w:hint="eastAsia"/>
                              </w:rPr>
                              <w:t>揭阳市地方标准</w:t>
                            </w:r>
                          </w:p>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GDkcF1wAAAAgBAAAPAAAAAAAAAAEAIAAAACIAAABkcnMvZG93&#10;bnJldi54bWxQSwECFAAUAAAACACHTuJA7DsoP8gBAACmAwAADgAAAAAAAAABACAAAAAmAQAAZHJz&#10;L2Uyb0RvYy54bWxQSwUGAAAAAAYABgBZAQAAYAUAAAAA&#10;">
                <v:fill on="t" focussize="0,0"/>
                <v:stroke on="f"/>
                <v:imagedata o:title=""/>
                <o:lock v:ext="edit" aspectratio="f"/>
                <v:textbox inset="0mm,0mm,0mm,0mm">
                  <w:txbxContent>
                    <w:p w14:paraId="19BA8FA9">
                      <w:pPr>
                        <w:pStyle w:val="57"/>
                        <w:rPr>
                          <w:rFonts w:hint="eastAsia"/>
                        </w:rPr>
                      </w:pPr>
                      <w:r>
                        <w:rPr>
                          <w:rFonts w:hint="eastAsia"/>
                        </w:rPr>
                        <w:t>揭阳市地方标准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1800225" cy="657860"/>
                <wp:effectExtent l="0" t="0" r="9525" b="8890"/>
                <wp:wrapNone/>
                <wp:docPr id="1" name="fmFrame1"/>
                <wp:cNvGraphicFramePr/>
                <a:graphic xmlns:a="http://schemas.openxmlformats.org/drawingml/2006/main">
                  <a:graphicData uri="http://schemas.microsoft.com/office/word/2010/wordprocessingShape">
                    <wps:wsp>
                      <wps:cNvSpPr txBox="1"/>
                      <wps:spPr>
                        <a:xfrm>
                          <a:off x="0" y="0"/>
                          <a:ext cx="1800225" cy="657860"/>
                        </a:xfrm>
                        <a:prstGeom prst="rect">
                          <a:avLst/>
                        </a:prstGeom>
                        <a:solidFill>
                          <a:srgbClr val="FFFFFF"/>
                        </a:solidFill>
                        <a:ln>
                          <a:noFill/>
                        </a:ln>
                      </wps:spPr>
                      <wps:txbx>
                        <w:txbxContent>
                          <w:p w14:paraId="40428B67">
                            <w:pPr>
                              <w:pStyle w:val="82"/>
                              <w:rPr>
                                <w:szCs w:val="21"/>
                              </w:rPr>
                            </w:pPr>
                            <w:r>
                              <w:rPr>
                                <w:rFonts w:hint="eastAsia"/>
                                <w:szCs w:val="21"/>
                              </w:rPr>
                              <w:t>ICS 65.020.20</w:t>
                            </w:r>
                          </w:p>
                          <w:p w14:paraId="53EACF99">
                            <w:pPr>
                              <w:pStyle w:val="82"/>
                              <w:rPr>
                                <w:szCs w:val="21"/>
                              </w:rPr>
                            </w:pPr>
                            <w:r>
                              <w:rPr>
                                <w:rFonts w:hint="eastAsia"/>
                                <w:szCs w:val="21"/>
                              </w:rPr>
                              <w:t>CCS B23</w:t>
                            </w:r>
                          </w:p>
                          <w:p w14:paraId="722B10F9">
                            <w:pPr>
                              <w:pStyle w:val="82"/>
                              <w:rPr>
                                <w:sz w:val="32"/>
                                <w:szCs w:val="32"/>
                              </w:rPr>
                            </w:pPr>
                          </w:p>
                        </w:txbxContent>
                      </wps:txbx>
                      <wps:bodyPr wrap="square" lIns="0" tIns="0" rIns="0" bIns="0" upright="1"/>
                    </wps:wsp>
                  </a:graphicData>
                </a:graphic>
              </wp:anchor>
            </w:drawing>
          </mc:Choice>
          <mc:Fallback>
            <w:pict>
              <v:shape id="fmFrame1" o:spid="_x0000_s1026" o:spt="202" type="#_x0000_t202" style="position:absolute;left:0pt;margin-left:0pt;margin-top:0pt;height:51.8pt;width:141.75pt;mso-position-horizontal-relative:margin;mso-position-vertical-relative:margin;z-index:251659264;mso-width-relative:page;mso-height-relative:page;" fillcolor="#FFFFFF" filled="t" stroked="f" coordsize="21600,21600" o:gfxdata="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n4odc1QAAAAUBAAAPAAAAAAAAAAEAIAAAACIAAABkcnMvZG93bnJl&#10;di54bWxQSwECFAAUAAAACACHTuJAu4dkP8cBAACmAwAADgAAAAAAAAABACAAAAAkAQAAZHJzL2Uy&#10;b0RvYy54bWxQSwUGAAAAAAYABgBZAQAAXQUAAAAA&#10;">
                <v:fill on="t" focussize="0,0"/>
                <v:stroke on="f"/>
                <v:imagedata o:title=""/>
                <o:lock v:ext="edit" aspectratio="f"/>
                <v:textbox inset="0mm,0mm,0mm,0mm">
                  <w:txbxContent>
                    <w:p w14:paraId="40428B67">
                      <w:pPr>
                        <w:pStyle w:val="82"/>
                        <w:rPr>
                          <w:szCs w:val="21"/>
                        </w:rPr>
                      </w:pPr>
                      <w:r>
                        <w:rPr>
                          <w:rFonts w:hint="eastAsia"/>
                          <w:szCs w:val="21"/>
                        </w:rPr>
                        <w:t>ICS 65.020.20</w:t>
                      </w:r>
                    </w:p>
                    <w:p w14:paraId="53EACF99">
                      <w:pPr>
                        <w:pStyle w:val="82"/>
                        <w:rPr>
                          <w:szCs w:val="21"/>
                        </w:rPr>
                      </w:pPr>
                      <w:r>
                        <w:rPr>
                          <w:rFonts w:hint="eastAsia"/>
                          <w:szCs w:val="21"/>
                        </w:rPr>
                        <w:t>CCS B23</w:t>
                      </w:r>
                    </w:p>
                    <w:p w14:paraId="722B10F9">
                      <w:pPr>
                        <w:pStyle w:val="82"/>
                        <w:rPr>
                          <w:sz w:val="32"/>
                          <w:szCs w:val="32"/>
                        </w:rPr>
                      </w:pPr>
                    </w:p>
                  </w:txbxContent>
                </v:textbox>
                <w10:anchorlock/>
              </v:shape>
            </w:pict>
          </mc:Fallback>
        </mc:AlternateContent>
      </w:r>
    </w:p>
    <w:bookmarkEnd w:id="0"/>
    <w:p w14:paraId="69A8528E">
      <w:pPr>
        <w:pStyle w:val="71"/>
      </w:pPr>
      <w:bookmarkStart w:id="1" w:name="_Toc61855728"/>
      <w:bookmarkStart w:id="2" w:name="SectionMark2"/>
      <w:r>
        <w:rPr>
          <w:rFonts w:hint="eastAsia"/>
        </w:rPr>
        <w:t>前    言</w:t>
      </w:r>
      <w:bookmarkEnd w:id="1"/>
    </w:p>
    <w:p w14:paraId="79741216">
      <w:pPr>
        <w:pStyle w:val="48"/>
        <w:ind w:firstLine="420"/>
      </w:pPr>
      <w:r>
        <w:t>本文件根据GB/T 1.1—2020《标准化工作导则 第1部分：标准化文件的结构和起草规则》的规定起草。</w:t>
      </w:r>
    </w:p>
    <w:p w14:paraId="74E6C389">
      <w:pPr>
        <w:pStyle w:val="48"/>
        <w:ind w:firstLine="420"/>
      </w:pPr>
      <w:r>
        <w:t>本文件由</w:t>
      </w:r>
      <w:r>
        <w:rPr>
          <w:rFonts w:hint="eastAsia"/>
        </w:rPr>
        <w:t>揭阳市农业农村局</w:t>
      </w:r>
      <w:r>
        <w:t>提出</w:t>
      </w:r>
      <w:r>
        <w:rPr>
          <w:rFonts w:hint="eastAsia"/>
        </w:rPr>
        <w:t>并归口</w:t>
      </w:r>
      <w:r>
        <w:t xml:space="preserve">。 </w:t>
      </w:r>
    </w:p>
    <w:p w14:paraId="53E84E30">
      <w:pPr>
        <w:pStyle w:val="48"/>
        <w:ind w:firstLine="420"/>
      </w:pPr>
      <w:r>
        <w:t>本文件起草单位：</w:t>
      </w:r>
      <w:r>
        <w:rPr>
          <w:rFonts w:hint="eastAsia"/>
        </w:rPr>
        <w:t>普宁市农业科学研究所。</w:t>
      </w:r>
    </w:p>
    <w:p w14:paraId="120C652D">
      <w:pPr>
        <w:pStyle w:val="48"/>
        <w:ind w:firstLine="420"/>
      </w:pPr>
      <w:r>
        <w:t>本文件主要起草人：</w:t>
      </w:r>
      <w:r>
        <w:rPr>
          <w:rFonts w:hint="eastAsia"/>
        </w:rPr>
        <w:t>冯顺洪、钟俊昌、谢漫丽、张松鑫、陈嘉玲、陈晓琼、方洁丽、翁淑芬、谢江丽、黄林珊</w:t>
      </w:r>
      <w:r>
        <w:t xml:space="preserve">。 </w:t>
      </w:r>
    </w:p>
    <w:bookmarkEnd w:id="2"/>
    <w:p w14:paraId="31A1D124">
      <w:pPr>
        <w:keepNext/>
        <w:pageBreakBefore/>
        <w:widowControl/>
        <w:shd w:val="clear" w:color="FFFFFF" w:fill="FFFFFF"/>
        <w:spacing w:before="640" w:after="560" w:line="460" w:lineRule="exact"/>
        <w:jc w:val="center"/>
        <w:rPr>
          <w:rFonts w:hint="eastAsia" w:ascii="黑体" w:hAnsi="黑体" w:eastAsia="黑体" w:cs="黑体"/>
          <w:sz w:val="32"/>
          <w:szCs w:val="32"/>
        </w:rPr>
        <w:sectPr>
          <w:headerReference r:id="rId7" w:type="first"/>
          <w:footerReference r:id="rId10" w:type="first"/>
          <w:headerReference r:id="rId6" w:type="default"/>
          <w:footerReference r:id="rId8" w:type="default"/>
          <w:footerReference r:id="rId9" w:type="even"/>
          <w:pgSz w:w="11906" w:h="16838"/>
          <w:pgMar w:top="1418" w:right="1588" w:bottom="1418" w:left="1588" w:header="851" w:footer="992" w:gutter="0"/>
          <w:pgNumType w:fmt="decimal" w:start="1"/>
          <w:cols w:space="720" w:num="1"/>
          <w:docGrid w:type="lines" w:linePitch="312" w:charSpace="0"/>
        </w:sectPr>
      </w:pPr>
    </w:p>
    <w:p w14:paraId="00922BBE">
      <w:pPr>
        <w:keepNext/>
        <w:pageBreakBefore/>
        <w:widowControl/>
        <w:shd w:val="clear" w:color="FFFFFF" w:fill="FFFFFF"/>
        <w:spacing w:before="640" w:after="560" w:line="460" w:lineRule="exact"/>
        <w:jc w:val="center"/>
        <w:rPr>
          <w:rFonts w:ascii="黑体" w:eastAsia="黑体"/>
          <w:kern w:val="0"/>
          <w:sz w:val="32"/>
          <w:szCs w:val="20"/>
        </w:rPr>
      </w:pPr>
      <w:r>
        <w:rPr>
          <w:rFonts w:hint="eastAsia" w:ascii="黑体" w:hAnsi="黑体" w:eastAsia="黑体" w:cs="黑体"/>
          <w:sz w:val="32"/>
          <w:szCs w:val="32"/>
        </w:rPr>
        <w:t>“普薯32号”甘薯栽培技术规范</w:t>
      </w:r>
    </w:p>
    <w:p w14:paraId="02A4DAF0">
      <w:pPr>
        <w:widowControl/>
        <w:spacing w:before="312" w:beforeLines="100" w:after="312" w:afterLines="100"/>
        <w:outlineLvl w:val="1"/>
        <w:rPr>
          <w:rFonts w:ascii="黑体" w:eastAsia="黑体"/>
          <w:kern w:val="0"/>
          <w:szCs w:val="20"/>
        </w:rPr>
      </w:pPr>
      <w:r>
        <w:rPr>
          <w:rFonts w:hint="eastAsia" w:ascii="黑体" w:eastAsia="黑体"/>
          <w:kern w:val="0"/>
          <w:szCs w:val="20"/>
        </w:rPr>
        <w:t>1</w:t>
      </w:r>
      <w:r>
        <w:rPr>
          <w:rFonts w:ascii="黑体" w:eastAsia="黑体"/>
          <w:kern w:val="0"/>
          <w:szCs w:val="20"/>
        </w:rPr>
        <w:t xml:space="preserve">  </w:t>
      </w:r>
      <w:r>
        <w:rPr>
          <w:rFonts w:hint="eastAsia" w:ascii="黑体" w:eastAsia="黑体"/>
          <w:kern w:val="0"/>
          <w:szCs w:val="20"/>
        </w:rPr>
        <w:t>范围</w:t>
      </w:r>
    </w:p>
    <w:p w14:paraId="56533B2F">
      <w:pPr>
        <w:widowControl/>
        <w:ind w:firstLine="420" w:firstLineChars="200"/>
        <w:outlineLvl w:val="1"/>
        <w:rPr>
          <w:rFonts w:ascii="宋体"/>
          <w:kern w:val="0"/>
          <w:szCs w:val="20"/>
        </w:rPr>
      </w:pPr>
      <w:r>
        <w:rPr>
          <w:rFonts w:hint="eastAsia" w:ascii="宋体"/>
          <w:kern w:val="0"/>
          <w:szCs w:val="20"/>
        </w:rPr>
        <w:t>本文件规定了“普薯32号”甘薯的品种来源、特征性状、产地环境、栽培管理、田间管理、病虫草害防治、收获、贮藏、生产档案等生产栽培技术要求。</w:t>
      </w:r>
    </w:p>
    <w:p w14:paraId="42A0A739">
      <w:pPr>
        <w:widowControl/>
        <w:ind w:firstLine="420" w:firstLineChars="200"/>
        <w:outlineLvl w:val="1"/>
        <w:rPr>
          <w:rFonts w:hint="eastAsia" w:ascii="宋体" w:hAnsi="宋体"/>
          <w:kern w:val="0"/>
          <w:szCs w:val="20"/>
        </w:rPr>
      </w:pPr>
      <w:r>
        <w:rPr>
          <w:rFonts w:hint="eastAsia" w:ascii="宋体" w:hAnsi="宋体"/>
          <w:kern w:val="0"/>
          <w:szCs w:val="20"/>
        </w:rPr>
        <w:t>本文件适用于揭阳市区域内“普薯32号”的生产</w:t>
      </w:r>
      <w:r>
        <w:rPr>
          <w:rFonts w:hint="eastAsia" w:ascii="宋体"/>
          <w:kern w:val="0"/>
          <w:szCs w:val="20"/>
        </w:rPr>
        <w:t>栽培。</w:t>
      </w:r>
      <w:r>
        <w:rPr>
          <w:rFonts w:hint="eastAsia" w:ascii="宋体" w:hAnsi="宋体"/>
          <w:kern w:val="0"/>
          <w:szCs w:val="20"/>
        </w:rPr>
        <w:t>亦可供广东省其他栽培条件相近的地区参考。</w:t>
      </w:r>
    </w:p>
    <w:p w14:paraId="1F929AFD">
      <w:pPr>
        <w:widowControl/>
        <w:outlineLvl w:val="1"/>
        <w:rPr>
          <w:rFonts w:hint="eastAsia" w:ascii="宋体" w:hAnsi="宋体"/>
          <w:kern w:val="0"/>
          <w:szCs w:val="20"/>
        </w:rPr>
      </w:pPr>
    </w:p>
    <w:p w14:paraId="0602E407">
      <w:pPr>
        <w:widowControl/>
        <w:tabs>
          <w:tab w:val="center" w:pos="4201"/>
          <w:tab w:val="right" w:leader="dot" w:pos="9298"/>
        </w:tabs>
        <w:autoSpaceDE w:val="0"/>
        <w:autoSpaceDN w:val="0"/>
        <w:rPr>
          <w:rFonts w:ascii="黑体" w:eastAsia="黑体"/>
          <w:kern w:val="0"/>
          <w:szCs w:val="20"/>
        </w:rPr>
      </w:pPr>
      <w:r>
        <w:rPr>
          <w:rFonts w:ascii="黑体" w:eastAsia="黑体"/>
          <w:kern w:val="0"/>
          <w:szCs w:val="20"/>
        </w:rPr>
        <w:t xml:space="preserve">2  </w:t>
      </w:r>
      <w:r>
        <w:rPr>
          <w:rFonts w:hint="eastAsia" w:ascii="黑体" w:eastAsia="黑体"/>
          <w:kern w:val="0"/>
          <w:szCs w:val="20"/>
        </w:rPr>
        <w:t>规范性引用文件</w:t>
      </w:r>
    </w:p>
    <w:p w14:paraId="37F2A21B">
      <w:pPr>
        <w:widowControl/>
        <w:ind w:firstLine="420" w:firstLineChars="200"/>
        <w:outlineLvl w:val="1"/>
        <w:rPr>
          <w:rFonts w:hint="eastAsia" w:ascii="宋体" w:hAnsi="宋体"/>
          <w:kern w:val="0"/>
          <w:szCs w:val="20"/>
        </w:rPr>
      </w:pPr>
      <w:r>
        <w:rPr>
          <w:rFonts w:hint="eastAsia" w:ascii="宋体" w:hAnsi="宋体"/>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241BD2C">
      <w:pPr>
        <w:widowControl/>
        <w:tabs>
          <w:tab w:val="center" w:pos="4201"/>
          <w:tab w:val="right" w:leader="dot" w:pos="9298"/>
        </w:tabs>
        <w:autoSpaceDE w:val="0"/>
        <w:autoSpaceDN w:val="0"/>
        <w:ind w:firstLine="420" w:firstLineChars="200"/>
        <w:rPr>
          <w:rFonts w:ascii="宋体"/>
          <w:kern w:val="0"/>
          <w:szCs w:val="20"/>
        </w:rPr>
      </w:pPr>
      <w:bookmarkStart w:id="3" w:name="_Hlk39893566"/>
      <w:r>
        <w:rPr>
          <w:rFonts w:hint="eastAsia" w:ascii="宋体"/>
          <w:kern w:val="0"/>
          <w:szCs w:val="20"/>
        </w:rPr>
        <w:t>GB 5084</w:t>
      </w:r>
      <w:r>
        <w:rPr>
          <w:rFonts w:hint="eastAsia" w:ascii="宋体"/>
          <w:kern w:val="0"/>
          <w:szCs w:val="20"/>
          <w:lang w:val="en-US" w:eastAsia="zh-CN"/>
        </w:rPr>
        <w:t>-2021</w:t>
      </w:r>
      <w:r>
        <w:rPr>
          <w:rFonts w:ascii="宋体"/>
          <w:kern w:val="0"/>
          <w:szCs w:val="20"/>
        </w:rPr>
        <w:t xml:space="preserve">  </w:t>
      </w:r>
      <w:r>
        <w:rPr>
          <w:rFonts w:hint="eastAsia" w:ascii="宋体"/>
          <w:kern w:val="0"/>
          <w:szCs w:val="20"/>
        </w:rPr>
        <w:t>农田灌溉水质标准</w:t>
      </w:r>
    </w:p>
    <w:p w14:paraId="5F03393E">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GB 8321（</w:t>
      </w:r>
      <w:r>
        <w:rPr>
          <w:rFonts w:hint="eastAsia" w:ascii="宋体"/>
          <w:kern w:val="0"/>
          <w:szCs w:val="20"/>
          <w:lang w:val="en-US" w:eastAsia="zh-CN"/>
        </w:rPr>
        <w:t>1-10</w:t>
      </w:r>
      <w:r>
        <w:rPr>
          <w:rFonts w:hint="eastAsia" w:ascii="宋体"/>
          <w:kern w:val="0"/>
          <w:szCs w:val="20"/>
        </w:rPr>
        <w:t>） 农药合理使用准则</w:t>
      </w:r>
    </w:p>
    <w:p w14:paraId="19B7EDE5">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496-2010</w:t>
      </w:r>
      <w:r>
        <w:rPr>
          <w:rFonts w:ascii="宋体"/>
          <w:kern w:val="0"/>
          <w:szCs w:val="20"/>
        </w:rPr>
        <w:t xml:space="preserve">  </w:t>
      </w:r>
      <w:r>
        <w:rPr>
          <w:rFonts w:hint="eastAsia" w:ascii="宋体"/>
          <w:kern w:val="0"/>
          <w:szCs w:val="20"/>
        </w:rPr>
        <w:t>肥料合理使用准则 通则</w:t>
      </w:r>
    </w:p>
    <w:p w14:paraId="402E3306">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525-2021</w:t>
      </w:r>
      <w:r>
        <w:rPr>
          <w:rFonts w:ascii="宋体"/>
          <w:kern w:val="0"/>
          <w:szCs w:val="20"/>
        </w:rPr>
        <w:t xml:space="preserve">  </w:t>
      </w:r>
      <w:r>
        <w:rPr>
          <w:rFonts w:hint="eastAsia" w:ascii="宋体"/>
          <w:kern w:val="0"/>
          <w:szCs w:val="20"/>
        </w:rPr>
        <w:t>有机肥料</w:t>
      </w:r>
    </w:p>
    <w:p w14:paraId="476835EF">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1200</w:t>
      </w:r>
      <w:r>
        <w:rPr>
          <w:rFonts w:hint="eastAsia" w:ascii="宋体"/>
          <w:kern w:val="0"/>
          <w:szCs w:val="20"/>
          <w:lang w:val="en-US" w:eastAsia="zh-CN"/>
        </w:rPr>
        <w:t>-2006</w:t>
      </w:r>
      <w:r>
        <w:rPr>
          <w:rFonts w:hint="eastAsia" w:ascii="宋体"/>
          <w:kern w:val="0"/>
          <w:szCs w:val="20"/>
        </w:rPr>
        <w:t xml:space="preserve">  甘薯脱毒种薯</w:t>
      </w:r>
    </w:p>
    <w:p w14:paraId="03E9F9FB">
      <w:pPr>
        <w:widowControl/>
        <w:tabs>
          <w:tab w:val="center" w:pos="4201"/>
          <w:tab w:val="right" w:leader="dot" w:pos="9298"/>
        </w:tabs>
        <w:autoSpaceDE w:val="0"/>
        <w:autoSpaceDN w:val="0"/>
        <w:ind w:firstLine="420" w:firstLineChars="200"/>
        <w:rPr>
          <w:rFonts w:ascii="宋体"/>
          <w:kern w:val="0"/>
          <w:szCs w:val="20"/>
        </w:rPr>
      </w:pPr>
      <w:bookmarkStart w:id="4" w:name="_Hlk39910285"/>
      <w:r>
        <w:rPr>
          <w:rFonts w:hint="eastAsia" w:ascii="宋体"/>
          <w:kern w:val="0"/>
          <w:szCs w:val="20"/>
        </w:rPr>
        <w:t>NY/T 2642-2014</w:t>
      </w:r>
      <w:bookmarkEnd w:id="4"/>
      <w:r>
        <w:rPr>
          <w:rFonts w:hint="eastAsia" w:ascii="宋体"/>
          <w:kern w:val="0"/>
          <w:szCs w:val="20"/>
        </w:rPr>
        <w:t xml:space="preserve"> </w:t>
      </w:r>
      <w:r>
        <w:rPr>
          <w:rFonts w:ascii="宋体"/>
          <w:kern w:val="0"/>
          <w:szCs w:val="20"/>
        </w:rPr>
        <w:t xml:space="preserve"> </w:t>
      </w:r>
      <w:r>
        <w:rPr>
          <w:rFonts w:hint="eastAsia" w:ascii="宋体"/>
          <w:kern w:val="0"/>
          <w:szCs w:val="20"/>
        </w:rPr>
        <w:t>甘薯等级规格</w:t>
      </w:r>
    </w:p>
    <w:p w14:paraId="4227B1BB">
      <w:pPr>
        <w:widowControl/>
        <w:tabs>
          <w:tab w:val="center" w:pos="4201"/>
          <w:tab w:val="right" w:leader="dot" w:pos="9298"/>
        </w:tabs>
        <w:autoSpaceDE w:val="0"/>
        <w:autoSpaceDN w:val="0"/>
        <w:ind w:firstLine="420" w:firstLineChars="200"/>
        <w:rPr>
          <w:rFonts w:ascii="宋体"/>
          <w:kern w:val="0"/>
          <w:szCs w:val="20"/>
        </w:rPr>
      </w:pPr>
      <w:bookmarkStart w:id="5" w:name="_Hlk39911694"/>
      <w:r>
        <w:rPr>
          <w:rFonts w:hint="eastAsia" w:ascii="宋体"/>
          <w:kern w:val="0"/>
          <w:szCs w:val="20"/>
        </w:rPr>
        <w:t>NY/T 2789-2015</w:t>
      </w:r>
      <w:bookmarkEnd w:id="5"/>
      <w:r>
        <w:rPr>
          <w:rFonts w:ascii="宋体"/>
          <w:kern w:val="0"/>
          <w:szCs w:val="20"/>
        </w:rPr>
        <w:t xml:space="preserve">  </w:t>
      </w:r>
      <w:r>
        <w:rPr>
          <w:rFonts w:hint="eastAsia" w:ascii="宋体"/>
          <w:kern w:val="0"/>
          <w:szCs w:val="20"/>
        </w:rPr>
        <w:t>薯类贮藏技术规范</w:t>
      </w:r>
    </w:p>
    <w:p w14:paraId="07DA1879">
      <w:pPr>
        <w:widowControl/>
        <w:ind w:firstLine="420" w:firstLineChars="200"/>
        <w:outlineLvl w:val="1"/>
        <w:rPr>
          <w:rFonts w:hint="eastAsia" w:ascii="宋体" w:hAnsi="宋体"/>
          <w:kern w:val="0"/>
          <w:szCs w:val="20"/>
        </w:rPr>
      </w:pPr>
      <w:r>
        <w:rPr>
          <w:rFonts w:hint="eastAsia" w:ascii="宋体" w:hAnsi="宋体"/>
          <w:kern w:val="0"/>
          <w:szCs w:val="20"/>
        </w:rPr>
        <w:t>NY/T 3537-2020  甘薯脱毒种薯(苗)生产技术规范</w:t>
      </w:r>
    </w:p>
    <w:p w14:paraId="54E97CA6">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NY/T 5010-2016</w:t>
      </w:r>
      <w:bookmarkEnd w:id="3"/>
      <w:r>
        <w:rPr>
          <w:rFonts w:ascii="宋体"/>
          <w:kern w:val="0"/>
          <w:szCs w:val="20"/>
        </w:rPr>
        <w:t xml:space="preserve">  </w:t>
      </w:r>
      <w:r>
        <w:rPr>
          <w:rFonts w:hint="eastAsia" w:ascii="宋体"/>
          <w:kern w:val="0"/>
          <w:szCs w:val="20"/>
        </w:rPr>
        <w:t>无公害农产品  种植业产地环境条件</w:t>
      </w:r>
    </w:p>
    <w:p w14:paraId="1C5FC9F8">
      <w:pPr>
        <w:widowControl/>
        <w:spacing w:before="312" w:beforeLines="100" w:after="312" w:afterLines="100"/>
        <w:outlineLvl w:val="1"/>
        <w:rPr>
          <w:rFonts w:ascii="黑体" w:eastAsia="黑体"/>
          <w:kern w:val="0"/>
          <w:szCs w:val="20"/>
        </w:rPr>
      </w:pPr>
      <w:r>
        <w:rPr>
          <w:rFonts w:ascii="黑体" w:eastAsia="黑体"/>
          <w:kern w:val="0"/>
          <w:szCs w:val="20"/>
        </w:rPr>
        <w:t xml:space="preserve">3  </w:t>
      </w:r>
      <w:r>
        <w:rPr>
          <w:rFonts w:hint="eastAsia" w:ascii="黑体" w:eastAsia="黑体"/>
          <w:kern w:val="0"/>
          <w:szCs w:val="20"/>
        </w:rPr>
        <w:t>术语和定义</w:t>
      </w:r>
    </w:p>
    <w:p w14:paraId="21D3E485">
      <w:pPr>
        <w:widowControl/>
        <w:spacing w:before="312" w:beforeLines="100" w:after="312" w:afterLines="100"/>
        <w:ind w:firstLine="420" w:firstLineChars="200"/>
        <w:rPr>
          <w:rFonts w:hint="eastAsia" w:ascii="宋体" w:hAnsi="宋体"/>
          <w:kern w:val="0"/>
          <w:szCs w:val="20"/>
        </w:rPr>
      </w:pPr>
      <w:r>
        <w:t>NY</w:t>
      </w:r>
      <w:r>
        <w:rPr>
          <w:rFonts w:hint="eastAsia"/>
        </w:rPr>
        <w:t>/</w:t>
      </w:r>
      <w:r>
        <w:t>T 3537-2020界定的</w:t>
      </w:r>
      <w:r>
        <w:rPr>
          <w:rFonts w:hint="eastAsia"/>
        </w:rPr>
        <w:t>以及下列</w:t>
      </w:r>
      <w:r>
        <w:t>术语和定义适用于本文件。</w:t>
      </w:r>
    </w:p>
    <w:p w14:paraId="6B8BFCA9">
      <w:pPr>
        <w:widowControl/>
        <w:numPr>
          <w:ilvl w:val="1"/>
          <w:numId w:val="0"/>
        </w:numPr>
        <w:spacing w:before="156" w:beforeLines="50" w:after="156" w:afterLines="50"/>
        <w:jc w:val="left"/>
        <w:outlineLvl w:val="2"/>
        <w:rPr>
          <w:rFonts w:ascii="黑体" w:eastAsia="黑体"/>
          <w:kern w:val="0"/>
          <w:szCs w:val="21"/>
        </w:rPr>
      </w:pPr>
      <w:r>
        <w:rPr>
          <w:rFonts w:ascii="黑体" w:eastAsia="黑体"/>
          <w:kern w:val="0"/>
          <w:szCs w:val="21"/>
        </w:rPr>
        <w:t xml:space="preserve">3.1  </w:t>
      </w:r>
      <w:r>
        <w:rPr>
          <w:rFonts w:hint="eastAsia" w:ascii="黑体" w:eastAsia="黑体"/>
          <w:kern w:val="0"/>
          <w:szCs w:val="21"/>
        </w:rPr>
        <w:t xml:space="preserve">鲜食型甘薯 </w:t>
      </w:r>
      <w:r>
        <w:rPr>
          <w:rFonts w:ascii="黑体" w:eastAsia="黑体"/>
          <w:kern w:val="0"/>
          <w:szCs w:val="21"/>
        </w:rPr>
        <w:t>sweetpotato for table use</w:t>
      </w:r>
    </w:p>
    <w:p w14:paraId="7468DDB9">
      <w:pPr>
        <w:widowControl/>
        <w:tabs>
          <w:tab w:val="center" w:pos="4201"/>
          <w:tab w:val="right" w:leader="dot" w:pos="9298"/>
        </w:tabs>
        <w:autoSpaceDE w:val="0"/>
        <w:autoSpaceDN w:val="0"/>
        <w:ind w:firstLine="420" w:firstLineChars="200"/>
        <w:rPr>
          <w:rFonts w:hint="eastAsia" w:ascii="宋体" w:hAnsi="宋体" w:cs="宋体"/>
          <w:kern w:val="0"/>
          <w:szCs w:val="20"/>
        </w:rPr>
      </w:pPr>
      <w:r>
        <w:rPr>
          <w:rFonts w:hint="eastAsia" w:ascii="宋体" w:hAnsi="宋体" w:cs="宋体"/>
          <w:kern w:val="0"/>
          <w:szCs w:val="20"/>
        </w:rPr>
        <w:t>是指以块根为食用部位的不经过深加工，适宜蒸、煮、烤制食用的甘薯。</w:t>
      </w:r>
    </w:p>
    <w:p w14:paraId="760EE5A2">
      <w:pPr>
        <w:widowControl/>
        <w:spacing w:before="312" w:beforeLines="100" w:after="312" w:afterLines="100"/>
        <w:outlineLvl w:val="1"/>
        <w:rPr>
          <w:rFonts w:ascii="黑体" w:eastAsia="黑体"/>
          <w:kern w:val="0"/>
          <w:szCs w:val="20"/>
        </w:rPr>
      </w:pPr>
      <w:r>
        <w:rPr>
          <w:rFonts w:ascii="黑体" w:eastAsia="黑体"/>
          <w:kern w:val="0"/>
          <w:szCs w:val="20"/>
        </w:rPr>
        <w:t xml:space="preserve">4  </w:t>
      </w:r>
      <w:r>
        <w:rPr>
          <w:rFonts w:hint="eastAsia" w:ascii="黑体" w:eastAsia="黑体"/>
          <w:kern w:val="0"/>
          <w:szCs w:val="20"/>
        </w:rPr>
        <w:t>“普薯32号”鲜食型甘薯品种来源和主要特征特性</w:t>
      </w:r>
    </w:p>
    <w:p w14:paraId="348C798E">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4.1  品种来源</w:t>
      </w:r>
    </w:p>
    <w:p w14:paraId="0C200040">
      <w:pPr>
        <w:widowControl/>
        <w:tabs>
          <w:tab w:val="center" w:pos="4201"/>
          <w:tab w:val="right" w:leader="dot" w:pos="9298"/>
        </w:tabs>
        <w:autoSpaceDE w:val="0"/>
        <w:autoSpaceDN w:val="0"/>
        <w:ind w:firstLine="420" w:firstLineChars="200"/>
        <w:rPr>
          <w:rFonts w:hint="eastAsia" w:ascii="宋体" w:hAnsi="宋体" w:cs="宋体"/>
          <w:kern w:val="0"/>
          <w:szCs w:val="20"/>
        </w:rPr>
      </w:pPr>
      <w:r>
        <w:rPr>
          <w:rFonts w:hint="eastAsia" w:ascii="宋体" w:hAnsi="宋体" w:cs="宋体"/>
          <w:kern w:val="0"/>
          <w:szCs w:val="20"/>
        </w:rPr>
        <w:t>2001年用“普薯24号”为母本，“徐薯94/47-1”为父本人工杂交获得该品系。该品种于2012年6月通过了广东省农作物品种审定，2020年6月通过国家农业农村部非主要农作物品种登记。</w:t>
      </w:r>
    </w:p>
    <w:p w14:paraId="42B64B8D">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 xml:space="preserve">4.2  主要特征特性 </w:t>
      </w:r>
    </w:p>
    <w:p w14:paraId="667D31D1">
      <w:pPr>
        <w:widowControl/>
        <w:spacing w:before="312" w:beforeLines="100" w:after="312" w:afterLines="100"/>
        <w:ind w:firstLine="420" w:firstLineChars="200"/>
        <w:rPr>
          <w:rFonts w:ascii="黑体"/>
          <w:kern w:val="0"/>
          <w:szCs w:val="20"/>
        </w:rPr>
      </w:pPr>
      <w:r>
        <w:rPr>
          <w:rFonts w:hint="eastAsia"/>
        </w:rPr>
        <w:t xml:space="preserve">株型半直立，分枝性中等，蔓长中等，顶叶紫色，叶心形，叶片较大，叶脉绿色，茎较粗、呈绿色，结薯集中，单株结薯数5～7个，薯块纺锤形，薯皮红色，薯肉桔红色，薯块干物率30%左右。 </w:t>
      </w:r>
      <w:r>
        <w:rPr>
          <w:rFonts w:hint="eastAsia" w:ascii="宋体" w:hAnsi="宋体"/>
          <w:kern w:val="0"/>
          <w:szCs w:val="20"/>
        </w:rPr>
        <w:t>适应性广，丰产稳产；</w:t>
      </w:r>
      <w:r>
        <w:rPr>
          <w:rFonts w:hint="eastAsia"/>
        </w:rPr>
        <w:t>早熟，可提早上市供应淡季；优质，胡萝卜素含量高，熟食味优；美观度好，卖相好，商品价值高；</w:t>
      </w:r>
      <w:r>
        <w:rPr>
          <w:rFonts w:hint="eastAsia" w:ascii="宋体" w:hAnsi="宋体"/>
          <w:kern w:val="0"/>
          <w:szCs w:val="20"/>
        </w:rPr>
        <w:t>糯甜型，表现为肉质细腻、软糯无丝；</w:t>
      </w:r>
      <w:r>
        <w:rPr>
          <w:rFonts w:hint="eastAsia"/>
        </w:rPr>
        <w:t>耐贮藏。并应符合</w:t>
      </w:r>
      <w:r>
        <w:rPr>
          <w:rFonts w:hint="eastAsia" w:ascii="宋体"/>
          <w:kern w:val="0"/>
          <w:szCs w:val="20"/>
        </w:rPr>
        <w:t>NY/T 1200</w:t>
      </w:r>
      <w:r>
        <w:rPr>
          <w:rFonts w:hint="eastAsia" w:ascii="宋体"/>
          <w:kern w:val="0"/>
          <w:szCs w:val="20"/>
          <w:lang w:val="en-US" w:eastAsia="zh-CN"/>
        </w:rPr>
        <w:t>-2006</w:t>
      </w:r>
      <w:r>
        <w:rPr>
          <w:rFonts w:hint="eastAsia" w:ascii="宋体"/>
          <w:kern w:val="0"/>
          <w:szCs w:val="20"/>
        </w:rPr>
        <w:t xml:space="preserve"> 的规定。</w:t>
      </w:r>
    </w:p>
    <w:p w14:paraId="6BED17B5">
      <w:pPr>
        <w:widowControl/>
        <w:spacing w:before="312" w:beforeLines="100" w:after="312" w:afterLines="100"/>
        <w:outlineLvl w:val="1"/>
        <w:rPr>
          <w:rFonts w:ascii="黑体" w:eastAsia="黑体"/>
          <w:kern w:val="0"/>
          <w:szCs w:val="20"/>
        </w:rPr>
      </w:pPr>
      <w:r>
        <w:rPr>
          <w:rFonts w:ascii="黑体" w:eastAsia="黑体"/>
          <w:kern w:val="0"/>
          <w:szCs w:val="20"/>
        </w:rPr>
        <w:t xml:space="preserve">5  </w:t>
      </w:r>
      <w:r>
        <w:rPr>
          <w:rFonts w:hint="eastAsia" w:ascii="黑体" w:eastAsia="黑体"/>
          <w:kern w:val="0"/>
          <w:szCs w:val="20"/>
        </w:rPr>
        <w:t>产地环境</w:t>
      </w:r>
    </w:p>
    <w:p w14:paraId="01B37378">
      <w:pPr>
        <w:widowControl/>
        <w:spacing w:before="312" w:beforeLines="100" w:after="312" w:afterLines="100"/>
        <w:ind w:firstLine="420" w:firstLineChars="200"/>
      </w:pPr>
      <w:r>
        <w:rPr>
          <w:rFonts w:hint="eastAsia"/>
        </w:rPr>
        <w:t>要选择土壤疏松、排水良好且中等肥力水平或以上的沙质壤土或壤土进行种植，应符合NY/T 5010-2016的规定。</w:t>
      </w:r>
    </w:p>
    <w:p w14:paraId="5C6167AF">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6</w:t>
      </w:r>
      <w:r>
        <w:rPr>
          <w:rFonts w:ascii="黑体" w:eastAsia="黑体"/>
          <w:kern w:val="0"/>
          <w:szCs w:val="21"/>
        </w:rPr>
        <w:t xml:space="preserve">  </w:t>
      </w:r>
      <w:r>
        <w:rPr>
          <w:rFonts w:hint="eastAsia" w:ascii="黑体" w:eastAsia="黑体"/>
          <w:kern w:val="0"/>
          <w:szCs w:val="21"/>
        </w:rPr>
        <w:t>栽培管理</w:t>
      </w:r>
    </w:p>
    <w:p w14:paraId="1FD37B0C">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6</w:t>
      </w:r>
      <w:r>
        <w:rPr>
          <w:rFonts w:ascii="黑体" w:eastAsia="黑体"/>
          <w:kern w:val="0"/>
          <w:szCs w:val="21"/>
        </w:rPr>
        <w:t xml:space="preserve">.1  </w:t>
      </w:r>
      <w:r>
        <w:rPr>
          <w:rFonts w:hint="eastAsia" w:ascii="黑体" w:eastAsia="黑体"/>
          <w:kern w:val="0"/>
          <w:szCs w:val="21"/>
        </w:rPr>
        <w:t>整地</w:t>
      </w:r>
    </w:p>
    <w:p w14:paraId="0F243701">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结合基肥施用，深耕2</w:t>
      </w:r>
      <w:r>
        <w:rPr>
          <w:rFonts w:ascii="宋体" w:hAnsi="宋体" w:cs="宋体"/>
          <w:kern w:val="0"/>
          <w:szCs w:val="21"/>
        </w:rPr>
        <w:t xml:space="preserve">5 </w:t>
      </w:r>
      <w:r>
        <w:rPr>
          <w:rFonts w:hint="eastAsia" w:ascii="宋体" w:hAnsi="宋体" w:cs="宋体"/>
          <w:kern w:val="0"/>
          <w:szCs w:val="21"/>
        </w:rPr>
        <w:t>cm</w:t>
      </w:r>
      <w:r>
        <w:rPr>
          <w:rFonts w:hint="eastAsia"/>
        </w:rPr>
        <w:t>～</w:t>
      </w:r>
      <w:r>
        <w:rPr>
          <w:rFonts w:ascii="宋体" w:hAnsi="宋体" w:cs="宋体"/>
          <w:kern w:val="0"/>
          <w:szCs w:val="21"/>
        </w:rPr>
        <w:t xml:space="preserve">30 </w:t>
      </w:r>
      <w:r>
        <w:rPr>
          <w:rFonts w:hint="eastAsia" w:ascii="宋体" w:hAnsi="宋体" w:cs="宋体"/>
          <w:kern w:val="0"/>
          <w:szCs w:val="21"/>
        </w:rPr>
        <w:t xml:space="preserve">cm为宜，之后将地耙平。 </w:t>
      </w:r>
    </w:p>
    <w:p w14:paraId="7B5EEB50">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6.2  起垄</w:t>
      </w:r>
    </w:p>
    <w:p w14:paraId="037666FC">
      <w:pPr>
        <w:widowControl/>
        <w:numPr>
          <w:ilvl w:val="2"/>
          <w:numId w:val="0"/>
        </w:numPr>
        <w:spacing w:before="156" w:beforeLines="50" w:after="156" w:afterLines="50"/>
        <w:ind w:firstLine="420"/>
        <w:jc w:val="left"/>
        <w:outlineLvl w:val="3"/>
        <w:rPr>
          <w:rFonts w:hint="eastAsia" w:ascii="宋体" w:hAnsi="宋体" w:cs="宋体"/>
          <w:kern w:val="0"/>
          <w:szCs w:val="21"/>
        </w:rPr>
      </w:pPr>
      <w:r>
        <w:rPr>
          <w:rFonts w:hint="eastAsia" w:ascii="宋体" w:hAnsi="宋体" w:cs="宋体"/>
          <w:kern w:val="0"/>
          <w:szCs w:val="21"/>
        </w:rPr>
        <w:t>垄距视土质、土层厚度、地势、常年旱涝情况而定，垄距1</w:t>
      </w:r>
      <w:r>
        <w:rPr>
          <w:rFonts w:ascii="宋体" w:hAnsi="宋体" w:cs="宋体"/>
          <w:kern w:val="0"/>
          <w:szCs w:val="21"/>
        </w:rPr>
        <w:t xml:space="preserve">10 </w:t>
      </w:r>
      <w:r>
        <w:rPr>
          <w:rFonts w:hint="eastAsia" w:ascii="宋体" w:hAnsi="宋体" w:cs="宋体"/>
          <w:kern w:val="0"/>
          <w:szCs w:val="21"/>
        </w:rPr>
        <w:t>c</w:t>
      </w:r>
      <w:r>
        <w:rPr>
          <w:rFonts w:ascii="宋体" w:hAnsi="宋体" w:cs="宋体"/>
          <w:kern w:val="0"/>
          <w:szCs w:val="21"/>
        </w:rPr>
        <w:t>m</w:t>
      </w:r>
      <w:r>
        <w:rPr>
          <w:rFonts w:hint="eastAsia" w:ascii="宋体" w:hAnsi="宋体" w:cs="宋体"/>
          <w:kern w:val="0"/>
          <w:szCs w:val="21"/>
        </w:rPr>
        <w:t>（包括垄沟）为宜，垄高3</w:t>
      </w:r>
      <w:r>
        <w:rPr>
          <w:rFonts w:ascii="宋体" w:hAnsi="宋体" w:cs="宋体"/>
          <w:kern w:val="0"/>
          <w:szCs w:val="21"/>
        </w:rPr>
        <w:t xml:space="preserve">0 </w:t>
      </w:r>
      <w:r>
        <w:rPr>
          <w:rFonts w:hint="eastAsia" w:ascii="宋体" w:hAnsi="宋体" w:cs="宋体"/>
          <w:kern w:val="0"/>
          <w:szCs w:val="21"/>
        </w:rPr>
        <w:t>cm</w:t>
      </w:r>
      <w:r>
        <w:rPr>
          <w:rFonts w:hint="eastAsia"/>
        </w:rPr>
        <w:t>～</w:t>
      </w:r>
      <w:r>
        <w:rPr>
          <w:rFonts w:ascii="宋体" w:hAnsi="宋体" w:cs="宋体"/>
          <w:kern w:val="0"/>
          <w:szCs w:val="21"/>
        </w:rPr>
        <w:t>40 cm</w:t>
      </w:r>
      <w:r>
        <w:rPr>
          <w:rFonts w:hint="eastAsia" w:ascii="宋体" w:hAnsi="宋体" w:cs="宋体"/>
          <w:kern w:val="0"/>
          <w:szCs w:val="21"/>
        </w:rPr>
        <w:t>为宜。夏秋薯区利用冬闲田种植的，可</w:t>
      </w:r>
      <w:r>
        <w:rPr>
          <w:rFonts w:hint="eastAsia" w:ascii="宋体" w:hAnsi="宋体" w:cs="宋体"/>
          <w:kern w:val="0"/>
          <w:szCs w:val="21"/>
          <w:lang w:val="en-US" w:eastAsia="zh-CN"/>
        </w:rPr>
        <w:t>适时</w:t>
      </w:r>
      <w:r>
        <w:rPr>
          <w:rFonts w:hint="eastAsia" w:ascii="宋体" w:hAnsi="宋体" w:cs="宋体"/>
          <w:kern w:val="0"/>
          <w:szCs w:val="21"/>
        </w:rPr>
        <w:t>起垄</w:t>
      </w:r>
      <w:r>
        <w:rPr>
          <w:rFonts w:hint="eastAsia" w:ascii="宋体" w:hAnsi="宋体" w:cs="宋体"/>
          <w:kern w:val="0"/>
          <w:szCs w:val="21"/>
          <w:lang w:eastAsia="zh-CN"/>
        </w:rPr>
        <w:t>；</w:t>
      </w:r>
      <w:r>
        <w:rPr>
          <w:rFonts w:hint="eastAsia" w:ascii="宋体" w:hAnsi="宋体" w:cs="宋体"/>
          <w:kern w:val="0"/>
          <w:szCs w:val="21"/>
        </w:rPr>
        <w:t>利用非冬闲田种植的，应在降雨间隙抢时起垄。建议水旱轮作，或与旱作作物花生、玉米等作物轮作，以减轻病虫害和连作障碍，实现甘薯生产增产增效，绿色发展。</w:t>
      </w:r>
    </w:p>
    <w:p w14:paraId="70597C07">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6</w:t>
      </w:r>
      <w:r>
        <w:rPr>
          <w:rFonts w:ascii="黑体" w:eastAsia="黑体"/>
          <w:kern w:val="0"/>
          <w:szCs w:val="21"/>
        </w:rPr>
        <w:t xml:space="preserve">.3  </w:t>
      </w:r>
      <w:r>
        <w:rPr>
          <w:rFonts w:hint="eastAsia" w:ascii="黑体" w:eastAsia="黑体"/>
          <w:kern w:val="0"/>
          <w:szCs w:val="21"/>
        </w:rPr>
        <w:t>栽插</w:t>
      </w:r>
    </w:p>
    <w:p w14:paraId="33F8185F">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.1  采苗与消毒</w:t>
      </w:r>
    </w:p>
    <w:p w14:paraId="4FCBC9DB">
      <w:pPr>
        <w:widowControl/>
        <w:numPr>
          <w:ilvl w:val="1"/>
          <w:numId w:val="0"/>
        </w:numPr>
        <w:spacing w:before="156" w:beforeLines="50" w:after="156" w:afterLines="50"/>
        <w:ind w:firstLine="420" w:firstLineChars="200"/>
        <w:jc w:val="left"/>
        <w:outlineLvl w:val="2"/>
        <w:rPr>
          <w:rFonts w:ascii="黑体" w:eastAsia="黑体"/>
          <w:kern w:val="0"/>
          <w:szCs w:val="21"/>
        </w:rPr>
      </w:pPr>
      <w:r>
        <w:rPr>
          <w:rFonts w:hint="eastAsia" w:ascii="宋体" w:hAnsi="宋体" w:cs="宋体"/>
          <w:kern w:val="0"/>
          <w:szCs w:val="21"/>
        </w:rPr>
        <w:t>应采健康种薯生产种苗顶端第一段苗（约25 cm长，有6～8个节），剔除弱苗，保持薯苗新鲜。在栽插前可用杀菌剂50%多菌灵可湿性粉剂1000</w:t>
      </w:r>
      <w:r>
        <w:rPr>
          <w:rFonts w:hint="eastAsia"/>
        </w:rPr>
        <w:t>～</w:t>
      </w:r>
      <w:r>
        <w:rPr>
          <w:rFonts w:hint="eastAsia" w:ascii="宋体" w:hAnsi="宋体" w:cs="宋体"/>
          <w:kern w:val="0"/>
          <w:szCs w:val="21"/>
        </w:rPr>
        <w:t>2000 倍液，或用50%托布津可湿性粉剂500</w:t>
      </w:r>
      <w:r>
        <w:rPr>
          <w:rFonts w:hint="eastAsia"/>
        </w:rPr>
        <w:t>～</w:t>
      </w:r>
      <w:r>
        <w:rPr>
          <w:rFonts w:hint="eastAsia" w:ascii="宋体" w:hAnsi="宋体" w:cs="宋体"/>
          <w:kern w:val="0"/>
          <w:szCs w:val="21"/>
        </w:rPr>
        <w:t>700 倍液，浸苗基部（5</w:t>
      </w:r>
      <w:r>
        <w:rPr>
          <w:rFonts w:ascii="宋体" w:hAnsi="宋体" w:cs="宋体"/>
          <w:kern w:val="0"/>
          <w:szCs w:val="21"/>
        </w:rPr>
        <w:t xml:space="preserve"> </w:t>
      </w:r>
      <w:r>
        <w:rPr>
          <w:rFonts w:hint="eastAsia" w:ascii="宋体" w:hAnsi="宋体" w:cs="宋体"/>
          <w:kern w:val="0"/>
          <w:szCs w:val="21"/>
        </w:rPr>
        <w:t>cm</w:t>
      </w:r>
      <w:r>
        <w:rPr>
          <w:rFonts w:hint="eastAsia"/>
        </w:rPr>
        <w:t>～</w:t>
      </w:r>
      <w:r>
        <w:rPr>
          <w:rFonts w:hint="eastAsia" w:ascii="宋体" w:hAnsi="宋体" w:cs="宋体"/>
          <w:kern w:val="0"/>
          <w:szCs w:val="21"/>
        </w:rPr>
        <w:t>10</w:t>
      </w:r>
      <w:r>
        <w:rPr>
          <w:rFonts w:ascii="宋体" w:hAnsi="宋体" w:cs="宋体"/>
          <w:kern w:val="0"/>
          <w:szCs w:val="21"/>
        </w:rPr>
        <w:t xml:space="preserve"> </w:t>
      </w:r>
      <w:r>
        <w:rPr>
          <w:rFonts w:hint="eastAsia" w:ascii="宋体" w:hAnsi="宋体" w:cs="宋体"/>
          <w:kern w:val="0"/>
          <w:szCs w:val="21"/>
        </w:rPr>
        <w:t>cm）10</w:t>
      </w:r>
      <w:r>
        <w:rPr>
          <w:rFonts w:ascii="宋体" w:hAnsi="宋体" w:cs="宋体"/>
          <w:kern w:val="0"/>
          <w:szCs w:val="21"/>
        </w:rPr>
        <w:t xml:space="preserve"> </w:t>
      </w:r>
      <w:r>
        <w:rPr>
          <w:rFonts w:hint="eastAsia" w:ascii="宋体" w:hAnsi="宋体" w:cs="宋体"/>
          <w:kern w:val="0"/>
          <w:szCs w:val="21"/>
        </w:rPr>
        <w:t>min，药液可以连续应用10 次左右。</w:t>
      </w:r>
    </w:p>
    <w:p w14:paraId="580BAC20">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.2  栽插时间</w:t>
      </w:r>
    </w:p>
    <w:p w14:paraId="52D73219">
      <w:pPr>
        <w:widowControl/>
        <w:numPr>
          <w:ilvl w:val="1"/>
          <w:numId w:val="0"/>
        </w:numPr>
        <w:spacing w:before="156" w:beforeLines="50" w:after="156" w:afterLines="50"/>
        <w:ind w:firstLine="420" w:firstLineChars="200"/>
        <w:jc w:val="left"/>
        <w:outlineLvl w:val="2"/>
        <w:rPr>
          <w:rFonts w:hint="eastAsia" w:ascii="宋体" w:hAnsi="宋体" w:cs="宋体"/>
          <w:kern w:val="0"/>
          <w:szCs w:val="21"/>
        </w:rPr>
      </w:pPr>
      <w:r>
        <w:rPr>
          <w:rFonts w:hint="eastAsia" w:ascii="宋体" w:hAnsi="宋体" w:cs="宋体"/>
          <w:kern w:val="0"/>
          <w:szCs w:val="21"/>
        </w:rPr>
        <w:t>适合春、夏、秋、冬种植。春植选择在3月底、4月初栽插；夏植选择在5月中旬</w:t>
      </w:r>
      <w:r>
        <w:rPr>
          <w:rFonts w:hint="eastAsia"/>
        </w:rPr>
        <w:t>～</w:t>
      </w:r>
      <w:r>
        <w:rPr>
          <w:rFonts w:hint="eastAsia" w:ascii="宋体" w:hAnsi="宋体" w:cs="宋体"/>
          <w:kern w:val="0"/>
          <w:szCs w:val="21"/>
        </w:rPr>
        <w:t>7月中旬进行栽插；秋植选择在</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上</w:t>
      </w:r>
      <w:r>
        <w:rPr>
          <w:rFonts w:hint="eastAsia" w:ascii="宋体" w:hAnsi="宋体" w:cs="宋体"/>
          <w:kern w:val="0"/>
          <w:szCs w:val="21"/>
        </w:rPr>
        <w:t>旬</w:t>
      </w:r>
      <w:r>
        <w:rPr>
          <w:rFonts w:hint="eastAsia"/>
        </w:rPr>
        <w:t>～</w:t>
      </w:r>
      <w:r>
        <w:rPr>
          <w:rFonts w:hint="eastAsia"/>
          <w:lang w:val="en-US" w:eastAsia="zh-CN"/>
        </w:rPr>
        <w:t>9</w:t>
      </w:r>
      <w:r>
        <w:rPr>
          <w:rFonts w:hint="eastAsia" w:ascii="宋体" w:hAnsi="宋体" w:cs="宋体"/>
          <w:kern w:val="0"/>
          <w:szCs w:val="21"/>
        </w:rPr>
        <w:t>月</w:t>
      </w:r>
      <w:r>
        <w:rPr>
          <w:rFonts w:hint="eastAsia" w:ascii="宋体" w:hAnsi="宋体" w:cs="宋体"/>
          <w:kern w:val="0"/>
          <w:szCs w:val="21"/>
          <w:lang w:val="en-US" w:eastAsia="zh-CN"/>
        </w:rPr>
        <w:t>下</w:t>
      </w:r>
      <w:r>
        <w:rPr>
          <w:rFonts w:hint="eastAsia" w:ascii="宋体" w:hAnsi="宋体" w:cs="宋体"/>
          <w:kern w:val="0"/>
          <w:szCs w:val="21"/>
        </w:rPr>
        <w:t>旬进行栽插；冬植选择在11月中旬至12月上旬</w:t>
      </w:r>
      <w:r>
        <w:rPr>
          <w:rFonts w:hint="eastAsia" w:ascii="宋体" w:hAnsi="宋体" w:cs="宋体"/>
          <w:kern w:val="0"/>
          <w:szCs w:val="21"/>
          <w:lang w:val="en-US" w:eastAsia="zh-CN"/>
        </w:rPr>
        <w:t>进行</w:t>
      </w:r>
      <w:r>
        <w:rPr>
          <w:rFonts w:hint="eastAsia" w:ascii="宋体" w:hAnsi="宋体" w:cs="宋体"/>
          <w:kern w:val="0"/>
          <w:szCs w:val="21"/>
        </w:rPr>
        <w:t>栽插。</w:t>
      </w:r>
    </w:p>
    <w:p w14:paraId="24A9C732">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.3  栽插密度</w:t>
      </w:r>
    </w:p>
    <w:p w14:paraId="204B8209">
      <w:pPr>
        <w:widowControl/>
        <w:numPr>
          <w:ilvl w:val="1"/>
          <w:numId w:val="0"/>
        </w:numPr>
        <w:spacing w:before="156" w:beforeLines="50" w:after="156" w:afterLines="50"/>
        <w:ind w:firstLine="420" w:firstLineChars="200"/>
        <w:jc w:val="left"/>
        <w:outlineLvl w:val="2"/>
        <w:rPr>
          <w:rFonts w:ascii="黑体" w:eastAsia="黑体"/>
          <w:color w:val="C00000"/>
          <w:kern w:val="0"/>
          <w:szCs w:val="21"/>
        </w:rPr>
      </w:pPr>
      <w:r>
        <w:rPr>
          <w:rFonts w:hint="eastAsia" w:ascii="宋体" w:hAnsi="宋体" w:cs="宋体"/>
          <w:kern w:val="0"/>
          <w:szCs w:val="21"/>
        </w:rPr>
        <w:t>栽插密度</w:t>
      </w:r>
      <w:r>
        <w:rPr>
          <w:rFonts w:hint="eastAsia"/>
          <w:szCs w:val="21"/>
        </w:rPr>
        <w:t>应根据土壤肥力、生育期、栽培目标来确定，</w:t>
      </w:r>
      <w:r>
        <w:rPr>
          <w:rFonts w:hint="eastAsia" w:ascii="宋体" w:hAnsi="宋体" w:cs="宋体"/>
          <w:kern w:val="0"/>
          <w:szCs w:val="21"/>
        </w:rPr>
        <w:t>以每667</w:t>
      </w:r>
      <w:r>
        <w:rPr>
          <w:rFonts w:ascii="宋体" w:hAnsi="宋体" w:cs="宋体"/>
          <w:kern w:val="0"/>
          <w:szCs w:val="21"/>
        </w:rPr>
        <w:t xml:space="preserve"> </w:t>
      </w:r>
      <w:r>
        <w:rPr>
          <w:rFonts w:hint="eastAsia" w:ascii="宋体" w:hAnsi="宋体" w:cs="宋体"/>
          <w:kern w:val="0"/>
          <w:szCs w:val="21"/>
        </w:rPr>
        <w:t>m</w:t>
      </w:r>
      <w:r>
        <w:rPr>
          <w:rFonts w:hint="eastAsia" w:ascii="宋体" w:hAnsi="宋体" w:cs="宋体"/>
          <w:kern w:val="0"/>
          <w:szCs w:val="21"/>
          <w:vertAlign w:val="superscript"/>
        </w:rPr>
        <w:t>2</w:t>
      </w:r>
      <w:r>
        <w:rPr>
          <w:rFonts w:hint="eastAsia" w:ascii="宋体" w:hAnsi="宋体" w:cs="宋体"/>
          <w:kern w:val="0"/>
          <w:szCs w:val="21"/>
        </w:rPr>
        <w:t>栽插28</w:t>
      </w:r>
      <w:r>
        <w:rPr>
          <w:rFonts w:ascii="宋体" w:hAnsi="宋体" w:cs="宋体"/>
          <w:kern w:val="0"/>
          <w:szCs w:val="21"/>
        </w:rPr>
        <w:t>00</w:t>
      </w:r>
      <w:r>
        <w:rPr>
          <w:rFonts w:hint="eastAsia"/>
        </w:rPr>
        <w:t>～</w:t>
      </w:r>
      <w:r>
        <w:rPr>
          <w:rFonts w:hint="eastAsia" w:ascii="宋体" w:hAnsi="宋体" w:cs="宋体"/>
          <w:kern w:val="0"/>
          <w:szCs w:val="21"/>
        </w:rPr>
        <w:t>3300株为宜。</w:t>
      </w:r>
    </w:p>
    <w:p w14:paraId="0BC867F1">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.3</w:t>
      </w:r>
      <w:r>
        <w:rPr>
          <w:rFonts w:hint="eastAsia" w:ascii="黑体" w:eastAsia="黑体"/>
          <w:kern w:val="0"/>
          <w:szCs w:val="21"/>
        </w:rPr>
        <w:t>.4  栽插方式</w:t>
      </w:r>
    </w:p>
    <w:p w14:paraId="224845C5">
      <w:pPr>
        <w:widowControl/>
        <w:numPr>
          <w:ilvl w:val="1"/>
          <w:numId w:val="0"/>
        </w:numPr>
        <w:spacing w:before="156" w:beforeLines="50" w:after="156" w:afterLines="50"/>
        <w:jc w:val="left"/>
        <w:outlineLvl w:val="2"/>
        <w:rPr>
          <w:rFonts w:hint="eastAsia" w:ascii="宋体" w:hAnsi="宋体" w:cs="宋体"/>
          <w:kern w:val="0"/>
          <w:szCs w:val="21"/>
        </w:rPr>
      </w:pPr>
      <w:r>
        <w:rPr>
          <w:rFonts w:hint="eastAsia" w:ascii="黑体" w:eastAsia="黑体"/>
          <w:kern w:val="0"/>
          <w:szCs w:val="21"/>
        </w:rPr>
        <w:t xml:space="preserve">    </w:t>
      </w:r>
      <w:r>
        <w:rPr>
          <w:rFonts w:hint="eastAsia" w:ascii="宋体" w:hAnsi="宋体" w:cs="宋体"/>
          <w:kern w:val="0"/>
          <w:szCs w:val="21"/>
        </w:rPr>
        <w:t>根据气候、土壤及栽培目标选择适宜的扦插方式。苗期肥水条件好、需要增加结薯个数，降低大薯率的可采用水平扦插法、船底形栽法或压藤插法；提高大薯率或提高苗期抗旱性的宜采用斜插法。干旱时扦插土壤可先浇水后插苗，待窝水渗净后再封土，扦插后保持薯苗直立。一般情况下，薯苗插入泥土3</w:t>
      </w:r>
      <w:r>
        <w:rPr>
          <w:rFonts w:hint="eastAsia"/>
        </w:rPr>
        <w:t>～</w:t>
      </w:r>
      <w:r>
        <w:rPr>
          <w:rFonts w:hint="eastAsia" w:ascii="宋体" w:hAnsi="宋体" w:cs="宋体"/>
          <w:kern w:val="0"/>
          <w:szCs w:val="21"/>
        </w:rPr>
        <w:t>5节，栽插后淋足定苗水，确保薯苗成活率。</w:t>
      </w:r>
    </w:p>
    <w:p w14:paraId="49A95967">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4</w:t>
      </w:r>
      <w:r>
        <w:rPr>
          <w:rFonts w:hint="eastAsia" w:ascii="黑体" w:eastAsia="黑体"/>
          <w:kern w:val="0"/>
          <w:szCs w:val="21"/>
        </w:rPr>
        <w:t xml:space="preserve">  查苗补苗</w:t>
      </w:r>
    </w:p>
    <w:p w14:paraId="00D79F29">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 xml:space="preserve">    </w:t>
      </w:r>
      <w:r>
        <w:rPr>
          <w:rFonts w:hint="eastAsia" w:ascii="宋体" w:hAnsi="宋体" w:cs="宋体"/>
          <w:kern w:val="0"/>
          <w:szCs w:val="21"/>
        </w:rPr>
        <w:t>栽插一周后查苗补苗，去除弱、病虫危害苗；选用壮苗补苗，补苗时宜选择雨天或阴天傍晚</w:t>
      </w:r>
      <w:r>
        <w:rPr>
          <w:rFonts w:hint="eastAsia" w:ascii="黑体" w:eastAsia="黑体"/>
          <w:kern w:val="0"/>
          <w:szCs w:val="21"/>
        </w:rPr>
        <w:t>。</w:t>
      </w:r>
      <w:r>
        <w:rPr>
          <w:rFonts w:hint="eastAsia" w:ascii="宋体" w:hAnsi="宋体" w:cs="宋体"/>
          <w:kern w:val="0"/>
          <w:szCs w:val="21"/>
        </w:rPr>
        <w:t>栽插后淋足定苗水，确保薯苗成活率。</w:t>
      </w:r>
    </w:p>
    <w:p w14:paraId="6B019A18">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6.</w:t>
      </w:r>
      <w:r>
        <w:rPr>
          <w:rFonts w:ascii="黑体" w:eastAsia="黑体"/>
          <w:kern w:val="0"/>
          <w:szCs w:val="21"/>
        </w:rPr>
        <w:t>5</w:t>
      </w:r>
      <w:r>
        <w:rPr>
          <w:rFonts w:hint="eastAsia" w:ascii="黑体" w:eastAsia="黑体"/>
          <w:kern w:val="0"/>
          <w:szCs w:val="21"/>
        </w:rPr>
        <w:t xml:space="preserve">  中耕培土</w:t>
      </w:r>
    </w:p>
    <w:p w14:paraId="37817F62">
      <w:pPr>
        <w:widowControl/>
        <w:numPr>
          <w:ilvl w:val="1"/>
          <w:numId w:val="0"/>
        </w:numPr>
        <w:spacing w:before="156" w:beforeLines="50" w:after="156" w:afterLines="50"/>
        <w:ind w:firstLine="420"/>
        <w:jc w:val="left"/>
        <w:outlineLvl w:val="2"/>
        <w:rPr>
          <w:rFonts w:hint="eastAsia" w:ascii="宋体" w:hAnsi="宋体" w:cs="宋体"/>
          <w:kern w:val="0"/>
          <w:szCs w:val="21"/>
        </w:rPr>
      </w:pPr>
      <w:bookmarkStart w:id="6" w:name="_Hlk39900774"/>
      <w:r>
        <w:rPr>
          <w:rFonts w:hint="eastAsia" w:ascii="宋体" w:hAnsi="宋体" w:cs="宋体"/>
          <w:kern w:val="0"/>
          <w:szCs w:val="21"/>
        </w:rPr>
        <w:t>薯苗返青后至封垄前，可进行1次中耕除草。在栽插后50d左右进行，首先进行一次开垄大培土，在将泥土覆盖回垄时，尽量将茎蔓基部覆盖好，可预防蚁象的危害。培土后将薯蔓均匀放回原处。春植与冬植薯可延迟15d</w:t>
      </w:r>
      <w:r>
        <w:rPr>
          <w:rFonts w:hint="eastAsia"/>
        </w:rPr>
        <w:t>～</w:t>
      </w:r>
      <w:r>
        <w:rPr>
          <w:rFonts w:hint="eastAsia" w:ascii="宋体" w:hAnsi="宋体" w:cs="宋体"/>
          <w:kern w:val="0"/>
          <w:szCs w:val="21"/>
        </w:rPr>
        <w:t>30d进行大培土。</w:t>
      </w:r>
    </w:p>
    <w:bookmarkEnd w:id="6"/>
    <w:p w14:paraId="7E00B0EF">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7</w:t>
      </w:r>
      <w:r>
        <w:rPr>
          <w:rFonts w:ascii="黑体" w:eastAsia="黑体"/>
          <w:kern w:val="0"/>
          <w:szCs w:val="21"/>
        </w:rPr>
        <w:t xml:space="preserve">  </w:t>
      </w:r>
      <w:r>
        <w:rPr>
          <w:rFonts w:hint="eastAsia" w:ascii="黑体" w:eastAsia="黑体"/>
          <w:kern w:val="0"/>
          <w:szCs w:val="21"/>
        </w:rPr>
        <w:t>田间管理</w:t>
      </w:r>
    </w:p>
    <w:p w14:paraId="7B90B4F6">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7</w:t>
      </w:r>
      <w:r>
        <w:rPr>
          <w:rFonts w:ascii="黑体" w:eastAsia="黑体"/>
          <w:kern w:val="0"/>
          <w:szCs w:val="21"/>
        </w:rPr>
        <w:t xml:space="preserve">.1  </w:t>
      </w:r>
      <w:r>
        <w:rPr>
          <w:rFonts w:hint="eastAsia" w:ascii="黑体" w:eastAsia="黑体"/>
          <w:kern w:val="0"/>
          <w:szCs w:val="21"/>
        </w:rPr>
        <w:t>肥料管理</w:t>
      </w:r>
    </w:p>
    <w:p w14:paraId="797B302F">
      <w:pPr>
        <w:widowControl/>
        <w:numPr>
          <w:ilvl w:val="1"/>
          <w:numId w:val="0"/>
        </w:numPr>
        <w:spacing w:before="156" w:beforeLines="50" w:after="156" w:afterLines="50"/>
        <w:jc w:val="left"/>
        <w:outlineLvl w:val="3"/>
        <w:rPr>
          <w:rFonts w:ascii="黑体" w:eastAsia="黑体"/>
          <w:kern w:val="0"/>
          <w:szCs w:val="21"/>
        </w:rPr>
      </w:pPr>
      <w:bookmarkStart w:id="7" w:name="_Hlk39901056"/>
      <w:r>
        <w:rPr>
          <w:rFonts w:hint="eastAsia" w:ascii="黑体" w:eastAsia="黑体"/>
          <w:kern w:val="0"/>
          <w:szCs w:val="21"/>
        </w:rPr>
        <w:t>7.</w:t>
      </w:r>
      <w:r>
        <w:rPr>
          <w:rFonts w:ascii="黑体" w:eastAsia="黑体"/>
          <w:kern w:val="0"/>
          <w:szCs w:val="21"/>
        </w:rPr>
        <w:t>1</w:t>
      </w:r>
      <w:r>
        <w:rPr>
          <w:rFonts w:hint="eastAsia" w:ascii="黑体" w:eastAsia="黑体"/>
          <w:kern w:val="0"/>
          <w:szCs w:val="21"/>
        </w:rPr>
        <w:t>.1</w:t>
      </w:r>
      <w:r>
        <w:rPr>
          <w:rFonts w:ascii="黑体" w:eastAsia="黑体"/>
          <w:kern w:val="0"/>
          <w:szCs w:val="21"/>
        </w:rPr>
        <w:t xml:space="preserve">  </w:t>
      </w:r>
      <w:r>
        <w:rPr>
          <w:rFonts w:hint="eastAsia" w:ascii="黑体" w:eastAsia="黑体"/>
          <w:kern w:val="0"/>
          <w:szCs w:val="21"/>
        </w:rPr>
        <w:t>施肥原则</w:t>
      </w:r>
    </w:p>
    <w:p w14:paraId="05F46DCB">
      <w:pPr>
        <w:widowControl/>
        <w:numPr>
          <w:ilvl w:val="1"/>
          <w:numId w:val="0"/>
        </w:numPr>
        <w:spacing w:before="156" w:beforeLines="50" w:after="156" w:afterLines="50"/>
        <w:ind w:firstLine="420"/>
        <w:jc w:val="left"/>
        <w:outlineLvl w:val="2"/>
        <w:rPr>
          <w:rFonts w:hint="eastAsia" w:ascii="宋体" w:hAnsi="宋体" w:cs="宋体"/>
          <w:kern w:val="0"/>
          <w:szCs w:val="21"/>
        </w:rPr>
      </w:pPr>
      <w:r>
        <w:rPr>
          <w:rFonts w:hint="eastAsia" w:ascii="宋体" w:hAnsi="宋体" w:cs="宋体"/>
          <w:kern w:val="0"/>
          <w:szCs w:val="21"/>
        </w:rPr>
        <w:t>坚持测土配方施肥，根据土壤肥力和目标产量，按照NY/T 496</w:t>
      </w:r>
      <w:r>
        <w:rPr>
          <w:rFonts w:ascii="宋体" w:hAnsi="宋体" w:cs="宋体"/>
          <w:kern w:val="0"/>
          <w:szCs w:val="21"/>
        </w:rPr>
        <w:t>-2010</w:t>
      </w:r>
      <w:r>
        <w:rPr>
          <w:rFonts w:hint="eastAsia" w:ascii="宋体" w:hAnsi="宋体" w:cs="宋体"/>
          <w:kern w:val="0"/>
          <w:szCs w:val="21"/>
        </w:rPr>
        <w:t>的规定进行合理平衡施肥。宜使用商品有机肥，不宜使用未腐熟农家肥。按照减氮、稳磷、增钾，基肥为主、追肥为辅，有机肥为主、化肥为辅的原则施肥。</w:t>
      </w:r>
    </w:p>
    <w:bookmarkEnd w:id="7"/>
    <w:p w14:paraId="0D24BBD2">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7.</w:t>
      </w:r>
      <w:r>
        <w:rPr>
          <w:rFonts w:ascii="黑体" w:eastAsia="黑体"/>
          <w:kern w:val="0"/>
          <w:szCs w:val="21"/>
        </w:rPr>
        <w:t>1</w:t>
      </w:r>
      <w:r>
        <w:rPr>
          <w:rFonts w:hint="eastAsia" w:ascii="黑体" w:eastAsia="黑体"/>
          <w:kern w:val="0"/>
          <w:szCs w:val="21"/>
        </w:rPr>
        <w:t>.</w:t>
      </w:r>
      <w:r>
        <w:rPr>
          <w:rFonts w:ascii="黑体" w:eastAsia="黑体"/>
          <w:kern w:val="0"/>
          <w:szCs w:val="21"/>
        </w:rPr>
        <w:t xml:space="preserve">2  </w:t>
      </w:r>
      <w:r>
        <w:rPr>
          <w:rFonts w:hint="eastAsia" w:ascii="黑体" w:eastAsia="黑体"/>
          <w:kern w:val="0"/>
          <w:szCs w:val="21"/>
        </w:rPr>
        <w:t>基肥</w:t>
      </w:r>
    </w:p>
    <w:p w14:paraId="55462E2C">
      <w:pPr>
        <w:widowControl/>
        <w:numPr>
          <w:ilvl w:val="1"/>
          <w:numId w:val="0"/>
        </w:numPr>
        <w:spacing w:before="156" w:beforeLines="50" w:after="156" w:afterLines="50"/>
        <w:ind w:firstLine="420"/>
        <w:jc w:val="left"/>
        <w:outlineLvl w:val="2"/>
        <w:rPr>
          <w:rFonts w:hint="eastAsia" w:ascii="宋体" w:hAnsi="宋体" w:cs="宋体"/>
          <w:kern w:val="0"/>
          <w:szCs w:val="21"/>
        </w:rPr>
      </w:pPr>
      <w:r>
        <w:rPr>
          <w:rFonts w:hint="eastAsia" w:ascii="宋体" w:hAnsi="宋体" w:cs="宋体"/>
          <w:kern w:val="0"/>
          <w:szCs w:val="21"/>
        </w:rPr>
        <w:t>肥料的合理使用按NY/T496</w:t>
      </w:r>
      <w:r>
        <w:rPr>
          <w:rFonts w:ascii="宋体" w:hAnsi="宋体" w:cs="宋体"/>
          <w:kern w:val="0"/>
          <w:szCs w:val="21"/>
        </w:rPr>
        <w:t>-2010</w:t>
      </w:r>
      <w:r>
        <w:rPr>
          <w:rFonts w:hint="eastAsia" w:ascii="宋体" w:hAnsi="宋体" w:cs="宋体"/>
          <w:kern w:val="0"/>
          <w:szCs w:val="21"/>
        </w:rPr>
        <w:t>的规定执行，整地起垄时，使用商品有机肥</w:t>
      </w:r>
      <w:r>
        <w:rPr>
          <w:rFonts w:hint="eastAsia" w:ascii="宋体" w:hAnsi="宋体" w:cs="宋体"/>
          <w:kern w:val="0"/>
          <w:szCs w:val="21"/>
          <w:lang w:val="en-US" w:eastAsia="zh-CN"/>
        </w:rPr>
        <w:t>作基肥</w:t>
      </w:r>
      <w:r>
        <w:rPr>
          <w:rFonts w:hint="eastAsia" w:ascii="宋体" w:hAnsi="宋体" w:cs="宋体"/>
          <w:kern w:val="0"/>
          <w:szCs w:val="21"/>
        </w:rPr>
        <w:t>。</w:t>
      </w:r>
    </w:p>
    <w:p w14:paraId="00662162">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7.</w:t>
      </w:r>
      <w:r>
        <w:rPr>
          <w:rFonts w:ascii="黑体" w:eastAsia="黑体"/>
          <w:kern w:val="0"/>
          <w:szCs w:val="21"/>
        </w:rPr>
        <w:t xml:space="preserve">1.3  </w:t>
      </w:r>
      <w:r>
        <w:rPr>
          <w:rFonts w:hint="eastAsia" w:ascii="黑体" w:eastAsia="黑体"/>
          <w:kern w:val="0"/>
          <w:szCs w:val="21"/>
        </w:rPr>
        <w:t>促苗肥</w:t>
      </w:r>
    </w:p>
    <w:p w14:paraId="691B6672">
      <w:pPr>
        <w:widowControl/>
        <w:numPr>
          <w:ilvl w:val="1"/>
          <w:numId w:val="0"/>
        </w:numPr>
        <w:spacing w:before="156" w:beforeLines="50" w:after="156" w:afterLines="50"/>
        <w:ind w:firstLine="420" w:firstLineChars="200"/>
        <w:jc w:val="left"/>
        <w:outlineLvl w:val="2"/>
        <w:rPr>
          <w:rFonts w:hint="eastAsia" w:ascii="宋体" w:hAnsi="宋体" w:cs="宋体"/>
          <w:kern w:val="0"/>
          <w:szCs w:val="21"/>
        </w:rPr>
      </w:pPr>
      <w:r>
        <w:rPr>
          <w:rFonts w:hint="eastAsia" w:ascii="宋体" w:hAnsi="宋体" w:cs="宋体"/>
          <w:kern w:val="0"/>
          <w:szCs w:val="21"/>
        </w:rPr>
        <w:t>在栽插后15d</w:t>
      </w:r>
      <w:r>
        <w:rPr>
          <w:rFonts w:hint="eastAsia"/>
        </w:rPr>
        <w:t>～</w:t>
      </w:r>
      <w:r>
        <w:rPr>
          <w:rFonts w:hint="eastAsia" w:ascii="宋体" w:hAnsi="宋体" w:cs="宋体"/>
          <w:kern w:val="0"/>
          <w:szCs w:val="21"/>
        </w:rPr>
        <w:t>20</w:t>
      </w:r>
      <w:r>
        <w:rPr>
          <w:rFonts w:ascii="宋体" w:hAnsi="宋体" w:cs="宋体"/>
          <w:kern w:val="0"/>
          <w:szCs w:val="21"/>
        </w:rPr>
        <w:t xml:space="preserve"> </w:t>
      </w:r>
      <w:r>
        <w:rPr>
          <w:rFonts w:hint="eastAsia" w:ascii="宋体" w:hAnsi="宋体" w:cs="宋体"/>
          <w:kern w:val="0"/>
          <w:szCs w:val="21"/>
        </w:rPr>
        <w:t>d，薯苗成活时追施速效氮肥，每667m</w:t>
      </w:r>
      <w:r>
        <w:rPr>
          <w:rFonts w:hint="eastAsia" w:ascii="宋体" w:hAnsi="宋体" w:cs="宋体"/>
          <w:kern w:val="0"/>
          <w:szCs w:val="21"/>
          <w:vertAlign w:val="superscript"/>
        </w:rPr>
        <w:t>2</w:t>
      </w:r>
      <w:r>
        <w:rPr>
          <w:rFonts w:hint="eastAsia" w:ascii="宋体" w:hAnsi="宋体" w:cs="宋体"/>
          <w:kern w:val="0"/>
          <w:szCs w:val="21"/>
        </w:rPr>
        <w:t>用尿素5kg</w:t>
      </w:r>
      <w:r>
        <w:rPr>
          <w:rFonts w:hint="eastAsia"/>
        </w:rPr>
        <w:t>～</w:t>
      </w:r>
      <w:r>
        <w:rPr>
          <w:rFonts w:hint="eastAsia" w:ascii="宋体" w:hAnsi="宋体" w:cs="宋体"/>
          <w:kern w:val="0"/>
          <w:szCs w:val="21"/>
        </w:rPr>
        <w:t>8kg，若薯苗青绿较壮，可免施促苗肥。</w:t>
      </w:r>
    </w:p>
    <w:p w14:paraId="5B3605F2">
      <w:pPr>
        <w:widowControl/>
        <w:numPr>
          <w:ilvl w:val="1"/>
          <w:numId w:val="0"/>
        </w:numPr>
        <w:spacing w:before="156" w:beforeLines="50" w:after="156" w:afterLines="50"/>
        <w:jc w:val="left"/>
        <w:outlineLvl w:val="3"/>
        <w:rPr>
          <w:rFonts w:ascii="黑体" w:eastAsia="黑体"/>
          <w:kern w:val="0"/>
          <w:szCs w:val="21"/>
        </w:rPr>
      </w:pPr>
      <w:r>
        <w:rPr>
          <w:rFonts w:hint="eastAsia" w:ascii="黑体" w:eastAsia="黑体"/>
          <w:kern w:val="0"/>
          <w:szCs w:val="21"/>
        </w:rPr>
        <w:t>7.</w:t>
      </w:r>
      <w:r>
        <w:rPr>
          <w:rFonts w:ascii="黑体" w:eastAsia="黑体"/>
          <w:kern w:val="0"/>
          <w:szCs w:val="21"/>
        </w:rPr>
        <w:t xml:space="preserve">1.4  </w:t>
      </w:r>
      <w:r>
        <w:rPr>
          <w:rFonts w:hint="eastAsia" w:ascii="黑体" w:eastAsia="黑体"/>
          <w:kern w:val="0"/>
          <w:szCs w:val="21"/>
        </w:rPr>
        <w:t>促薯肥</w:t>
      </w:r>
    </w:p>
    <w:p w14:paraId="428EF7AB">
      <w:pPr>
        <w:widowControl/>
        <w:numPr>
          <w:ilvl w:val="1"/>
          <w:numId w:val="0"/>
        </w:numPr>
        <w:spacing w:before="156" w:beforeLines="50" w:after="156" w:afterLines="50"/>
        <w:ind w:firstLine="420" w:firstLineChars="200"/>
        <w:jc w:val="left"/>
        <w:outlineLvl w:val="2"/>
        <w:rPr>
          <w:rFonts w:ascii="黑体" w:eastAsia="黑体"/>
          <w:kern w:val="0"/>
          <w:szCs w:val="21"/>
        </w:rPr>
      </w:pPr>
      <w:bookmarkStart w:id="8" w:name="_Hlk39903915"/>
      <w:r>
        <w:rPr>
          <w:rFonts w:hint="eastAsia" w:ascii="宋体" w:hAnsi="宋体" w:cs="宋体"/>
          <w:kern w:val="0"/>
          <w:szCs w:val="21"/>
        </w:rPr>
        <w:t>结合开垄培土施促薯肥，每667</w:t>
      </w:r>
      <w:r>
        <w:rPr>
          <w:rFonts w:ascii="宋体" w:hAnsi="宋体" w:cs="宋体"/>
          <w:kern w:val="0"/>
          <w:szCs w:val="21"/>
        </w:rPr>
        <w:t xml:space="preserve"> </w:t>
      </w:r>
      <w:r>
        <w:rPr>
          <w:rFonts w:hint="eastAsia" w:ascii="宋体" w:hAnsi="宋体" w:cs="宋体"/>
          <w:kern w:val="0"/>
          <w:szCs w:val="21"/>
        </w:rPr>
        <w:t>m</w:t>
      </w:r>
      <w:r>
        <w:rPr>
          <w:rFonts w:hint="eastAsia" w:ascii="宋体" w:hAnsi="宋体" w:cs="宋体"/>
          <w:kern w:val="0"/>
          <w:szCs w:val="21"/>
          <w:vertAlign w:val="superscript"/>
        </w:rPr>
        <w:t>2</w:t>
      </w:r>
      <w:r>
        <w:rPr>
          <w:rFonts w:hint="eastAsia" w:ascii="宋体" w:hAnsi="宋体" w:cs="宋体"/>
          <w:kern w:val="0"/>
          <w:szCs w:val="21"/>
        </w:rPr>
        <w:t>施用硫酸钾20kg～30kg，氮肥10kg</w:t>
      </w:r>
      <w:r>
        <w:rPr>
          <w:rFonts w:hint="eastAsia"/>
        </w:rPr>
        <w:t>～</w:t>
      </w:r>
      <w:r>
        <w:rPr>
          <w:rFonts w:hint="eastAsia" w:ascii="宋体" w:hAnsi="宋体" w:cs="宋体"/>
          <w:kern w:val="0"/>
          <w:szCs w:val="21"/>
        </w:rPr>
        <w:t>15kg，或折合等量肥效的复合肥。</w:t>
      </w:r>
    </w:p>
    <w:bookmarkEnd w:id="8"/>
    <w:p w14:paraId="01C04466">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7</w:t>
      </w:r>
      <w:r>
        <w:rPr>
          <w:rFonts w:ascii="黑体" w:eastAsia="黑体"/>
          <w:kern w:val="0"/>
          <w:szCs w:val="21"/>
        </w:rPr>
        <w:t xml:space="preserve">.2  </w:t>
      </w:r>
      <w:r>
        <w:rPr>
          <w:rFonts w:hint="eastAsia" w:ascii="黑体" w:eastAsia="黑体"/>
          <w:kern w:val="0"/>
          <w:szCs w:val="21"/>
        </w:rPr>
        <w:t>水分管理</w:t>
      </w:r>
    </w:p>
    <w:p w14:paraId="480CB866">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适宜的土壤水分为田间持水量的60%</w:t>
      </w:r>
      <w:r>
        <w:rPr>
          <w:rFonts w:hint="eastAsia"/>
        </w:rPr>
        <w:t>～</w:t>
      </w:r>
      <w:r>
        <w:rPr>
          <w:rFonts w:hint="eastAsia" w:ascii="宋体" w:hAnsi="宋体" w:cs="宋体"/>
          <w:kern w:val="0"/>
          <w:szCs w:val="21"/>
        </w:rPr>
        <w:t>80%。薯苗栽插后，晴天应浇水护苗，连续进行2</w:t>
      </w:r>
      <w:r>
        <w:rPr>
          <w:rFonts w:hint="eastAsia"/>
        </w:rPr>
        <w:t>～</w:t>
      </w:r>
      <w:r>
        <w:rPr>
          <w:rFonts w:hint="eastAsia" w:ascii="宋体" w:hAnsi="宋体" w:cs="宋体"/>
          <w:kern w:val="0"/>
          <w:szCs w:val="21"/>
        </w:rPr>
        <w:t>3</w:t>
      </w:r>
      <w:r>
        <w:rPr>
          <w:rFonts w:ascii="宋体" w:hAnsi="宋体" w:cs="宋体"/>
          <w:kern w:val="0"/>
          <w:szCs w:val="21"/>
        </w:rPr>
        <w:t xml:space="preserve"> </w:t>
      </w:r>
      <w:r>
        <w:rPr>
          <w:rFonts w:hint="eastAsia" w:ascii="宋体" w:hAnsi="宋体" w:cs="宋体"/>
          <w:kern w:val="0"/>
          <w:szCs w:val="21"/>
        </w:rPr>
        <w:t>d，直至成活；结薯期，干旱时灌浅水；薯块盛长阶段，干旱及时灌跑马水，灌水深度为垄高的1/3；收获前20d应停止灌水；遇涝及时排清田间渍水。灌溉用水必须符合GB 5084-2021的规定。</w:t>
      </w:r>
    </w:p>
    <w:p w14:paraId="2B0AF581">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 xml:space="preserve">8 </w:t>
      </w:r>
      <w:r>
        <w:rPr>
          <w:rFonts w:ascii="黑体" w:eastAsia="黑体"/>
          <w:kern w:val="0"/>
          <w:szCs w:val="21"/>
        </w:rPr>
        <w:t xml:space="preserve"> </w:t>
      </w:r>
      <w:r>
        <w:rPr>
          <w:rFonts w:hint="eastAsia" w:ascii="黑体" w:eastAsia="黑体"/>
          <w:kern w:val="0"/>
          <w:szCs w:val="21"/>
        </w:rPr>
        <w:t>病虫草害防治</w:t>
      </w:r>
    </w:p>
    <w:p w14:paraId="5E79152D">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 xml:space="preserve">.1  </w:t>
      </w:r>
      <w:r>
        <w:rPr>
          <w:rFonts w:hint="eastAsia" w:ascii="黑体" w:eastAsia="黑体"/>
          <w:kern w:val="0"/>
          <w:szCs w:val="21"/>
        </w:rPr>
        <w:t>主要病虫草害</w:t>
      </w:r>
    </w:p>
    <w:p w14:paraId="6C28F406">
      <w:pPr>
        <w:widowControl/>
        <w:numPr>
          <w:ilvl w:val="1"/>
          <w:numId w:val="0"/>
        </w:numPr>
        <w:spacing w:before="156" w:beforeLines="50" w:after="156" w:afterLines="50"/>
        <w:ind w:firstLine="420" w:firstLineChars="200"/>
        <w:jc w:val="left"/>
        <w:outlineLvl w:val="2"/>
        <w:rPr>
          <w:rFonts w:hint="eastAsia" w:ascii="宋体" w:hAnsi="宋体" w:eastAsia="宋体"/>
        </w:rPr>
      </w:pPr>
      <w:bookmarkStart w:id="9" w:name="_Hlk174459733"/>
      <w:bookmarkStart w:id="10" w:name="_Hlk39906210"/>
      <w:r>
        <w:rPr>
          <w:rFonts w:hint="eastAsia" w:ascii="宋体" w:hAnsi="宋体" w:eastAsia="宋体"/>
        </w:rPr>
        <w:t>主要防治病毒病、薯瘟病、茎腐病、疮痂病等病害</w:t>
      </w:r>
      <w:r>
        <w:rPr>
          <w:rFonts w:hint="eastAsia" w:ascii="宋体" w:hAnsi="宋体"/>
          <w:lang w:eastAsia="zh-CN"/>
        </w:rPr>
        <w:t>；</w:t>
      </w:r>
      <w:r>
        <w:rPr>
          <w:rFonts w:hint="eastAsia" w:ascii="宋体" w:hAnsi="宋体" w:eastAsia="宋体"/>
        </w:rPr>
        <w:t>斜纹夜蛾、甘薯烦夜蛾和甘薯小象甲等虫害</w:t>
      </w:r>
      <w:r>
        <w:rPr>
          <w:rFonts w:hint="eastAsia" w:ascii="宋体" w:hAnsi="宋体"/>
          <w:lang w:eastAsia="zh-CN"/>
        </w:rPr>
        <w:t>；</w:t>
      </w:r>
      <w:r>
        <w:rPr>
          <w:rFonts w:hint="eastAsia" w:ascii="宋体" w:hAnsi="宋体" w:eastAsia="宋体"/>
        </w:rPr>
        <w:t>以及马唐、牛筋草、空心莲子草和球穗扁莎等杂草。</w:t>
      </w:r>
      <w:bookmarkEnd w:id="9"/>
    </w:p>
    <w:p w14:paraId="192077E9">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 xml:space="preserve">.2 </w:t>
      </w:r>
      <w:r>
        <w:rPr>
          <w:rFonts w:hint="eastAsia" w:ascii="黑体" w:eastAsia="黑体"/>
          <w:kern w:val="0"/>
          <w:szCs w:val="21"/>
        </w:rPr>
        <w:t xml:space="preserve"> 防治原则</w:t>
      </w:r>
    </w:p>
    <w:p w14:paraId="0DA4E257">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按照“预防为主，综合防治”的植保方针，坚持“农业防治，物理防治，生物防治为主，化学防治为辅”的治理原则。根据防治对象，合理选用高效、低毒、低残留农药，农药选用应符合GB 8321（</w:t>
      </w:r>
      <w:r>
        <w:rPr>
          <w:rFonts w:hint="eastAsia" w:ascii="宋体" w:hAnsi="宋体" w:cs="宋体"/>
          <w:kern w:val="0"/>
          <w:szCs w:val="21"/>
          <w:lang w:val="en-US" w:eastAsia="zh-CN"/>
        </w:rPr>
        <w:t>1-10</w:t>
      </w:r>
      <w:r>
        <w:rPr>
          <w:rFonts w:hint="eastAsia" w:ascii="宋体" w:hAnsi="宋体" w:cs="宋体"/>
          <w:kern w:val="0"/>
          <w:szCs w:val="21"/>
        </w:rPr>
        <w:t>）的规定。严格控制农药浓度及安全间隔期。</w:t>
      </w:r>
    </w:p>
    <w:bookmarkEnd w:id="10"/>
    <w:p w14:paraId="098BDC08">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.3</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主要病害防治</w:t>
      </w:r>
    </w:p>
    <w:p w14:paraId="5584C9C4">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杜绝栽插病毒苗，控制甘薯SPVD复合病毒和卷叶病毒危害；薯瘟病、茎腐病等无有效药剂防治的病害，要选择无病地块种植；疮痂病发病初喷施36％甲基硫菌灵悬浮剂500</w:t>
      </w:r>
      <w:r>
        <w:rPr>
          <w:rFonts w:hint="eastAsia"/>
        </w:rPr>
        <w:t>～</w:t>
      </w:r>
      <w:r>
        <w:rPr>
          <w:rFonts w:hint="eastAsia" w:ascii="宋体" w:hAnsi="宋体" w:cs="宋体"/>
          <w:kern w:val="0"/>
          <w:szCs w:val="21"/>
        </w:rPr>
        <w:t>600倍液，50％多菌灵可湿性粉剂600倍液，隔10d喷施1次，连续防治2</w:t>
      </w:r>
      <w:r>
        <w:rPr>
          <w:rFonts w:hint="eastAsia"/>
        </w:rPr>
        <w:t>～</w:t>
      </w:r>
      <w:r>
        <w:rPr>
          <w:rFonts w:hint="eastAsia" w:ascii="宋体" w:hAnsi="宋体" w:cs="宋体"/>
          <w:kern w:val="0"/>
          <w:szCs w:val="21"/>
        </w:rPr>
        <w:t>3次。</w:t>
      </w:r>
    </w:p>
    <w:p w14:paraId="623D3A25">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.4</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主要虫害防治</w:t>
      </w:r>
    </w:p>
    <w:p w14:paraId="61EC8464">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应严格检疫、防止扩散，并通过水旱轮作、培土、结合</w:t>
      </w:r>
      <w:r>
        <w:rPr>
          <w:rFonts w:hint="eastAsia" w:ascii="宋体" w:hAnsi="宋体"/>
          <w:szCs w:val="21"/>
        </w:rPr>
        <w:t>化学方法进行防治；整地起垄时，每</w:t>
      </w:r>
      <w:r>
        <w:rPr>
          <w:rFonts w:hint="eastAsia" w:ascii="宋体" w:hAnsi="宋体" w:cs="宋体"/>
          <w:kern w:val="0"/>
          <w:szCs w:val="21"/>
        </w:rPr>
        <w:t>667m</w:t>
      </w:r>
      <w:r>
        <w:rPr>
          <w:rFonts w:hint="eastAsia" w:ascii="宋体" w:hAnsi="宋体" w:cs="宋体"/>
          <w:kern w:val="0"/>
          <w:szCs w:val="21"/>
          <w:vertAlign w:val="superscript"/>
        </w:rPr>
        <w:t>2</w:t>
      </w:r>
      <w:r>
        <w:rPr>
          <w:rFonts w:hint="eastAsia" w:ascii="宋体" w:hAnsi="宋体" w:cs="宋体"/>
          <w:kern w:val="0"/>
          <w:szCs w:val="21"/>
        </w:rPr>
        <w:t>可施用3</w:t>
      </w:r>
      <w:r>
        <w:rPr>
          <w:rFonts w:ascii="宋体" w:hAnsi="宋体" w:cs="宋体"/>
          <w:kern w:val="0"/>
          <w:szCs w:val="21"/>
        </w:rPr>
        <w:t>0%</w:t>
      </w:r>
      <w:r>
        <w:rPr>
          <w:rFonts w:hint="eastAsia" w:ascii="宋体" w:hAnsi="宋体" w:cs="宋体"/>
          <w:kern w:val="0"/>
          <w:szCs w:val="21"/>
        </w:rPr>
        <w:t>辛硫磷颗粒4</w:t>
      </w:r>
      <w:r>
        <w:rPr>
          <w:rFonts w:ascii="宋体" w:hAnsi="宋体" w:cs="宋体"/>
          <w:kern w:val="0"/>
          <w:szCs w:val="21"/>
        </w:rPr>
        <w:t>kg</w:t>
      </w:r>
      <w:r>
        <w:rPr>
          <w:rFonts w:hint="eastAsia"/>
        </w:rPr>
        <w:t>～</w:t>
      </w:r>
      <w:r>
        <w:rPr>
          <w:rFonts w:ascii="宋体" w:hAnsi="宋体" w:cs="宋体"/>
          <w:kern w:val="0"/>
          <w:szCs w:val="21"/>
        </w:rPr>
        <w:t>8kg</w:t>
      </w:r>
      <w:r>
        <w:rPr>
          <w:rFonts w:hint="eastAsia" w:ascii="宋体" w:hAnsi="宋体" w:cs="宋体"/>
          <w:kern w:val="0"/>
          <w:szCs w:val="21"/>
        </w:rPr>
        <w:t>进行土壤处理；虫口密度高时，可施用5</w:t>
      </w:r>
      <w:r>
        <w:rPr>
          <w:rFonts w:ascii="宋体" w:hAnsi="宋体" w:cs="宋体"/>
          <w:kern w:val="0"/>
          <w:szCs w:val="21"/>
        </w:rPr>
        <w:t>0%</w:t>
      </w:r>
      <w:r>
        <w:rPr>
          <w:rFonts w:hint="eastAsia" w:ascii="宋体" w:hAnsi="宋体" w:cs="宋体"/>
          <w:kern w:val="0"/>
          <w:szCs w:val="21"/>
        </w:rPr>
        <w:t>辛硫磷乳液5</w:t>
      </w:r>
      <w:r>
        <w:rPr>
          <w:rFonts w:ascii="宋体" w:hAnsi="宋体" w:cs="宋体"/>
          <w:kern w:val="0"/>
          <w:szCs w:val="21"/>
        </w:rPr>
        <w:t>00</w:t>
      </w:r>
      <w:r>
        <w:rPr>
          <w:rFonts w:hint="eastAsia" w:ascii="宋体" w:hAnsi="宋体" w:cs="宋体"/>
          <w:kern w:val="0"/>
          <w:szCs w:val="21"/>
        </w:rPr>
        <w:t>倍液浇灌蔓头1</w:t>
      </w:r>
      <w:r>
        <w:rPr>
          <w:rFonts w:hint="eastAsia"/>
        </w:rPr>
        <w:t>～</w:t>
      </w:r>
      <w:r>
        <w:rPr>
          <w:rFonts w:ascii="宋体" w:hAnsi="宋体" w:cs="宋体"/>
          <w:kern w:val="0"/>
          <w:szCs w:val="21"/>
        </w:rPr>
        <w:t>2</w:t>
      </w:r>
      <w:r>
        <w:rPr>
          <w:rFonts w:hint="eastAsia" w:ascii="宋体" w:hAnsi="宋体" w:cs="宋体"/>
          <w:kern w:val="0"/>
          <w:szCs w:val="21"/>
        </w:rPr>
        <w:t>次，甘薯整个生育期最多使用3次，且安全间隔期要在2</w:t>
      </w:r>
      <w:r>
        <w:rPr>
          <w:rFonts w:ascii="宋体" w:hAnsi="宋体" w:cs="宋体"/>
          <w:kern w:val="0"/>
          <w:szCs w:val="21"/>
        </w:rPr>
        <w:t>5</w:t>
      </w:r>
      <w:r>
        <w:rPr>
          <w:rFonts w:hint="eastAsia" w:ascii="宋体" w:hAnsi="宋体" w:cs="宋体"/>
          <w:kern w:val="0"/>
          <w:szCs w:val="21"/>
        </w:rPr>
        <w:t xml:space="preserve"> d以上。斜纹夜蛾、麦蛾</w:t>
      </w:r>
      <w:r>
        <w:rPr>
          <w:rFonts w:hint="eastAsia" w:ascii="宋体" w:hAnsi="宋体" w:cs="宋体"/>
          <w:kern w:val="0"/>
          <w:szCs w:val="21"/>
          <w:lang w:val="en-US" w:eastAsia="zh-CN"/>
        </w:rPr>
        <w:t>等蛾类</w:t>
      </w:r>
      <w:r>
        <w:rPr>
          <w:rFonts w:hint="eastAsia" w:ascii="宋体" w:hAnsi="宋体" w:cs="宋体"/>
          <w:kern w:val="0"/>
          <w:szCs w:val="21"/>
        </w:rPr>
        <w:t>1龄</w:t>
      </w:r>
      <w:r>
        <w:rPr>
          <w:rFonts w:ascii="宋体" w:hAnsi="宋体" w:cs="宋体"/>
          <w:kern w:val="0"/>
          <w:szCs w:val="21"/>
        </w:rPr>
        <w:t>2</w:t>
      </w:r>
      <w:r>
        <w:rPr>
          <w:rFonts w:hint="eastAsia" w:ascii="宋体" w:hAnsi="宋体" w:cs="宋体"/>
          <w:kern w:val="0"/>
          <w:szCs w:val="21"/>
        </w:rPr>
        <w:t>龄幼虫期，</w:t>
      </w:r>
      <w:r>
        <w:rPr>
          <w:rFonts w:hint="eastAsia" w:ascii="宋体" w:hAnsi="宋体" w:eastAsia="宋体"/>
        </w:rPr>
        <w:t>喷施苏云金杆菌可湿性粉剂500倍液或1.8%阿维菌素乳油1000倍液进行防治</w:t>
      </w:r>
      <w:r>
        <w:rPr>
          <w:rFonts w:hint="eastAsia" w:ascii="宋体" w:hAnsi="宋体"/>
          <w:lang w:eastAsia="zh-CN"/>
        </w:rPr>
        <w:t>；</w:t>
      </w:r>
      <w:r>
        <w:rPr>
          <w:rFonts w:hint="eastAsia" w:ascii="宋体" w:hAnsi="宋体" w:cs="宋体"/>
          <w:kern w:val="0"/>
          <w:szCs w:val="21"/>
        </w:rPr>
        <w:t>同时，辅以绿色防控措施</w:t>
      </w:r>
      <w:r>
        <w:rPr>
          <w:rFonts w:hint="eastAsia" w:ascii="宋体" w:hAnsi="宋体" w:cs="宋体"/>
          <w:kern w:val="0"/>
          <w:szCs w:val="21"/>
          <w:lang w:val="en-US" w:eastAsia="zh-CN"/>
        </w:rPr>
        <w:t>使</w:t>
      </w:r>
      <w:r>
        <w:rPr>
          <w:rFonts w:hint="eastAsia" w:ascii="宋体" w:hAnsi="宋体" w:cs="宋体"/>
          <w:kern w:val="0"/>
          <w:szCs w:val="21"/>
        </w:rPr>
        <w:t>用性诱剂诱杀甘薯小象甲成虫</w:t>
      </w:r>
      <w:r>
        <w:rPr>
          <w:rFonts w:hint="eastAsia" w:ascii="宋体" w:hAnsi="宋体" w:cs="宋体"/>
          <w:kern w:val="0"/>
          <w:szCs w:val="21"/>
          <w:lang w:eastAsia="zh-CN"/>
        </w:rPr>
        <w:t>；</w:t>
      </w:r>
      <w:r>
        <w:rPr>
          <w:rFonts w:hint="eastAsia" w:ascii="宋体" w:hAnsi="宋体" w:cs="宋体"/>
          <w:kern w:val="0"/>
          <w:szCs w:val="21"/>
          <w:lang w:val="en-US" w:eastAsia="zh-CN"/>
        </w:rPr>
        <w:t>使用</w:t>
      </w:r>
      <w:r>
        <w:rPr>
          <w:rFonts w:hint="eastAsia" w:ascii="宋体" w:hAnsi="宋体" w:cs="宋体"/>
          <w:kern w:val="0"/>
          <w:szCs w:val="21"/>
        </w:rPr>
        <w:t>糖醋液、杀虫灯进行诱杀斜纹夜蛾、卷叶蛾</w:t>
      </w:r>
      <w:r>
        <w:rPr>
          <w:rFonts w:hint="eastAsia" w:ascii="宋体" w:hAnsi="宋体" w:cs="宋体"/>
          <w:kern w:val="0"/>
          <w:szCs w:val="21"/>
          <w:lang w:eastAsia="zh-CN"/>
        </w:rPr>
        <w:t>、</w:t>
      </w:r>
      <w:r>
        <w:rPr>
          <w:rFonts w:hint="eastAsia" w:ascii="宋体" w:hAnsi="宋体" w:cs="宋体"/>
          <w:kern w:val="0"/>
          <w:szCs w:val="21"/>
          <w:lang w:val="en-US" w:eastAsia="zh-CN"/>
        </w:rPr>
        <w:t>麦蛾</w:t>
      </w:r>
      <w:r>
        <w:rPr>
          <w:rFonts w:hint="eastAsia" w:ascii="宋体" w:hAnsi="宋体" w:cs="宋体"/>
          <w:kern w:val="0"/>
          <w:szCs w:val="21"/>
        </w:rPr>
        <w:t>等</w:t>
      </w:r>
      <w:r>
        <w:rPr>
          <w:rFonts w:hint="eastAsia" w:ascii="宋体" w:hAnsi="宋体" w:cs="宋体"/>
          <w:kern w:val="0"/>
          <w:szCs w:val="21"/>
          <w:lang w:val="en-US" w:eastAsia="zh-CN"/>
        </w:rPr>
        <w:t>蛾类</w:t>
      </w:r>
      <w:r>
        <w:rPr>
          <w:rFonts w:hint="eastAsia" w:ascii="宋体" w:hAnsi="宋体" w:cs="宋体"/>
          <w:kern w:val="0"/>
          <w:szCs w:val="21"/>
        </w:rPr>
        <w:t>害虫</w:t>
      </w:r>
      <w:r>
        <w:rPr>
          <w:rFonts w:hint="eastAsia" w:ascii="宋体" w:hAnsi="宋体" w:cs="宋体"/>
          <w:kern w:val="0"/>
          <w:szCs w:val="21"/>
          <w:lang w:eastAsia="zh-CN"/>
        </w:rPr>
        <w:t>；</w:t>
      </w:r>
      <w:r>
        <w:rPr>
          <w:rFonts w:hint="eastAsia" w:ascii="宋体" w:hAnsi="宋体" w:cs="宋体"/>
          <w:kern w:val="0"/>
          <w:szCs w:val="21"/>
        </w:rPr>
        <w:t>使用黄蓝板诱杀蚜虫、白粉虱和蓟马。</w:t>
      </w:r>
    </w:p>
    <w:p w14:paraId="499FE032">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8</w:t>
      </w:r>
      <w:r>
        <w:rPr>
          <w:rFonts w:ascii="黑体" w:eastAsia="黑体"/>
          <w:kern w:val="0"/>
          <w:szCs w:val="21"/>
        </w:rPr>
        <w:t>.5</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主要草害防治</w:t>
      </w:r>
    </w:p>
    <w:p w14:paraId="5DD12416">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bookmarkStart w:id="11" w:name="_Hlk174455641"/>
      <w:r>
        <w:rPr>
          <w:rFonts w:hint="eastAsia" w:ascii="宋体" w:hAnsi="宋体" w:eastAsia="宋体"/>
        </w:rPr>
        <w:t>禾本科杂草可通过甘薯栽插前，喷施50%乙草胺乳油2000倍液或24%乙氧氟草醚乳油1000倍液进行防治；空心莲子草等双子叶杂草可在薯苗栽插成活后，</w:t>
      </w:r>
      <w:r>
        <w:rPr>
          <w:rFonts w:hint="eastAsia" w:ascii="宋体" w:hAnsi="宋体"/>
          <w:lang w:val="en-US" w:eastAsia="zh-CN"/>
        </w:rPr>
        <w:t>可</w:t>
      </w:r>
      <w:r>
        <w:rPr>
          <w:rFonts w:hint="eastAsia" w:ascii="宋体" w:hAnsi="宋体" w:eastAsia="宋体"/>
        </w:rPr>
        <w:t>用33%二甲戊灵乳油</w:t>
      </w:r>
      <w:r>
        <w:rPr>
          <w:rFonts w:hint="eastAsia" w:ascii="宋体" w:hAnsi="宋体"/>
          <w:lang w:val="en-US" w:eastAsia="zh-CN"/>
        </w:rPr>
        <w:t>100</w:t>
      </w:r>
      <w:r>
        <w:rPr>
          <w:rFonts w:hint="eastAsia" w:ascii="宋体" w:hAnsi="宋体" w:eastAsia="宋体"/>
        </w:rPr>
        <w:t>0</w:t>
      </w:r>
      <w:r>
        <w:rPr>
          <w:rFonts w:hint="eastAsia" w:ascii="宋体" w:hAnsi="宋体"/>
          <w:lang w:val="en-US" w:eastAsia="zh-CN"/>
        </w:rPr>
        <w:t>倍液</w:t>
      </w:r>
      <w:r>
        <w:rPr>
          <w:rFonts w:hint="eastAsia" w:ascii="宋体" w:hAnsi="宋体" w:eastAsia="宋体"/>
        </w:rPr>
        <w:t>加70%苯嘧磺草胺</w:t>
      </w:r>
      <w:r>
        <w:rPr>
          <w:rFonts w:hint="eastAsia" w:ascii="宋体" w:hAnsi="宋体"/>
          <w:lang w:val="en-US" w:eastAsia="zh-CN"/>
        </w:rPr>
        <w:t>粉</w:t>
      </w:r>
      <w:r>
        <w:rPr>
          <w:rFonts w:hint="eastAsia" w:ascii="宋体" w:hAnsi="宋体" w:eastAsia="宋体"/>
        </w:rPr>
        <w:t>剂</w:t>
      </w:r>
      <w:r>
        <w:rPr>
          <w:rFonts w:hint="eastAsia" w:ascii="宋体" w:hAnsi="宋体"/>
          <w:lang w:val="en-US" w:eastAsia="zh-CN"/>
        </w:rPr>
        <w:t>15000倍液</w:t>
      </w:r>
      <w:r>
        <w:rPr>
          <w:rFonts w:hint="eastAsia" w:ascii="宋体" w:hAnsi="宋体" w:eastAsia="宋体"/>
        </w:rPr>
        <w:t>喷雾进行防治。单子叶杂草可在薯苗栽插成活后，用5%精喹禾灵</w:t>
      </w:r>
      <w:r>
        <w:rPr>
          <w:rFonts w:hint="eastAsia" w:ascii="宋体" w:hAnsi="宋体"/>
          <w:lang w:val="en-US" w:eastAsia="zh-CN"/>
        </w:rPr>
        <w:t>800倍液</w:t>
      </w:r>
      <w:r>
        <w:rPr>
          <w:rFonts w:hint="eastAsia" w:ascii="宋体" w:hAnsi="宋体" w:eastAsia="宋体"/>
        </w:rPr>
        <w:t>喷雾进行防治。</w:t>
      </w:r>
      <w:bookmarkEnd w:id="11"/>
    </w:p>
    <w:p w14:paraId="6E7EA37D">
      <w:pPr>
        <w:widowControl/>
        <w:numPr>
          <w:ilvl w:val="1"/>
          <w:numId w:val="0"/>
        </w:numPr>
        <w:spacing w:before="312" w:beforeLines="100" w:after="312" w:afterLines="100"/>
        <w:jc w:val="left"/>
        <w:outlineLvl w:val="1"/>
        <w:rPr>
          <w:rFonts w:ascii="黑体" w:eastAsia="黑体"/>
          <w:kern w:val="0"/>
          <w:szCs w:val="21"/>
        </w:rPr>
      </w:pPr>
      <w:r>
        <w:rPr>
          <w:rFonts w:hint="eastAsia" w:ascii="黑体" w:eastAsia="黑体"/>
          <w:kern w:val="0"/>
          <w:szCs w:val="21"/>
        </w:rPr>
        <w:t>9</w:t>
      </w:r>
      <w:r>
        <w:rPr>
          <w:rFonts w:ascii="黑体" w:eastAsia="黑体"/>
          <w:kern w:val="0"/>
          <w:szCs w:val="21"/>
        </w:rPr>
        <w:t xml:space="preserve">  </w:t>
      </w:r>
      <w:r>
        <w:rPr>
          <w:rFonts w:hint="eastAsia" w:ascii="黑体" w:eastAsia="黑体"/>
          <w:kern w:val="0"/>
          <w:szCs w:val="21"/>
        </w:rPr>
        <w:t>收获</w:t>
      </w:r>
    </w:p>
    <w:p w14:paraId="0B52E20F">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 xml:space="preserve">.1  </w:t>
      </w:r>
      <w:r>
        <w:rPr>
          <w:rFonts w:hint="eastAsia" w:ascii="黑体" w:eastAsia="黑体"/>
          <w:kern w:val="0"/>
          <w:szCs w:val="21"/>
        </w:rPr>
        <w:t>收获时间</w:t>
      </w:r>
    </w:p>
    <w:p w14:paraId="05B6FF71">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夏秋薯适宜收获时间为栽插后120d左右，春植、冬植的收获时间延迟1</w:t>
      </w:r>
      <w:r>
        <w:rPr>
          <w:rFonts w:hint="eastAsia"/>
        </w:rPr>
        <w:t>～</w:t>
      </w:r>
      <w:r>
        <w:rPr>
          <w:rFonts w:hint="eastAsia" w:ascii="宋体" w:hAnsi="宋体" w:cs="宋体"/>
          <w:kern w:val="0"/>
          <w:szCs w:val="21"/>
        </w:rPr>
        <w:t>2个月。可根据市场需求，薯块长到适宜大小时分批收获上市，或收获贮藏；应选晴朗天气收获，忌雨天低温收获。</w:t>
      </w:r>
    </w:p>
    <w:p w14:paraId="5872490C">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 xml:space="preserve">.2 </w:t>
      </w:r>
      <w:r>
        <w:rPr>
          <w:rFonts w:hint="eastAsia" w:ascii="黑体" w:eastAsia="黑体"/>
          <w:kern w:val="0"/>
          <w:szCs w:val="21"/>
        </w:rPr>
        <w:t xml:space="preserve"> 收获方法</w:t>
      </w:r>
    </w:p>
    <w:p w14:paraId="336937A3">
      <w:pPr>
        <w:widowControl/>
        <w:numPr>
          <w:ilvl w:val="2"/>
          <w:numId w:val="0"/>
        </w:numPr>
        <w:ind w:firstLine="420" w:firstLineChars="200"/>
        <w:jc w:val="left"/>
        <w:outlineLvl w:val="3"/>
        <w:rPr>
          <w:rFonts w:hint="eastAsia" w:ascii="宋体" w:hAnsi="宋体" w:cs="宋体"/>
          <w:kern w:val="0"/>
          <w:szCs w:val="21"/>
        </w:rPr>
      </w:pPr>
      <w:r>
        <w:rPr>
          <w:rFonts w:hint="eastAsia" w:ascii="宋体" w:hAnsi="宋体" w:cs="宋体"/>
          <w:kern w:val="0"/>
          <w:szCs w:val="21"/>
        </w:rPr>
        <w:t>可采用甘薯专用机械收获犁收获，人工捡拾。人工收获时，注意从垄面一侧挖起，防止刨伤。选择塑料周转箱或纸皮箱装运，防止破损。收获时，要做到轻挖、轻拿、轻运和轻放，减少薯块损伤，以延长薯块的存放时间，同时要剔除破损及有病虫危害过的薯块。</w:t>
      </w:r>
    </w:p>
    <w:p w14:paraId="66883FBB">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.3</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分级包装</w:t>
      </w:r>
    </w:p>
    <w:p w14:paraId="1401C8C5">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应按照</w:t>
      </w:r>
      <w:r>
        <w:rPr>
          <w:rFonts w:ascii="宋体" w:hAnsi="宋体" w:cs="宋体"/>
          <w:kern w:val="0"/>
          <w:szCs w:val="21"/>
        </w:rPr>
        <w:t>NY/T 2642-2014</w:t>
      </w:r>
      <w:r>
        <w:rPr>
          <w:rFonts w:hint="eastAsia" w:ascii="宋体" w:hAnsi="宋体" w:cs="宋体"/>
          <w:kern w:val="0"/>
          <w:szCs w:val="21"/>
        </w:rPr>
        <w:t>标准规定的要求进行等级及大小的分类，宜用纸箱、塑料网袋或编织袋进行包装。</w:t>
      </w:r>
    </w:p>
    <w:p w14:paraId="237FED42">
      <w:pPr>
        <w:widowControl/>
        <w:numPr>
          <w:ilvl w:val="1"/>
          <w:numId w:val="0"/>
        </w:numPr>
        <w:spacing w:before="156" w:beforeLines="50" w:after="156" w:afterLines="50"/>
        <w:jc w:val="left"/>
        <w:outlineLvl w:val="2"/>
        <w:rPr>
          <w:rFonts w:ascii="黑体" w:eastAsia="黑体"/>
          <w:kern w:val="0"/>
          <w:szCs w:val="21"/>
        </w:rPr>
      </w:pPr>
      <w:r>
        <w:rPr>
          <w:rFonts w:hint="eastAsia" w:ascii="黑体" w:eastAsia="黑体"/>
          <w:kern w:val="0"/>
          <w:szCs w:val="21"/>
        </w:rPr>
        <w:t>9</w:t>
      </w:r>
      <w:r>
        <w:rPr>
          <w:rFonts w:ascii="黑体" w:eastAsia="黑体"/>
          <w:kern w:val="0"/>
          <w:szCs w:val="21"/>
        </w:rPr>
        <w:t>.4</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运输</w:t>
      </w:r>
    </w:p>
    <w:p w14:paraId="7DBDBF96">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bookmarkStart w:id="12" w:name="_Hlk39911463"/>
      <w:r>
        <w:rPr>
          <w:rFonts w:hint="eastAsia" w:ascii="宋体" w:hAnsi="宋体" w:cs="宋体"/>
          <w:kern w:val="0"/>
          <w:szCs w:val="21"/>
        </w:rPr>
        <w:t>要求运输工具清洁、干燥、松软。运输过程中防碰撞，防挤压，防雨淋，防冻</w:t>
      </w:r>
      <w:bookmarkEnd w:id="12"/>
      <w:r>
        <w:rPr>
          <w:rFonts w:hint="eastAsia" w:ascii="宋体" w:hAnsi="宋体" w:cs="宋体"/>
          <w:kern w:val="0"/>
          <w:szCs w:val="21"/>
        </w:rPr>
        <w:t>。</w:t>
      </w:r>
    </w:p>
    <w:p w14:paraId="736BC9B0">
      <w:pPr>
        <w:widowControl/>
        <w:numPr>
          <w:ilvl w:val="1"/>
          <w:numId w:val="0"/>
        </w:numPr>
        <w:spacing w:before="312" w:beforeLines="100" w:after="312" w:afterLines="100"/>
        <w:jc w:val="left"/>
        <w:outlineLvl w:val="1"/>
        <w:rPr>
          <w:rFonts w:ascii="黑体" w:eastAsia="黑体"/>
          <w:kern w:val="0"/>
          <w:szCs w:val="21"/>
        </w:rPr>
      </w:pPr>
      <w:bookmarkStart w:id="13" w:name="_Hlk39910837"/>
      <w:r>
        <w:rPr>
          <w:rFonts w:hint="eastAsia" w:ascii="黑体" w:eastAsia="黑体"/>
          <w:kern w:val="0"/>
          <w:szCs w:val="21"/>
        </w:rPr>
        <w:t>10</w:t>
      </w:r>
      <w:r>
        <w:rPr>
          <w:rFonts w:ascii="黑体" w:eastAsia="黑体"/>
          <w:kern w:val="0"/>
          <w:szCs w:val="21"/>
        </w:rPr>
        <w:t xml:space="preserve">  </w:t>
      </w:r>
      <w:r>
        <w:rPr>
          <w:rFonts w:hint="eastAsia" w:ascii="黑体" w:eastAsia="黑体"/>
          <w:kern w:val="0"/>
          <w:szCs w:val="21"/>
        </w:rPr>
        <w:t>贮藏</w:t>
      </w:r>
    </w:p>
    <w:p w14:paraId="092549DF">
      <w:pPr>
        <w:widowControl/>
        <w:numPr>
          <w:ilvl w:val="1"/>
          <w:numId w:val="0"/>
        </w:numPr>
        <w:spacing w:before="312" w:beforeLines="100" w:after="312" w:afterLines="100"/>
        <w:ind w:firstLine="420" w:firstLineChars="200"/>
        <w:jc w:val="left"/>
        <w:outlineLvl w:val="1"/>
        <w:rPr>
          <w:rFonts w:hint="eastAsia" w:ascii="宋体" w:hAnsi="宋体" w:cs="宋体"/>
          <w:kern w:val="0"/>
          <w:szCs w:val="21"/>
        </w:rPr>
      </w:pPr>
      <w:r>
        <w:rPr>
          <w:rFonts w:hint="eastAsia" w:ascii="宋体" w:hAnsi="宋体" w:cs="宋体"/>
          <w:kern w:val="0"/>
          <w:szCs w:val="21"/>
        </w:rPr>
        <w:t>贮藏时需先按照不同用途及要求进行人工或机械分捡，经预处理后或直接入库，调节适宜贮藏条件贮藏备用。预处理及贮藏均按照</w:t>
      </w:r>
      <w:r>
        <w:rPr>
          <w:rFonts w:ascii="宋体" w:hAnsi="宋体" w:cs="宋体"/>
          <w:kern w:val="0"/>
          <w:szCs w:val="21"/>
        </w:rPr>
        <w:t>NY/T 2789-2015</w:t>
      </w:r>
      <w:r>
        <w:rPr>
          <w:rFonts w:hint="eastAsia" w:ascii="宋体" w:hAnsi="宋体" w:cs="宋体"/>
          <w:kern w:val="0"/>
          <w:szCs w:val="21"/>
        </w:rPr>
        <w:t>的标准进行。</w:t>
      </w:r>
    </w:p>
    <w:p w14:paraId="768F96E6">
      <w:pPr>
        <w:widowControl/>
        <w:numPr>
          <w:ilvl w:val="1"/>
          <w:numId w:val="0"/>
        </w:numPr>
        <w:spacing w:before="156" w:beforeLines="50" w:after="156" w:afterLines="50"/>
        <w:jc w:val="left"/>
        <w:outlineLvl w:val="2"/>
        <w:rPr>
          <w:rFonts w:ascii="黑体" w:eastAsia="黑体"/>
          <w:kern w:val="0"/>
          <w:szCs w:val="21"/>
        </w:rPr>
      </w:pPr>
      <w:r>
        <w:rPr>
          <w:rFonts w:ascii="黑体" w:eastAsia="黑体"/>
          <w:kern w:val="0"/>
          <w:szCs w:val="21"/>
        </w:rPr>
        <w:t>1</w:t>
      </w:r>
      <w:r>
        <w:rPr>
          <w:rFonts w:hint="eastAsia" w:ascii="黑体" w:eastAsia="黑体"/>
          <w:kern w:val="0"/>
          <w:szCs w:val="21"/>
        </w:rPr>
        <w:t>0</w:t>
      </w:r>
      <w:r>
        <w:rPr>
          <w:rFonts w:ascii="黑体" w:eastAsia="黑体"/>
          <w:kern w:val="0"/>
          <w:szCs w:val="21"/>
        </w:rPr>
        <w:t>.1</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贮藏预处理</w:t>
      </w:r>
    </w:p>
    <w:p w14:paraId="7D9CD9CE">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甘薯分级并通过不同用途分捡后，进入高温库进行伤口愈合，防止贮藏过程腐烂，同时兼具糖化作用，可以提高甘薯品质。预处理条件为库温3</w:t>
      </w:r>
      <w:r>
        <w:rPr>
          <w:rFonts w:hint="eastAsia" w:ascii="宋体" w:hAnsi="宋体" w:cs="宋体"/>
          <w:kern w:val="0"/>
          <w:szCs w:val="21"/>
          <w:lang w:val="en-US" w:eastAsia="zh-CN"/>
        </w:rPr>
        <w:t>5</w:t>
      </w:r>
      <w:r>
        <w:rPr>
          <w:rFonts w:hint="eastAsia" w:ascii="宋体" w:hAnsi="宋体" w:cs="宋体"/>
          <w:kern w:val="0"/>
          <w:szCs w:val="21"/>
        </w:rPr>
        <w:t xml:space="preserve"> </w:t>
      </w:r>
      <w:r>
        <w:rPr>
          <w:rFonts w:ascii="宋体" w:hAnsi="宋体"/>
          <w:kern w:val="0"/>
          <w:szCs w:val="21"/>
        </w:rPr>
        <w:t>℃</w:t>
      </w:r>
      <w:r>
        <w:rPr>
          <w:rFonts w:hint="eastAsia"/>
        </w:rPr>
        <w:t>～</w:t>
      </w:r>
      <w:r>
        <w:rPr>
          <w:rFonts w:hint="eastAsia" w:ascii="宋体" w:hAnsi="宋体" w:cs="宋体"/>
          <w:kern w:val="0"/>
          <w:szCs w:val="21"/>
        </w:rPr>
        <w:t>40</w:t>
      </w:r>
      <w:r>
        <w:rPr>
          <w:rFonts w:ascii="宋体" w:hAnsi="宋体"/>
          <w:kern w:val="0"/>
          <w:szCs w:val="21"/>
        </w:rPr>
        <w:t>℃</w:t>
      </w:r>
      <w:r>
        <w:rPr>
          <w:rFonts w:hint="eastAsia" w:ascii="宋体" w:hAnsi="宋体" w:cs="宋体"/>
          <w:kern w:val="0"/>
          <w:szCs w:val="21"/>
        </w:rPr>
        <w:t>，相对湿度为85</w:t>
      </w:r>
      <w:r>
        <w:rPr>
          <w:rFonts w:ascii="宋体" w:hAnsi="宋体" w:cs="宋体"/>
          <w:kern w:val="0"/>
          <w:szCs w:val="21"/>
        </w:rPr>
        <w:t>%</w:t>
      </w:r>
      <w:r>
        <w:rPr>
          <w:rFonts w:hint="eastAsia"/>
        </w:rPr>
        <w:t>～</w:t>
      </w:r>
      <w:r>
        <w:rPr>
          <w:rFonts w:ascii="宋体" w:hAnsi="宋体" w:cs="宋体"/>
          <w:kern w:val="0"/>
          <w:szCs w:val="21"/>
        </w:rPr>
        <w:t>9</w:t>
      </w:r>
      <w:r>
        <w:rPr>
          <w:rFonts w:hint="eastAsia" w:ascii="宋体" w:hAnsi="宋体" w:cs="宋体"/>
          <w:kern w:val="0"/>
          <w:szCs w:val="21"/>
        </w:rPr>
        <w:t>0</w:t>
      </w:r>
      <w:r>
        <w:rPr>
          <w:rFonts w:ascii="宋体" w:hAnsi="宋体" w:cs="宋体"/>
          <w:kern w:val="0"/>
          <w:szCs w:val="21"/>
        </w:rPr>
        <w:t>%</w:t>
      </w:r>
      <w:r>
        <w:rPr>
          <w:rFonts w:hint="eastAsia" w:ascii="宋体" w:hAnsi="宋体" w:cs="宋体"/>
          <w:kern w:val="0"/>
          <w:szCs w:val="21"/>
        </w:rPr>
        <w:t>，处理时间4d</w:t>
      </w:r>
      <w:r>
        <w:rPr>
          <w:rFonts w:hint="eastAsia"/>
        </w:rPr>
        <w:t>～</w:t>
      </w:r>
      <w:r>
        <w:rPr>
          <w:rFonts w:ascii="宋体" w:hAnsi="宋体" w:cs="宋体"/>
          <w:kern w:val="0"/>
          <w:szCs w:val="21"/>
        </w:rPr>
        <w:t>6</w:t>
      </w:r>
      <w:r>
        <w:rPr>
          <w:rFonts w:hint="eastAsia" w:ascii="宋体" w:hAnsi="宋体" w:cs="宋体"/>
          <w:kern w:val="0"/>
          <w:szCs w:val="21"/>
        </w:rPr>
        <w:t>d。</w:t>
      </w:r>
    </w:p>
    <w:p w14:paraId="055CB58A">
      <w:pPr>
        <w:widowControl/>
        <w:numPr>
          <w:ilvl w:val="1"/>
          <w:numId w:val="0"/>
        </w:numPr>
        <w:spacing w:before="156" w:beforeLines="50" w:after="156" w:afterLines="50"/>
        <w:jc w:val="left"/>
        <w:outlineLvl w:val="2"/>
        <w:rPr>
          <w:rFonts w:ascii="黑体" w:eastAsia="黑体"/>
          <w:kern w:val="0"/>
          <w:szCs w:val="21"/>
        </w:rPr>
      </w:pPr>
      <w:r>
        <w:rPr>
          <w:rFonts w:ascii="黑体" w:eastAsia="黑体"/>
          <w:kern w:val="0"/>
          <w:szCs w:val="21"/>
        </w:rPr>
        <w:t>1</w:t>
      </w:r>
      <w:r>
        <w:rPr>
          <w:rFonts w:hint="eastAsia" w:ascii="黑体" w:eastAsia="黑体"/>
          <w:kern w:val="0"/>
          <w:szCs w:val="21"/>
        </w:rPr>
        <w:t>0</w:t>
      </w:r>
      <w:r>
        <w:rPr>
          <w:rFonts w:ascii="黑体" w:eastAsia="黑体"/>
          <w:kern w:val="0"/>
          <w:szCs w:val="21"/>
        </w:rPr>
        <w:t>.2</w:t>
      </w:r>
      <w:r>
        <w:rPr>
          <w:rFonts w:hint="eastAsia" w:ascii="黑体" w:eastAsia="黑体"/>
          <w:kern w:val="0"/>
          <w:szCs w:val="21"/>
        </w:rPr>
        <w:t xml:space="preserve"> </w:t>
      </w:r>
      <w:r>
        <w:rPr>
          <w:rFonts w:ascii="黑体" w:eastAsia="黑体"/>
          <w:kern w:val="0"/>
          <w:szCs w:val="21"/>
        </w:rPr>
        <w:t xml:space="preserve"> </w:t>
      </w:r>
      <w:r>
        <w:rPr>
          <w:rFonts w:hint="eastAsia" w:ascii="黑体" w:eastAsia="黑体"/>
          <w:kern w:val="0"/>
          <w:szCs w:val="21"/>
        </w:rPr>
        <w:t>贮藏条件</w:t>
      </w:r>
    </w:p>
    <w:p w14:paraId="50AD32CB">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甘薯收获后短时存放的，可不经预处理，但必须在阴凉、通风、清洁、卫生的条件下保存。长期贮藏时，贮藏的最适温度为1</w:t>
      </w:r>
      <w:r>
        <w:rPr>
          <w:rFonts w:ascii="宋体" w:hAnsi="宋体" w:cs="宋体"/>
          <w:kern w:val="0"/>
          <w:szCs w:val="21"/>
        </w:rPr>
        <w:t>3</w:t>
      </w:r>
      <w:r>
        <w:rPr>
          <w:rFonts w:hint="eastAsia" w:ascii="宋体" w:hAnsi="宋体" w:cs="宋体"/>
          <w:kern w:val="0"/>
          <w:szCs w:val="21"/>
        </w:rPr>
        <w:t>℃</w:t>
      </w:r>
      <w:r>
        <w:rPr>
          <w:rFonts w:hint="eastAsia"/>
        </w:rPr>
        <w:t>～</w:t>
      </w:r>
      <w:r>
        <w:rPr>
          <w:rFonts w:hint="eastAsia" w:ascii="宋体" w:hAnsi="宋体" w:cs="宋体"/>
          <w:kern w:val="0"/>
          <w:szCs w:val="21"/>
        </w:rPr>
        <w:t>15℃，相对湿度为85%</w:t>
      </w:r>
      <w:r>
        <w:rPr>
          <w:rFonts w:hint="eastAsia"/>
        </w:rPr>
        <w:t>～</w:t>
      </w:r>
      <w:r>
        <w:rPr>
          <w:rFonts w:hint="eastAsia" w:ascii="宋体" w:hAnsi="宋体" w:cs="宋体"/>
          <w:kern w:val="0"/>
          <w:szCs w:val="21"/>
        </w:rPr>
        <w:t>90%，</w:t>
      </w:r>
      <w:r>
        <w:rPr>
          <w:rFonts w:hint="eastAsia" w:ascii="宋体" w:hAnsi="宋体" w:cs="宋体"/>
          <w:kern w:val="0"/>
          <w:szCs w:val="21"/>
          <w:lang w:val="en-US" w:eastAsia="zh-CN"/>
        </w:rPr>
        <w:t>储存库</w:t>
      </w:r>
      <w:r>
        <w:rPr>
          <w:rFonts w:hint="eastAsia" w:ascii="宋体" w:hAnsi="宋体" w:cs="宋体"/>
          <w:kern w:val="0"/>
          <w:szCs w:val="21"/>
        </w:rPr>
        <w:t>中二氧化碳含量超过3％时应及时通风换气。</w:t>
      </w:r>
    </w:p>
    <w:bookmarkEnd w:id="13"/>
    <w:p w14:paraId="1F827069">
      <w:pPr>
        <w:widowControl/>
        <w:numPr>
          <w:ilvl w:val="1"/>
          <w:numId w:val="0"/>
        </w:numPr>
        <w:spacing w:before="312" w:beforeLines="100" w:after="312" w:afterLines="100"/>
        <w:jc w:val="left"/>
        <w:outlineLvl w:val="1"/>
        <w:rPr>
          <w:rFonts w:ascii="黑体" w:eastAsia="黑体"/>
          <w:kern w:val="0"/>
          <w:szCs w:val="21"/>
        </w:rPr>
      </w:pPr>
      <w:r>
        <w:rPr>
          <w:rFonts w:ascii="黑体" w:eastAsia="黑体"/>
          <w:kern w:val="0"/>
          <w:szCs w:val="21"/>
        </w:rPr>
        <w:t>1</w:t>
      </w:r>
      <w:r>
        <w:rPr>
          <w:rFonts w:hint="eastAsia" w:ascii="黑体" w:eastAsia="黑体"/>
          <w:kern w:val="0"/>
          <w:szCs w:val="21"/>
        </w:rPr>
        <w:t>1</w:t>
      </w:r>
      <w:r>
        <w:rPr>
          <w:rFonts w:ascii="黑体" w:eastAsia="黑体"/>
          <w:kern w:val="0"/>
          <w:szCs w:val="21"/>
        </w:rPr>
        <w:t xml:space="preserve">  </w:t>
      </w:r>
      <w:r>
        <w:rPr>
          <w:rFonts w:hint="eastAsia" w:ascii="黑体" w:eastAsia="黑体"/>
          <w:kern w:val="0"/>
          <w:szCs w:val="21"/>
        </w:rPr>
        <w:t>生产档案</w:t>
      </w:r>
    </w:p>
    <w:p w14:paraId="6A1F3DBD">
      <w:pPr>
        <w:widowControl/>
        <w:numPr>
          <w:ilvl w:val="2"/>
          <w:numId w:val="0"/>
        </w:numPr>
        <w:spacing w:before="156" w:beforeLines="50" w:after="156" w:afterLines="50"/>
        <w:ind w:firstLine="420" w:firstLineChars="200"/>
        <w:jc w:val="left"/>
        <w:outlineLvl w:val="3"/>
        <w:rPr>
          <w:rFonts w:hint="eastAsia" w:ascii="宋体" w:hAnsi="宋体" w:cs="宋体"/>
          <w:kern w:val="0"/>
          <w:szCs w:val="21"/>
        </w:rPr>
      </w:pPr>
      <w:r>
        <w:rPr>
          <w:rFonts w:hint="eastAsia" w:ascii="宋体" w:hAnsi="宋体" w:cs="宋体"/>
          <w:kern w:val="0"/>
          <w:szCs w:val="21"/>
        </w:rPr>
        <w:t>建立健全生产档案，记录品种来源、品种名称、主要物候期和肥料、农药等农业投入品使用情况 ，档案保存期2</w:t>
      </w:r>
      <w:r>
        <w:rPr>
          <w:rFonts w:hint="eastAsia" w:ascii="宋体" w:hAnsi="宋体" w:cs="宋体"/>
          <w:kern w:val="0"/>
          <w:szCs w:val="21"/>
          <w:lang w:val="en-US" w:eastAsia="zh-CN"/>
        </w:rPr>
        <w:t>年</w:t>
      </w:r>
      <w:r>
        <w:rPr>
          <w:rFonts w:hint="eastAsia" w:ascii="宋体" w:hAnsi="宋体" w:cs="宋体"/>
          <w:kern w:val="0"/>
          <w:szCs w:val="21"/>
        </w:rPr>
        <w:t>以上。</w:t>
      </w:r>
    </w:p>
    <w:p w14:paraId="4B907472">
      <w:pPr>
        <w:pStyle w:val="19"/>
        <w:spacing w:before="50" w:after="50"/>
      </w:pPr>
      <w:r>
        <w:rPr>
          <w:sz w:val="24"/>
        </w:rPr>
        <mc:AlternateContent>
          <mc:Choice Requires="wps">
            <w:drawing>
              <wp:anchor distT="0" distB="0" distL="114300" distR="114300" simplePos="0" relativeHeight="251669504" behindDoc="0" locked="0" layoutInCell="1" allowOverlap="1">
                <wp:simplePos x="0" y="0"/>
                <wp:positionH relativeFrom="column">
                  <wp:posOffset>1869440</wp:posOffset>
                </wp:positionH>
                <wp:positionV relativeFrom="paragraph">
                  <wp:posOffset>309880</wp:posOffset>
                </wp:positionV>
                <wp:extent cx="1905000" cy="0"/>
                <wp:effectExtent l="0" t="6350" r="0" b="6350"/>
                <wp:wrapNone/>
                <wp:docPr id="11" name="直接连接符 11"/>
                <wp:cNvGraphicFramePr/>
                <a:graphic xmlns:a="http://schemas.openxmlformats.org/drawingml/2006/main">
                  <a:graphicData uri="http://schemas.microsoft.com/office/word/2010/wordprocessingShape">
                    <wps:wsp>
                      <wps:cNvCnPr/>
                      <wps:spPr>
                        <a:xfrm>
                          <a:off x="0" y="0"/>
                          <a:ext cx="1905000"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47.2pt;margin-top:24.4pt;height:0pt;width:150pt;z-index:251669504;mso-width-relative:page;mso-height-relative:page;" filled="f" stroked="t" coordsize="21600,21600" o:gfxdata="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hJsyh1QAAAAkBAAAPAAAAAAAAAAEAIAAA&#10;ACIAAABkcnMvZG93bnJldi54bWxQSwECFAAUAAAACACHTuJAfU/YAdYBAACdAwAADgAAAAAAAAAB&#10;ACAAAAAkAQAAZHJzL2Uyb0RvYy54bWxQSwUGAAAAAAYABgBZAQAAbAUAAAAA&#10;">
                <v:fill on="f" focussize="0,0"/>
                <v:stroke weight="1pt" color="#000000 [3213]" joinstyle="round"/>
                <v:imagedata o:title=""/>
                <o:lock v:ext="edit" aspectratio="f"/>
              </v:line>
            </w:pict>
          </mc:Fallback>
        </mc:AlternateContent>
      </w:r>
    </w:p>
    <w:sectPr>
      <w:footerReference r:id="rId11" w:type="default"/>
      <w:footerReference r:id="rId12" w:type="even"/>
      <w:pgSz w:w="11906" w:h="16838"/>
      <w:pgMar w:top="1418" w:right="1588" w:bottom="1418" w:left="158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C8D58">
    <w:pPr>
      <w:pStyle w:val="21"/>
      <w:jc w:val="both"/>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69ACAF">
                          <w:pPr>
                            <w:pStyle w:val="2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C69ACAF">
                    <w:pPr>
                      <w:pStyle w:val="21"/>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35C5A">
    <w:pPr>
      <w:pStyle w:val="84"/>
      <w:rPr>
        <w:rStyle w:val="30"/>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16BF8">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62686">
    <w:pPr>
      <w:pStyle w:val="21"/>
      <w:jc w:val="both"/>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0A6BD9">
                          <w:pPr>
                            <w:pStyle w:val="21"/>
                            <w:rPr>
                              <w:rFonts w:hint="eastAsia" w:eastAsia="宋体"/>
                              <w:lang w:val="en-US" w:eastAsia="zh-CN"/>
                            </w:rPr>
                          </w:pPr>
                          <w:r>
                            <w:rPr>
                              <w:rFonts w:hint="eastAsia"/>
                              <w:lang w:val="en-US" w:eastAsia="zh-CN"/>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6B0A6BD9">
                    <w:pPr>
                      <w:pStyle w:val="21"/>
                      <w:rPr>
                        <w:rFonts w:hint="eastAsia" w:eastAsia="宋体"/>
                        <w:lang w:val="en-US" w:eastAsia="zh-CN"/>
                      </w:rPr>
                    </w:pPr>
                    <w:r>
                      <w:rPr>
                        <w:rFonts w:hint="eastAsia"/>
                        <w:lang w:val="en-US" w:eastAsia="zh-CN"/>
                      </w:rPr>
                      <w:t>I</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B985B">
    <w:pPr>
      <w:pStyle w:val="84"/>
      <w:rPr>
        <w:rStyle w:val="30"/>
        <w:rFonts w:hint="default" w:eastAsia="宋体"/>
        <w:lang w:val="en-US" w:eastAsia="zh-CN"/>
      </w:rPr>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0FB02A">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30FB02A">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B86BB">
    <w:pPr>
      <w:pStyle w:val="21"/>
    </w:pPr>
    <w:r>
      <w:rPr>
        <w:sz w:val="1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893430">
                          <w:pPr>
                            <w:pStyle w:val="21"/>
                            <w:rPr>
                              <w:rStyle w:val="30"/>
                            </w:rPr>
                          </w:pPr>
                          <w:r>
                            <w:fldChar w:fldCharType="begin"/>
                          </w:r>
                          <w:r>
                            <w:rPr>
                              <w:rStyle w:val="30"/>
                            </w:rPr>
                            <w:instrText xml:space="preserve">PAGE  </w:instrText>
                          </w:r>
                          <w:r>
                            <w:fldChar w:fldCharType="separate"/>
                          </w:r>
                          <w:r>
                            <w:rPr>
                              <w:rStyle w:val="30"/>
                            </w:rP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0E893430">
                    <w:pPr>
                      <w:pStyle w:val="21"/>
                      <w:rPr>
                        <w:rStyle w:val="30"/>
                      </w:rPr>
                    </w:pPr>
                    <w:r>
                      <w:fldChar w:fldCharType="begin"/>
                    </w:r>
                    <w:r>
                      <w:rPr>
                        <w:rStyle w:val="30"/>
                      </w:rPr>
                      <w:instrText xml:space="preserve">PAGE  </w:instrText>
                    </w:r>
                    <w:r>
                      <w:fldChar w:fldCharType="separate"/>
                    </w:r>
                    <w:r>
                      <w:rPr>
                        <w:rStyle w:val="30"/>
                      </w:rP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9DAAB">
    <w:pPr>
      <w:pStyle w:val="45"/>
    </w:pPr>
    <w:r>
      <w:t>DNB/T 445200 11—2003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879CF">
    <w:pPr>
      <w:pStyle w:val="98"/>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CFE73">
    <w:pPr>
      <w:pStyle w:val="55"/>
      <w:rPr>
        <w:sz w:val="21"/>
        <w:szCs w:val="21"/>
      </w:rPr>
    </w:pPr>
    <w:r>
      <w:rPr>
        <w:sz w:val="21"/>
        <w:szCs w:val="21"/>
      </w:rPr>
      <w:t>DB</w:t>
    </w:r>
    <w:r>
      <w:rPr>
        <w:rFonts w:hint="eastAsia"/>
        <w:sz w:val="21"/>
        <w:szCs w:val="21"/>
      </w:rPr>
      <w:t>4452</w:t>
    </w:r>
    <w:r>
      <w:rPr>
        <w:sz w:val="21"/>
        <w:szCs w:val="21"/>
      </w:rPr>
      <w:t>/T</w:t>
    </w:r>
    <w:r>
      <w:rPr>
        <w:rFonts w:hint="eastAsia"/>
        <w:sz w:val="21"/>
        <w:szCs w:val="21"/>
      </w:rPr>
      <w:t xml:space="preserve"> 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DA73D">
    <w:pPr>
      <w:pStyle w:val="98"/>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81"/>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78"/>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5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8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302902"/>
    <w:multiLevelType w:val="multilevel"/>
    <w:tmpl w:val="4F302902"/>
    <w:lvl w:ilvl="0" w:tentative="0">
      <w:start w:val="1"/>
      <w:numFmt w:val="none"/>
      <w:pStyle w:val="94"/>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7C2AF5"/>
    <w:multiLevelType w:val="multilevel"/>
    <w:tmpl w:val="557C2AF5"/>
    <w:lvl w:ilvl="0" w:tentative="0">
      <w:start w:val="1"/>
      <w:numFmt w:val="decimal"/>
      <w:pStyle w:val="6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tentative="0">
      <w:start w:val="1"/>
      <w:numFmt w:val="none"/>
      <w:pStyle w:val="91"/>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6260FA"/>
    <w:multiLevelType w:val="multilevel"/>
    <w:tmpl w:val="646260FA"/>
    <w:lvl w:ilvl="0" w:tentative="0">
      <w:start w:val="1"/>
      <w:numFmt w:val="decimal"/>
      <w:pStyle w:val="9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96"/>
      <w:suff w:val="nothing"/>
      <w:lvlText w:val="附　录　%1"/>
      <w:lvlJc w:val="left"/>
      <w:pPr>
        <w:ind w:left="0" w:firstLine="0"/>
      </w:pPr>
      <w:rPr>
        <w:rFonts w:hint="eastAsia" w:ascii="黑体" w:hAnsi="Times New Roman" w:eastAsia="黑体"/>
        <w:b w:val="0"/>
        <w:i w:val="0"/>
        <w:sz w:val="21"/>
      </w:rPr>
    </w:lvl>
    <w:lvl w:ilvl="1" w:tentative="0">
      <w:start w:val="1"/>
      <w:numFmt w:val="decimal"/>
      <w:pStyle w:val="4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58"/>
      <w:suff w:val="nothing"/>
      <w:lvlText w:val="%1.%2.%3.%4.%5.%6　"/>
      <w:lvlJc w:val="left"/>
      <w:pPr>
        <w:ind w:left="0" w:firstLine="0"/>
      </w:pPr>
      <w:rPr>
        <w:rFonts w:hint="eastAsia" w:ascii="黑体" w:hAnsi="Times New Roman" w:eastAsia="黑体"/>
        <w:b w:val="0"/>
        <w:i w:val="0"/>
        <w:sz w:val="21"/>
      </w:rPr>
    </w:lvl>
    <w:lvl w:ilvl="6" w:tentative="0">
      <w:start w:val="1"/>
      <w:numFmt w:val="decimal"/>
      <w:pStyle w:val="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pStyle w:val="71"/>
      <w:suff w:val="nothing"/>
      <w:lvlText w:val="%1"/>
      <w:lvlJc w:val="left"/>
      <w:pPr>
        <w:ind w:left="0" w:firstLine="0"/>
      </w:pPr>
      <w:rPr>
        <w:rFonts w:hint="default" w:ascii="Times New Roman" w:hAnsi="Times New Roman"/>
        <w:b/>
        <w:i w:val="0"/>
        <w:sz w:val="21"/>
      </w:rPr>
    </w:lvl>
    <w:lvl w:ilvl="1" w:tentative="0">
      <w:start w:val="1"/>
      <w:numFmt w:val="decimal"/>
      <w:pStyle w:val="75"/>
      <w:suff w:val="nothing"/>
      <w:lvlText w:val="%1%2　"/>
      <w:lvlJc w:val="left"/>
      <w:pPr>
        <w:ind w:left="142" w:firstLine="0"/>
      </w:pPr>
      <w:rPr>
        <w:rFonts w:hint="eastAsia" w:ascii="黑体" w:hAnsi="Times New Roman" w:eastAsia="黑体"/>
        <w:b w:val="0"/>
        <w:i w:val="0"/>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69"/>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4678"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pStyle w:val="8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93"/>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6933334"/>
    <w:multiLevelType w:val="multilevel"/>
    <w:tmpl w:val="76933334"/>
    <w:lvl w:ilvl="0" w:tentative="0">
      <w:start w:val="1"/>
      <w:numFmt w:val="none"/>
      <w:pStyle w:val="6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2"/>
  </w:num>
  <w:num w:numId="3">
    <w:abstractNumId w:val="9"/>
  </w:num>
  <w:num w:numId="4">
    <w:abstractNumId w:val="11"/>
  </w:num>
  <w:num w:numId="5">
    <w:abstractNumId w:val="5"/>
  </w:num>
  <w:num w:numId="6">
    <w:abstractNumId w:val="1"/>
  </w:num>
  <w:num w:numId="7">
    <w:abstractNumId w:val="0"/>
  </w:num>
  <w:num w:numId="8">
    <w:abstractNumId w:val="3"/>
  </w:num>
  <w:num w:numId="9">
    <w:abstractNumId w:val="6"/>
  </w:num>
  <w:num w:numId="10">
    <w:abstractNumId w:val="7"/>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YWY3MDUxMzI2NjEzYTU3MDM2MWRhZDk1YjRhMjYifQ=="/>
  </w:docVars>
  <w:rsids>
    <w:rsidRoot w:val="000B1B41"/>
    <w:rsid w:val="00026C47"/>
    <w:rsid w:val="0008429A"/>
    <w:rsid w:val="00084C10"/>
    <w:rsid w:val="000868D2"/>
    <w:rsid w:val="000B1B41"/>
    <w:rsid w:val="000B6C99"/>
    <w:rsid w:val="000E6210"/>
    <w:rsid w:val="000F35A2"/>
    <w:rsid w:val="000F44DC"/>
    <w:rsid w:val="00101004"/>
    <w:rsid w:val="00122FEF"/>
    <w:rsid w:val="00165A58"/>
    <w:rsid w:val="00166AC6"/>
    <w:rsid w:val="001855A7"/>
    <w:rsid w:val="00187B03"/>
    <w:rsid w:val="00187F91"/>
    <w:rsid w:val="00200FF1"/>
    <w:rsid w:val="00206F5A"/>
    <w:rsid w:val="00230245"/>
    <w:rsid w:val="00250C99"/>
    <w:rsid w:val="002A0771"/>
    <w:rsid w:val="002B1358"/>
    <w:rsid w:val="002E56F4"/>
    <w:rsid w:val="00302562"/>
    <w:rsid w:val="00315134"/>
    <w:rsid w:val="00323EC8"/>
    <w:rsid w:val="0033381D"/>
    <w:rsid w:val="00337BF9"/>
    <w:rsid w:val="00364336"/>
    <w:rsid w:val="0036639E"/>
    <w:rsid w:val="00371D74"/>
    <w:rsid w:val="003856F5"/>
    <w:rsid w:val="003F28A6"/>
    <w:rsid w:val="003F6D46"/>
    <w:rsid w:val="00420308"/>
    <w:rsid w:val="00444AB0"/>
    <w:rsid w:val="00446CEB"/>
    <w:rsid w:val="0046274B"/>
    <w:rsid w:val="004A009C"/>
    <w:rsid w:val="004E0FA3"/>
    <w:rsid w:val="004E5FFC"/>
    <w:rsid w:val="0050609F"/>
    <w:rsid w:val="005060BB"/>
    <w:rsid w:val="0051595C"/>
    <w:rsid w:val="00540C13"/>
    <w:rsid w:val="00550067"/>
    <w:rsid w:val="00557857"/>
    <w:rsid w:val="0056159A"/>
    <w:rsid w:val="00570933"/>
    <w:rsid w:val="00570F86"/>
    <w:rsid w:val="00581004"/>
    <w:rsid w:val="0058535E"/>
    <w:rsid w:val="00593140"/>
    <w:rsid w:val="00593CB8"/>
    <w:rsid w:val="005B22CD"/>
    <w:rsid w:val="005D6FF0"/>
    <w:rsid w:val="005E534A"/>
    <w:rsid w:val="005F49B4"/>
    <w:rsid w:val="00637177"/>
    <w:rsid w:val="00640BAE"/>
    <w:rsid w:val="0065283A"/>
    <w:rsid w:val="0066100F"/>
    <w:rsid w:val="00692445"/>
    <w:rsid w:val="006C0109"/>
    <w:rsid w:val="006E2769"/>
    <w:rsid w:val="006E49AC"/>
    <w:rsid w:val="006F0D51"/>
    <w:rsid w:val="0070694C"/>
    <w:rsid w:val="00713721"/>
    <w:rsid w:val="00763347"/>
    <w:rsid w:val="00785F42"/>
    <w:rsid w:val="007C44A3"/>
    <w:rsid w:val="00807A55"/>
    <w:rsid w:val="00817E42"/>
    <w:rsid w:val="008353B7"/>
    <w:rsid w:val="008572CF"/>
    <w:rsid w:val="0087743F"/>
    <w:rsid w:val="00877BBC"/>
    <w:rsid w:val="008913EB"/>
    <w:rsid w:val="008A1DB1"/>
    <w:rsid w:val="008A79D7"/>
    <w:rsid w:val="008B34AE"/>
    <w:rsid w:val="008D2290"/>
    <w:rsid w:val="008F4B58"/>
    <w:rsid w:val="00930E84"/>
    <w:rsid w:val="009314AD"/>
    <w:rsid w:val="009367BA"/>
    <w:rsid w:val="00975F4E"/>
    <w:rsid w:val="00983403"/>
    <w:rsid w:val="009863BB"/>
    <w:rsid w:val="009F1EAC"/>
    <w:rsid w:val="00A10C5A"/>
    <w:rsid w:val="00A124AD"/>
    <w:rsid w:val="00A84D63"/>
    <w:rsid w:val="00A850F9"/>
    <w:rsid w:val="00A85FAB"/>
    <w:rsid w:val="00AC6040"/>
    <w:rsid w:val="00AE6E42"/>
    <w:rsid w:val="00B10082"/>
    <w:rsid w:val="00B51F72"/>
    <w:rsid w:val="00B83346"/>
    <w:rsid w:val="00BC4EA9"/>
    <w:rsid w:val="00BE298B"/>
    <w:rsid w:val="00BF1D6E"/>
    <w:rsid w:val="00BF40FE"/>
    <w:rsid w:val="00C05E76"/>
    <w:rsid w:val="00C21FB1"/>
    <w:rsid w:val="00CA456C"/>
    <w:rsid w:val="00CA5E69"/>
    <w:rsid w:val="00CE10A8"/>
    <w:rsid w:val="00CF0767"/>
    <w:rsid w:val="00D6402F"/>
    <w:rsid w:val="00D77528"/>
    <w:rsid w:val="00D93424"/>
    <w:rsid w:val="00DC0F7E"/>
    <w:rsid w:val="00DC38B7"/>
    <w:rsid w:val="00DC3944"/>
    <w:rsid w:val="00DC686D"/>
    <w:rsid w:val="00DE059B"/>
    <w:rsid w:val="00DF6833"/>
    <w:rsid w:val="00E1229F"/>
    <w:rsid w:val="00EA5644"/>
    <w:rsid w:val="00ED1A8B"/>
    <w:rsid w:val="00F66DB4"/>
    <w:rsid w:val="00F7056D"/>
    <w:rsid w:val="00F91EE2"/>
    <w:rsid w:val="02FD5F08"/>
    <w:rsid w:val="035B6E9D"/>
    <w:rsid w:val="053935B3"/>
    <w:rsid w:val="06FA527D"/>
    <w:rsid w:val="08BA4CE8"/>
    <w:rsid w:val="0A1D055C"/>
    <w:rsid w:val="0D860A9C"/>
    <w:rsid w:val="0DB72B2B"/>
    <w:rsid w:val="0F041037"/>
    <w:rsid w:val="115971D8"/>
    <w:rsid w:val="135E6B6F"/>
    <w:rsid w:val="13860888"/>
    <w:rsid w:val="13A80C85"/>
    <w:rsid w:val="1504493D"/>
    <w:rsid w:val="158329E3"/>
    <w:rsid w:val="16F92E7F"/>
    <w:rsid w:val="19D14B78"/>
    <w:rsid w:val="1C56658B"/>
    <w:rsid w:val="1E63094E"/>
    <w:rsid w:val="1E847356"/>
    <w:rsid w:val="1EEC1DED"/>
    <w:rsid w:val="24455E9A"/>
    <w:rsid w:val="266D7BAB"/>
    <w:rsid w:val="271711D4"/>
    <w:rsid w:val="27D8516B"/>
    <w:rsid w:val="2BD83032"/>
    <w:rsid w:val="2C7118F7"/>
    <w:rsid w:val="2D8429BB"/>
    <w:rsid w:val="2E414620"/>
    <w:rsid w:val="2FE778C1"/>
    <w:rsid w:val="300E49EC"/>
    <w:rsid w:val="31A42F9C"/>
    <w:rsid w:val="31B1601B"/>
    <w:rsid w:val="330E01F6"/>
    <w:rsid w:val="33E93476"/>
    <w:rsid w:val="34721F5D"/>
    <w:rsid w:val="34FC449C"/>
    <w:rsid w:val="35147300"/>
    <w:rsid w:val="36900616"/>
    <w:rsid w:val="376C2018"/>
    <w:rsid w:val="37B514A2"/>
    <w:rsid w:val="38E30E42"/>
    <w:rsid w:val="3E1B2BCF"/>
    <w:rsid w:val="3F760C61"/>
    <w:rsid w:val="49090450"/>
    <w:rsid w:val="496D7714"/>
    <w:rsid w:val="4C0F0A7F"/>
    <w:rsid w:val="4ED27537"/>
    <w:rsid w:val="532E0AA5"/>
    <w:rsid w:val="53BB4243"/>
    <w:rsid w:val="55376345"/>
    <w:rsid w:val="5678188D"/>
    <w:rsid w:val="56A152B9"/>
    <w:rsid w:val="5C7E485A"/>
    <w:rsid w:val="60F3375A"/>
    <w:rsid w:val="614F1419"/>
    <w:rsid w:val="61763E38"/>
    <w:rsid w:val="62294649"/>
    <w:rsid w:val="68BD10D6"/>
    <w:rsid w:val="693704E1"/>
    <w:rsid w:val="6AE2575D"/>
    <w:rsid w:val="6FB348F1"/>
    <w:rsid w:val="70171CA2"/>
    <w:rsid w:val="71934D38"/>
    <w:rsid w:val="72367400"/>
    <w:rsid w:val="764F61A3"/>
    <w:rsid w:val="772C162A"/>
    <w:rsid w:val="77631EE8"/>
    <w:rsid w:val="780D5D49"/>
    <w:rsid w:val="7A8B0681"/>
    <w:rsid w:val="7B0139B7"/>
    <w:rsid w:val="7B832249"/>
    <w:rsid w:val="7D765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99"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qFormat/>
    <w:uiPriority w:val="0"/>
  </w:style>
  <w:style w:type="paragraph" w:styleId="14">
    <w:name w:val="toc 4"/>
    <w:basedOn w:val="15"/>
    <w:next w:val="1"/>
    <w:semiHidden/>
    <w:qFormat/>
    <w:uiPriority w:val="0"/>
  </w:style>
  <w:style w:type="paragraph" w:styleId="15">
    <w:name w:val="toc 3"/>
    <w:basedOn w:val="16"/>
    <w:next w:val="1"/>
    <w:semiHidden/>
    <w:qFormat/>
    <w:uiPriority w:val="0"/>
  </w:style>
  <w:style w:type="paragraph" w:styleId="16">
    <w:name w:val="toc 2"/>
    <w:basedOn w:val="17"/>
    <w:next w:val="1"/>
    <w:semiHidden/>
    <w:qFormat/>
    <w:uiPriority w:val="0"/>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HTML Address"/>
    <w:basedOn w:val="1"/>
    <w:semiHidden/>
    <w:qFormat/>
    <w:uiPriority w:val="0"/>
    <w:rPr>
      <w:i/>
      <w:iCs/>
    </w:rPr>
  </w:style>
  <w:style w:type="paragraph" w:styleId="19">
    <w:name w:val="Plain Text"/>
    <w:basedOn w:val="1"/>
    <w:semiHidden/>
    <w:qFormat/>
    <w:uiPriority w:val="0"/>
    <w:rPr>
      <w:rFonts w:ascii="宋体" w:hAnsi="Courier New" w:cs="Courier New"/>
      <w:szCs w:val="21"/>
    </w:rPr>
  </w:style>
  <w:style w:type="paragraph" w:styleId="20">
    <w:name w:val="toc 8"/>
    <w:basedOn w:val="11"/>
    <w:next w:val="1"/>
    <w:semiHidden/>
    <w:qFormat/>
    <w:uiPriority w:val="0"/>
  </w:style>
  <w:style w:type="paragraph" w:styleId="21">
    <w:name w:val="footer"/>
    <w:basedOn w:val="1"/>
    <w:semiHidden/>
    <w:qFormat/>
    <w:uiPriority w:val="0"/>
    <w:pPr>
      <w:tabs>
        <w:tab w:val="center" w:pos="4153"/>
        <w:tab w:val="right" w:pos="8306"/>
      </w:tabs>
      <w:snapToGrid w:val="0"/>
      <w:ind w:right="210" w:rightChars="100"/>
      <w:jc w:val="right"/>
    </w:pPr>
    <w:rPr>
      <w:sz w:val="18"/>
      <w:szCs w:val="18"/>
    </w:rPr>
  </w:style>
  <w:style w:type="paragraph" w:styleId="2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23">
    <w:name w:val="footnote text"/>
    <w:basedOn w:val="1"/>
    <w:semiHidden/>
    <w:qFormat/>
    <w:uiPriority w:val="0"/>
    <w:pPr>
      <w:snapToGrid w:val="0"/>
      <w:jc w:val="left"/>
    </w:pPr>
    <w:rPr>
      <w:sz w:val="18"/>
      <w:szCs w:val="18"/>
    </w:rPr>
  </w:style>
  <w:style w:type="paragraph" w:styleId="24">
    <w:name w:val="toc 9"/>
    <w:basedOn w:val="20"/>
    <w:next w:val="1"/>
    <w:semiHidden/>
    <w:qFormat/>
    <w:uiPriority w:val="0"/>
  </w:style>
  <w:style w:type="paragraph" w:styleId="25">
    <w:name w:val="HTML Preformatted"/>
    <w:basedOn w:val="1"/>
    <w:link w:val="41"/>
    <w:semiHidden/>
    <w:qFormat/>
    <w:uiPriority w:val="99"/>
    <w:rPr>
      <w:rFonts w:ascii="Courier New" w:hAnsi="Courier New" w:cs="Courier New"/>
      <w:sz w:val="20"/>
      <w:szCs w:val="20"/>
    </w:rPr>
  </w:style>
  <w:style w:type="paragraph" w:styleId="26">
    <w:name w:val="Normal (Web)"/>
    <w:basedOn w:val="1"/>
    <w:semiHidden/>
    <w:unhideWhenUsed/>
    <w:qFormat/>
    <w:uiPriority w:val="99"/>
    <w:rPr>
      <w:sz w:val="24"/>
    </w:rPr>
  </w:style>
  <w:style w:type="paragraph" w:styleId="27">
    <w:name w:val="Title"/>
    <w:basedOn w:val="1"/>
    <w:qFormat/>
    <w:uiPriority w:val="0"/>
    <w:pPr>
      <w:spacing w:before="240" w:after="60"/>
      <w:jc w:val="center"/>
      <w:outlineLvl w:val="0"/>
    </w:pPr>
    <w:rPr>
      <w:rFonts w:ascii="Arial" w:hAnsi="Arial" w:cs="Arial"/>
      <w:b/>
      <w:bCs/>
      <w:sz w:val="32"/>
      <w:szCs w:val="32"/>
    </w:rPr>
  </w:style>
  <w:style w:type="character" w:styleId="30">
    <w:name w:val="page number"/>
    <w:semiHidden/>
    <w:qFormat/>
    <w:uiPriority w:val="0"/>
    <w:rPr>
      <w:rFonts w:ascii="Times New Roman" w:hAnsi="Times New Roman" w:eastAsia="宋体"/>
      <w:sz w:val="18"/>
    </w:rPr>
  </w:style>
  <w:style w:type="character" w:styleId="31">
    <w:name w:val="HTML Definition"/>
    <w:semiHidden/>
    <w:qFormat/>
    <w:uiPriority w:val="0"/>
    <w:rPr>
      <w:i/>
      <w:iCs/>
    </w:rPr>
  </w:style>
  <w:style w:type="character" w:styleId="32">
    <w:name w:val="HTML Typewriter"/>
    <w:semiHidden/>
    <w:qFormat/>
    <w:uiPriority w:val="0"/>
    <w:rPr>
      <w:rFonts w:ascii="Courier New" w:hAnsi="Courier New"/>
      <w:sz w:val="20"/>
      <w:szCs w:val="20"/>
    </w:rPr>
  </w:style>
  <w:style w:type="character" w:styleId="33">
    <w:name w:val="HTML Acronym"/>
    <w:basedOn w:val="29"/>
    <w:semiHidden/>
    <w:qFormat/>
    <w:uiPriority w:val="0"/>
  </w:style>
  <w:style w:type="character" w:styleId="34">
    <w:name w:val="HTML Variable"/>
    <w:semiHidden/>
    <w:qFormat/>
    <w:uiPriority w:val="0"/>
    <w:rPr>
      <w:i/>
      <w:iCs/>
    </w:rPr>
  </w:style>
  <w:style w:type="character" w:styleId="35">
    <w:name w:val="Hyperlink"/>
    <w:basedOn w:val="29"/>
    <w:semiHidden/>
    <w:qFormat/>
    <w:uiPriority w:val="0"/>
    <w:rPr>
      <w:rFonts w:ascii="Times New Roman" w:hAnsi="Times New Roman" w:eastAsia="宋体"/>
      <w:color w:val="auto"/>
      <w:spacing w:val="0"/>
      <w:w w:val="100"/>
      <w:position w:val="0"/>
      <w:sz w:val="21"/>
      <w:u w:val="none"/>
      <w:vertAlign w:val="baseline"/>
    </w:rPr>
  </w:style>
  <w:style w:type="character" w:styleId="36">
    <w:name w:val="HTML Code"/>
    <w:semiHidden/>
    <w:qFormat/>
    <w:uiPriority w:val="0"/>
    <w:rPr>
      <w:rFonts w:ascii="Courier New" w:hAnsi="Courier New"/>
      <w:sz w:val="20"/>
      <w:szCs w:val="20"/>
    </w:rPr>
  </w:style>
  <w:style w:type="character" w:styleId="37">
    <w:name w:val="HTML Cite"/>
    <w:semiHidden/>
    <w:qFormat/>
    <w:uiPriority w:val="0"/>
    <w:rPr>
      <w:i/>
      <w:iCs/>
    </w:rPr>
  </w:style>
  <w:style w:type="character" w:styleId="38">
    <w:name w:val="footnote reference"/>
    <w:semiHidden/>
    <w:qFormat/>
    <w:uiPriority w:val="0"/>
    <w:rPr>
      <w:vertAlign w:val="superscript"/>
    </w:rPr>
  </w:style>
  <w:style w:type="character" w:styleId="39">
    <w:name w:val="HTML Keyboard"/>
    <w:semiHidden/>
    <w:qFormat/>
    <w:uiPriority w:val="0"/>
    <w:rPr>
      <w:rFonts w:ascii="Courier New" w:hAnsi="Courier New"/>
      <w:sz w:val="20"/>
      <w:szCs w:val="20"/>
    </w:rPr>
  </w:style>
  <w:style w:type="character" w:styleId="40">
    <w:name w:val="HTML Sample"/>
    <w:semiHidden/>
    <w:qFormat/>
    <w:uiPriority w:val="0"/>
    <w:rPr>
      <w:rFonts w:ascii="Courier New" w:hAnsi="Courier New"/>
    </w:rPr>
  </w:style>
  <w:style w:type="character" w:customStyle="1" w:styleId="41">
    <w:name w:val="HTML 预设格式 字符"/>
    <w:basedOn w:val="29"/>
    <w:link w:val="25"/>
    <w:semiHidden/>
    <w:qFormat/>
    <w:uiPriority w:val="99"/>
    <w:rPr>
      <w:rFonts w:ascii="Courier New" w:hAnsi="Courier New" w:cs="Courier New"/>
      <w:kern w:val="2"/>
    </w:rPr>
  </w:style>
  <w:style w:type="character" w:customStyle="1" w:styleId="42">
    <w:name w:val="个人撰写风格"/>
    <w:qFormat/>
    <w:uiPriority w:val="0"/>
    <w:rPr>
      <w:rFonts w:ascii="Arial" w:hAnsi="Arial" w:eastAsia="宋体" w:cs="Arial"/>
      <w:color w:val="auto"/>
      <w:sz w:val="20"/>
    </w:rPr>
  </w:style>
  <w:style w:type="character" w:customStyle="1" w:styleId="43">
    <w:name w:val="发布"/>
    <w:qFormat/>
    <w:uiPriority w:val="0"/>
    <w:rPr>
      <w:rFonts w:ascii="黑体" w:eastAsia="黑体"/>
      <w:spacing w:val="22"/>
      <w:w w:val="100"/>
      <w:position w:val="3"/>
      <w:sz w:val="28"/>
    </w:rPr>
  </w:style>
  <w:style w:type="character" w:customStyle="1" w:styleId="44">
    <w:name w:val="个人答复风格"/>
    <w:qFormat/>
    <w:uiPriority w:val="0"/>
    <w:rPr>
      <w:rFonts w:ascii="Arial" w:hAnsi="Arial" w:eastAsia="宋体" w:cs="Arial"/>
      <w:color w:val="auto"/>
      <w:sz w:val="20"/>
    </w:rPr>
  </w:style>
  <w:style w:type="paragraph" w:customStyle="1" w:styleId="4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6">
    <w:name w:val="附录一级条标题"/>
    <w:basedOn w:val="47"/>
    <w:next w:val="48"/>
    <w:qFormat/>
    <w:uiPriority w:val="0"/>
    <w:pPr>
      <w:numPr>
        <w:ilvl w:val="2"/>
      </w:numPr>
      <w:autoSpaceDN w:val="0"/>
      <w:spacing w:before="0" w:beforeLines="0" w:after="0" w:afterLines="0"/>
      <w:outlineLvl w:val="2"/>
    </w:pPr>
  </w:style>
  <w:style w:type="paragraph" w:customStyle="1" w:styleId="47">
    <w:name w:val="附录章标题"/>
    <w:next w:val="48"/>
    <w:qFormat/>
    <w:uiPriority w:val="0"/>
    <w:pPr>
      <w:numPr>
        <w:ilvl w:val="1"/>
        <w:numId w:val="1"/>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附录二级条标题"/>
    <w:basedOn w:val="46"/>
    <w:next w:val="48"/>
    <w:qFormat/>
    <w:uiPriority w:val="0"/>
    <w:pPr>
      <w:numPr>
        <w:ilvl w:val="3"/>
      </w:numPr>
      <w:outlineLvl w:val="3"/>
    </w:pPr>
  </w:style>
  <w:style w:type="paragraph" w:customStyle="1" w:styleId="51">
    <w:name w:val="发布部门"/>
    <w:next w:val="48"/>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3">
    <w:name w:val="列项◆（三级）"/>
    <w:qFormat/>
    <w:uiPriority w:val="0"/>
    <w:pPr>
      <w:numPr>
        <w:ilvl w:val="0"/>
        <w:numId w:val="2"/>
      </w:numPr>
      <w:ind w:left="800" w:leftChars="600" w:hanging="200" w:hangingChars="200"/>
    </w:pPr>
    <w:rPr>
      <w:rFonts w:ascii="宋体" w:hAnsi="Times New Roman" w:eastAsia="宋体" w:cs="Times New Roman"/>
      <w:sz w:val="21"/>
      <w:lang w:val="en-US" w:eastAsia="zh-CN" w:bidi="ar-SA"/>
    </w:rPr>
  </w:style>
  <w:style w:type="paragraph" w:customStyle="1" w:styleId="54">
    <w:name w:val="封面正文"/>
    <w:qFormat/>
    <w:uiPriority w:val="0"/>
    <w:pPr>
      <w:jc w:val="both"/>
    </w:pPr>
    <w:rPr>
      <w:rFonts w:ascii="Times New Roman" w:hAnsi="Times New Roman" w:eastAsia="宋体" w:cs="Times New Roman"/>
      <w:lang w:val="en-US" w:eastAsia="zh-CN" w:bidi="ar-SA"/>
    </w:rPr>
  </w:style>
  <w:style w:type="paragraph" w:customStyle="1" w:styleId="5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58">
    <w:name w:val="附录四级条标题"/>
    <w:basedOn w:val="59"/>
    <w:next w:val="48"/>
    <w:qFormat/>
    <w:uiPriority w:val="0"/>
    <w:pPr>
      <w:numPr>
        <w:ilvl w:val="5"/>
      </w:numPr>
      <w:outlineLvl w:val="5"/>
    </w:pPr>
  </w:style>
  <w:style w:type="paragraph" w:customStyle="1" w:styleId="59">
    <w:name w:val="附录三级条标题"/>
    <w:basedOn w:val="50"/>
    <w:next w:val="48"/>
    <w:qFormat/>
    <w:uiPriority w:val="0"/>
    <w:pPr>
      <w:numPr>
        <w:ilvl w:val="4"/>
      </w:numPr>
      <w:outlineLvl w:val="4"/>
    </w:pPr>
  </w:style>
  <w:style w:type="paragraph" w:customStyle="1" w:styleId="60">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61">
    <w:name w:val="条文脚注"/>
    <w:basedOn w:val="23"/>
    <w:qFormat/>
    <w:uiPriority w:val="0"/>
    <w:pPr>
      <w:ind w:left="780" w:leftChars="200" w:hanging="360" w:hangingChars="200"/>
      <w:jc w:val="both"/>
    </w:pPr>
    <w:rPr>
      <w:rFonts w:ascii="宋体"/>
    </w:rPr>
  </w:style>
  <w:style w:type="paragraph" w:customStyle="1" w:styleId="62">
    <w:name w:val="附录五级条标题"/>
    <w:basedOn w:val="58"/>
    <w:next w:val="48"/>
    <w:qFormat/>
    <w:uiPriority w:val="0"/>
    <w:pPr>
      <w:numPr>
        <w:ilvl w:val="6"/>
      </w:numPr>
      <w:outlineLvl w:val="6"/>
    </w:pPr>
  </w:style>
  <w:style w:type="paragraph" w:customStyle="1" w:styleId="63">
    <w:name w:val="一级条标题"/>
    <w:next w:val="48"/>
    <w:qFormat/>
    <w:uiPriority w:val="0"/>
    <w:pPr>
      <w:numPr>
        <w:ilvl w:val="2"/>
        <w:numId w:val="3"/>
      </w:numPr>
      <w:outlineLvl w:val="2"/>
    </w:pPr>
    <w:rPr>
      <w:rFonts w:ascii="Times New Roman" w:hAnsi="Times New Roman" w:eastAsia="黑体" w:cs="Times New Roman"/>
      <w:sz w:val="21"/>
      <w:lang w:val="en-US" w:eastAsia="zh-CN" w:bidi="ar-SA"/>
    </w:rPr>
  </w:style>
  <w:style w:type="paragraph" w:customStyle="1" w:styleId="64">
    <w:name w:val="列项——（一级）"/>
    <w:qFormat/>
    <w:uiPriority w:val="0"/>
    <w:pPr>
      <w:widowControl w:val="0"/>
      <w:numPr>
        <w:ilvl w:val="0"/>
        <w:numId w:val="4"/>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65">
    <w:name w:val="正文图标题"/>
    <w:next w:val="48"/>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66">
    <w:name w:val="封面标准代替信息"/>
    <w:basedOn w:val="67"/>
    <w:qFormat/>
    <w:uiPriority w:val="0"/>
    <w:pPr>
      <w:framePr w:wrap="around"/>
      <w:spacing w:before="57"/>
    </w:pPr>
    <w:rPr>
      <w:rFonts w:ascii="宋体"/>
      <w:sz w:val="21"/>
    </w:rPr>
  </w:style>
  <w:style w:type="paragraph" w:customStyle="1" w:styleId="67">
    <w:name w:val="封面标准号2"/>
    <w:basedOn w:val="55"/>
    <w:qFormat/>
    <w:uiPriority w:val="0"/>
    <w:pPr>
      <w:framePr w:w="9138" w:h="1244" w:hRule="exact" w:wrap="around" w:vAnchor="page" w:hAnchor="margin" w:y="2908"/>
      <w:adjustRightInd w:val="0"/>
      <w:spacing w:before="357" w:line="280" w:lineRule="exact"/>
    </w:pPr>
  </w:style>
  <w:style w:type="paragraph" w:customStyle="1" w:styleId="68">
    <w:name w:val="三级条标题"/>
    <w:basedOn w:val="69"/>
    <w:next w:val="48"/>
    <w:qFormat/>
    <w:uiPriority w:val="0"/>
    <w:pPr>
      <w:numPr>
        <w:ilvl w:val="4"/>
      </w:numPr>
      <w:outlineLvl w:val="4"/>
    </w:pPr>
  </w:style>
  <w:style w:type="paragraph" w:customStyle="1" w:styleId="69">
    <w:name w:val="二级条标题"/>
    <w:basedOn w:val="63"/>
    <w:next w:val="48"/>
    <w:qFormat/>
    <w:uiPriority w:val="0"/>
    <w:pPr>
      <w:numPr>
        <w:ilvl w:val="3"/>
      </w:numPr>
      <w:outlineLvl w:val="3"/>
    </w:pPr>
  </w:style>
  <w:style w:type="paragraph" w:customStyle="1" w:styleId="70">
    <w:name w:val="目次、标准名称标题"/>
    <w:basedOn w:val="71"/>
    <w:next w:val="48"/>
    <w:qFormat/>
    <w:uiPriority w:val="0"/>
    <w:pPr>
      <w:spacing w:line="460" w:lineRule="exact"/>
    </w:pPr>
  </w:style>
  <w:style w:type="paragraph" w:customStyle="1" w:styleId="71">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图表脚注"/>
    <w:next w:val="4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73">
    <w:name w:val="其他发布部门"/>
    <w:basedOn w:val="51"/>
    <w:qFormat/>
    <w:uiPriority w:val="0"/>
    <w:pPr>
      <w:framePr w:wrap="around"/>
      <w:spacing w:line="0" w:lineRule="atLeast"/>
    </w:pPr>
    <w:rPr>
      <w:rFonts w:ascii="黑体" w:eastAsia="黑体"/>
      <w:b w:val="0"/>
    </w:rPr>
  </w:style>
  <w:style w:type="paragraph" w:customStyle="1" w:styleId="7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5">
    <w:name w:val="章标题"/>
    <w:next w:val="48"/>
    <w:qFormat/>
    <w:uiPriority w:val="0"/>
    <w:pPr>
      <w:numPr>
        <w:ilvl w:val="1"/>
        <w:numId w:val="3"/>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76">
    <w:name w:val="实施日期"/>
    <w:basedOn w:val="77"/>
    <w:qFormat/>
    <w:uiPriority w:val="0"/>
    <w:pPr>
      <w:framePr w:hSpace="0" w:wrap="around" w:xAlign="right"/>
      <w:jc w:val="right"/>
    </w:pPr>
  </w:style>
  <w:style w:type="paragraph" w:customStyle="1" w:styleId="7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78">
    <w:name w:val="附录图标题"/>
    <w:next w:val="48"/>
    <w:qFormat/>
    <w:uiPriority w:val="0"/>
    <w:pPr>
      <w:numPr>
        <w:ilvl w:val="0"/>
        <w:numId w:val="6"/>
      </w:numPr>
      <w:jc w:val="center"/>
    </w:pPr>
    <w:rPr>
      <w:rFonts w:ascii="黑体" w:hAnsi="Times New Roman" w:eastAsia="黑体" w:cs="Times New Roman"/>
      <w:sz w:val="21"/>
      <w:lang w:val="en-US" w:eastAsia="zh-CN" w:bidi="ar-SA"/>
    </w:rPr>
  </w:style>
  <w:style w:type="paragraph" w:customStyle="1" w:styleId="7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0">
    <w:name w:val="标准书眉_偶数页"/>
    <w:basedOn w:val="45"/>
    <w:next w:val="1"/>
    <w:qFormat/>
    <w:uiPriority w:val="0"/>
    <w:pPr>
      <w:jc w:val="left"/>
    </w:pPr>
  </w:style>
  <w:style w:type="paragraph" w:customStyle="1" w:styleId="81">
    <w:name w:val="示例"/>
    <w:next w:val="48"/>
    <w:qFormat/>
    <w:uiPriority w:val="0"/>
    <w:pPr>
      <w:numPr>
        <w:ilvl w:val="0"/>
        <w:numId w:val="7"/>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8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83">
    <w:name w:val="参考文献、索引标题"/>
    <w:basedOn w:val="71"/>
    <w:next w:val="1"/>
    <w:qFormat/>
    <w:uiPriority w:val="0"/>
    <w:pPr>
      <w:numPr>
        <w:numId w:val="0"/>
      </w:numPr>
      <w:spacing w:after="200"/>
    </w:pPr>
    <w:rPr>
      <w:sz w:val="21"/>
    </w:rPr>
  </w:style>
  <w:style w:type="paragraph" w:customStyle="1" w:styleId="8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6">
    <w:name w:val="注×："/>
    <w:qFormat/>
    <w:uiPriority w:val="0"/>
    <w:pPr>
      <w:widowControl w:val="0"/>
      <w:numPr>
        <w:ilvl w:val="0"/>
        <w:numId w:val="8"/>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8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88">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89">
    <w:name w:val="五级条标题"/>
    <w:basedOn w:val="90"/>
    <w:next w:val="48"/>
    <w:qFormat/>
    <w:uiPriority w:val="0"/>
    <w:pPr>
      <w:numPr>
        <w:ilvl w:val="6"/>
      </w:numPr>
      <w:outlineLvl w:val="6"/>
    </w:pPr>
  </w:style>
  <w:style w:type="paragraph" w:customStyle="1" w:styleId="90">
    <w:name w:val="四级条标题"/>
    <w:basedOn w:val="68"/>
    <w:next w:val="48"/>
    <w:qFormat/>
    <w:uiPriority w:val="0"/>
    <w:pPr>
      <w:numPr>
        <w:ilvl w:val="5"/>
      </w:numPr>
      <w:outlineLvl w:val="5"/>
    </w:pPr>
  </w:style>
  <w:style w:type="paragraph" w:customStyle="1" w:styleId="91">
    <w:name w:val="列项●（二级）"/>
    <w:qFormat/>
    <w:uiPriority w:val="0"/>
    <w:pPr>
      <w:numPr>
        <w:ilvl w:val="0"/>
        <w:numId w:val="9"/>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92">
    <w:name w:val="正文表标题"/>
    <w:next w:val="48"/>
    <w:qFormat/>
    <w:uiPriority w:val="0"/>
    <w:pPr>
      <w:numPr>
        <w:ilvl w:val="0"/>
        <w:numId w:val="10"/>
      </w:numPr>
      <w:jc w:val="center"/>
    </w:pPr>
    <w:rPr>
      <w:rFonts w:ascii="黑体" w:hAnsi="Times New Roman" w:eastAsia="黑体" w:cs="Times New Roman"/>
      <w:sz w:val="21"/>
      <w:lang w:val="en-US" w:eastAsia="zh-CN" w:bidi="ar-SA"/>
    </w:rPr>
  </w:style>
  <w:style w:type="paragraph" w:customStyle="1" w:styleId="93">
    <w:name w:val="注："/>
    <w:next w:val="48"/>
    <w:qFormat/>
    <w:uiPriority w:val="0"/>
    <w:pPr>
      <w:widowControl w:val="0"/>
      <w:numPr>
        <w:ilvl w:val="0"/>
        <w:numId w:val="1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94">
    <w:name w:val="附录表标题"/>
    <w:next w:val="48"/>
    <w:qFormat/>
    <w:uiPriority w:val="0"/>
    <w:pPr>
      <w:numPr>
        <w:ilvl w:val="0"/>
        <w:numId w:val="12"/>
      </w:numPr>
      <w:jc w:val="center"/>
      <w:textAlignment w:val="baseline"/>
    </w:pPr>
    <w:rPr>
      <w:rFonts w:ascii="黑体" w:hAnsi="Times New Roman" w:eastAsia="黑体" w:cs="Times New Roman"/>
      <w:kern w:val="21"/>
      <w:sz w:val="21"/>
      <w:lang w:val="en-US" w:eastAsia="zh-CN" w:bidi="ar-SA"/>
    </w:rPr>
  </w:style>
  <w:style w:type="paragraph" w:customStyle="1" w:styleId="9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6">
    <w:name w:val="附录标识"/>
    <w:basedOn w:val="71"/>
    <w:qFormat/>
    <w:uiPriority w:val="0"/>
    <w:pPr>
      <w:numPr>
        <w:ilvl w:val="0"/>
        <w:numId w:val="1"/>
      </w:numPr>
      <w:tabs>
        <w:tab w:val="left" w:pos="6405"/>
      </w:tabs>
      <w:spacing w:after="200"/>
    </w:pPr>
    <w:rPr>
      <w:sz w:val="21"/>
    </w:rPr>
  </w:style>
  <w:style w:type="paragraph" w:customStyle="1" w:styleId="9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98">
    <w:name w:val="标准书眉一"/>
    <w:qFormat/>
    <w:uiPriority w:val="0"/>
    <w:pPr>
      <w:jc w:val="both"/>
    </w:pPr>
    <w:rPr>
      <w:rFonts w:ascii="Times New Roman" w:hAnsi="Times New Roman" w:eastAsia="宋体" w:cs="Times New Roman"/>
      <w:lang w:val="en-US" w:eastAsia="zh-CN" w:bidi="ar-SA"/>
    </w:rPr>
  </w:style>
  <w:style w:type="paragraph" w:customStyle="1" w:styleId="9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character" w:customStyle="1" w:styleId="101">
    <w:name w:val="short_text"/>
    <w:basedOn w:val="2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Company>CNIS</Company>
  <Pages>9</Pages>
  <Words>3262</Words>
  <Characters>3735</Characters>
  <Lines>30</Lines>
  <Paragraphs>8</Paragraphs>
  <TotalTime>89</TotalTime>
  <ScaleCrop>false</ScaleCrop>
  <LinksUpToDate>false</LinksUpToDate>
  <CharactersWithSpaces>3895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2004-01-14T00:30:00Z</dcterms:created>
  <dc:creator>cg</dc:creator>
  <cp:lastModifiedBy>AAA</cp:lastModifiedBy>
  <cp:lastPrinted>2024-11-12T06:10:00Z</cp:lastPrinted>
  <dcterms:modified xsi:type="dcterms:W3CDTF">2024-12-02T08:01:37Z</dcterms:modified>
  <dc:title> </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2052-12.1.0.18912</vt:lpwstr>
  </property>
  <property fmtid="{D5CDD505-2E9C-101B-9397-08002B2CF9AE}" pid="4" name="ICV">
    <vt:lpwstr>0FA6362A10B04E85B0C5FA02F8E5B25B_13</vt:lpwstr>
  </property>
</Properties>
</file>