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22345">
      <w:pPr>
        <w:spacing w:before="240" w:line="560" w:lineRule="exact"/>
        <w:rPr>
          <w:rFonts w:ascii="宋体" w:hAnsi="宋体" w:cs="宋体"/>
          <w:b/>
          <w:color w:val="000000"/>
          <w:spacing w:val="11"/>
          <w:kern w:val="21"/>
          <w:sz w:val="28"/>
          <w:szCs w:val="28"/>
        </w:rPr>
      </w:pPr>
      <w:r>
        <w:rPr>
          <w:rFonts w:hint="eastAsia" w:ascii="宋体" w:hAnsi="宋体" w:cs="宋体"/>
          <w:b/>
          <w:color w:val="000000"/>
          <w:spacing w:val="11"/>
          <w:kern w:val="21"/>
          <w:sz w:val="28"/>
          <w:szCs w:val="28"/>
        </w:rPr>
        <w:t>附件5：</w:t>
      </w:r>
    </w:p>
    <w:p w14:paraId="6428AD0B">
      <w:pPr>
        <w:spacing w:before="240" w:line="560" w:lineRule="exact"/>
        <w:jc w:val="center"/>
        <w:rPr>
          <w:rFonts w:eastAsia="方正小标宋简体"/>
          <w:bCs/>
          <w:sz w:val="36"/>
          <w:szCs w:val="36"/>
        </w:rPr>
      </w:pPr>
      <w:r>
        <w:rPr>
          <w:rFonts w:hint="eastAsia" w:eastAsia="方正小标宋简体"/>
          <w:bCs/>
          <w:sz w:val="36"/>
          <w:szCs w:val="36"/>
        </w:rPr>
        <w:t>《“普薯32号”甘薯脱毒种苗繁育技术规范》</w:t>
      </w:r>
    </w:p>
    <w:p w14:paraId="68EDD913">
      <w:pPr>
        <w:spacing w:before="240" w:line="560" w:lineRule="exact"/>
        <w:jc w:val="center"/>
        <w:rPr>
          <w:rFonts w:eastAsia="方正小标宋简体"/>
          <w:bCs/>
          <w:sz w:val="36"/>
          <w:szCs w:val="36"/>
        </w:rPr>
      </w:pPr>
      <w:r>
        <w:rPr>
          <w:rFonts w:hint="eastAsia" w:eastAsia="方正小标宋简体"/>
          <w:bCs/>
          <w:sz w:val="36"/>
          <w:szCs w:val="36"/>
        </w:rPr>
        <w:t>地方标准制定编制说明</w:t>
      </w:r>
    </w:p>
    <w:p w14:paraId="246D9CBB"/>
    <w:p w14:paraId="4CA3A09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一、工作概况</w:t>
      </w:r>
    </w:p>
    <w:p w14:paraId="5A280D5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本标准的任务来源为揭阳市市场监督管理局揭市监标准〔2023〕243号文件《揭阳市市场监督管理局关于批准下达2023年揭阳市地方标准制修订计划项目（第一批）的通知》。</w:t>
      </w:r>
    </w:p>
    <w:p w14:paraId="4F4453C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由普宁市农业科学研究所独立承担。普宁市农业科学研究所现有专业技术人员14人，其中高级职称1人，中级职称2人；专业技术人员理论基础扎实，实践经验丰富，长期在基层一线从事农业技术工作，具有制定标准的能力。成立《“普薯32号”甘薯脱毒种苗繁育技术规范》标准起草编写小组，由冯顺洪任组长，组员钟俊昌、陈嘉玲、谢漫丽、陈晓琼、张松鑫、翁淑芬等成员组成。</w:t>
      </w:r>
    </w:p>
    <w:p w14:paraId="1B9C379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二、立项的必要性</w:t>
      </w:r>
    </w:p>
    <w:p w14:paraId="059A1CE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（一）行业发展现状</w:t>
      </w:r>
    </w:p>
    <w:p w14:paraId="5D61274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自从我国加入WTO以后，甘薯是最有竞争力的农作物之一。甘薯对人体的防癌、抗癌等保健作用，早被国内外研究证实。众多的科学家认为甘薯是21世纪人类最理想的食物。甘薯茎尖被称为蔬菜"皇后"，优质红心食用甘薯、紫色甘薯除具有一般甘薯的防癌、抗癌等保健作用外，富含胡萝卜素、花青素，能消除人体内的有害物质，增加人体抵抗力，是天然的长寿食品。甘薯单位面积的能量的产值显著高于一般作物，是理想的替代能源原料。甘薯具有广阔的开发利用前景。</w:t>
      </w:r>
    </w:p>
    <w:p w14:paraId="3F2C17EC">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普薯32号”（西瓜红）2023年6月入选为国家农业农村部农业主导品种；2021-2024年连续4年被列为广东省农业主导品种；据不完全统计“普薯32号”（西瓜红）2023年在全国推广种植面积在1000万亩以上，基本可以确定是全国推广种植面积最大的甘薯品种；</w:t>
      </w:r>
      <w:r>
        <w:rPr>
          <w:rFonts w:hint="eastAsia" w:ascii="仿宋" w:hAnsi="仿宋" w:eastAsia="仿宋" w:cs="仿宋"/>
          <w:color w:val="auto"/>
          <w:sz w:val="32"/>
          <w:szCs w:val="32"/>
        </w:rPr>
        <w:t>为省第十三次党代会提出的“粤种强芯”做出普宁农科所的应有贡献！</w:t>
      </w:r>
    </w:p>
    <w:p w14:paraId="7B0B0AF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（二）行业发展瓶颈</w:t>
      </w:r>
    </w:p>
    <w:p w14:paraId="0B3320E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地区农业虽有种植甘薯的历史传统，但由于诸多原因，生产上仍存在一些问题：科学管理跟不上，标准化、规范化管理面积少，传统种植及粗种粗管多，致使产量低，市场竟争力弱，经济效益差。特别是种苗问题更是制约农民增收、农业增产的根源问题。种薯种苗使用不当就会出现甘薯品质差，影响商品薯率，直接导致经济效益不好。因此制定适合当前甘薯种苗繁育产业发展的地方标准, 至关重要。</w:t>
      </w:r>
    </w:p>
    <w:p w14:paraId="015DB94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（三）制定该标准的目的与意义</w:t>
      </w:r>
    </w:p>
    <w:p w14:paraId="423D356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本标准能够规范行业关于种苗繁育的技术要求以及试验方法等。编制此标准,规范甘薯种苗繁育市场,促进甘薯种苗繁育标准化及产业进展等方面具有指导意义。</w:t>
      </w:r>
    </w:p>
    <w:p w14:paraId="2BA8E52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三、标准编制原则、标准框架、主要内容及其确定依据</w:t>
      </w:r>
    </w:p>
    <w:p w14:paraId="2771542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（一）标准编制原则、标准框架</w:t>
      </w:r>
    </w:p>
    <w:p w14:paraId="0EA6943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本标准编制的原则是在现行国家及行业颁布的有关标准、规范和法规框架内，充分考虑揭阳市的土壤条件、种苗繁育方式与技术要求，在满足国家和行业标准要求的基础上，兼顾必要性、协调性、规范性、实用性、可操作性、前瞻性的原则，形成适合揭阳特点的地方标准。 </w:t>
      </w:r>
    </w:p>
    <w:p w14:paraId="76AE2DA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“普薯32号”甘薯脱毒种苗繁育技术除遵照本标准外，还应符合现行国家及行业颁布的有关标准、规范和法规。</w:t>
      </w:r>
    </w:p>
    <w:p w14:paraId="1C3F402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（二）主要内容</w:t>
      </w:r>
    </w:p>
    <w:p w14:paraId="6953D0A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该标准主要包括十部分的内容，分别为范围、规范性引用文件、术语和定义、“普薯32号”甘薯脱毒组培苗繁育等十方面的内容，具体如下：</w:t>
      </w:r>
    </w:p>
    <w:p w14:paraId="7F15971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第一部分范围明确了本标准适用于揭阳市甘薯产区“普薯32号”鲜食型甘薯脱毒种苗的生产。</w:t>
      </w:r>
    </w:p>
    <w:p w14:paraId="1A05674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第二部分规范性引用文件注明了本标准所引用的相关规范。</w:t>
      </w:r>
    </w:p>
    <w:p w14:paraId="4AAD847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第三部分术语和定义明确了甘薯健康种苗的定义。</w:t>
      </w:r>
    </w:p>
    <w:p w14:paraId="17EBA31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四部分“普薯32号”甘薯脱毒组培苗繁育介绍了“普薯32号”的品种来源及主要特征特性，并依次说明了组培种苗的选择、茎尖材料准备、卫生要求、组培苗培育、组培苗病毒检测及脱毒组培苗扩繁等处理要求。</w:t>
      </w:r>
    </w:p>
    <w:p w14:paraId="55C961A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第五部分温网室繁育介绍了苗圃准备、移栽时间、脱毒组培苗准备、脱毒组培苗移栽、表型鉴定及温网室管理等繁育步骤。</w:t>
      </w:r>
    </w:p>
    <w:p w14:paraId="4ED4C8D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第六部分脱毒种苗大田扩繁详细说明了原原种苗、原种苗、脱毒种薯、种薯贮藏、质量控制等扩繁要求。</w:t>
      </w:r>
    </w:p>
    <w:p w14:paraId="64C3870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第七部分脱毒健康种苗繁育详细说明了种薯准备、种苗繁育、假植扩繁的操作要求。</w:t>
      </w:r>
    </w:p>
    <w:p w14:paraId="43D8C8F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第八部分采苗介绍了适宜采摘进行大田种植的种苗条件及采摘要求。</w:t>
      </w:r>
    </w:p>
    <w:p w14:paraId="39EFC13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第九部分种苗运输介绍了种苗运输的方法及检疫要求。</w:t>
      </w:r>
    </w:p>
    <w:p w14:paraId="3E470CA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第十部分种苗管理档案明确了建立健全种苗管理档案的要求。</w:t>
      </w:r>
    </w:p>
    <w:p w14:paraId="34FA436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（三）标准确定依据</w:t>
      </w:r>
    </w:p>
    <w:p w14:paraId="1C93DEA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农业种植业、甘薯生产行业的相关规范均是编制标准的基础和依据。</w:t>
      </w:r>
    </w:p>
    <w:p w14:paraId="5256A8F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主要参考了以下文件，下列文件中的内容通过文中的规范性引用而构成本文件必不可少的条款。其中，注日期的引用文件，仅该日期对应的版本适用于本文件；不注日期的引用文件，其最新版本（包括所有的修改单）适用于本文件。</w:t>
      </w:r>
    </w:p>
    <w:p w14:paraId="3851496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GB 7413-2009  甘薯种苗产地检疫规程</w:t>
      </w:r>
    </w:p>
    <w:p w14:paraId="6C96429F">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402-2016 脱毒甘薯种薯(苗)病毒检测技术规程</w:t>
      </w:r>
    </w:p>
    <w:p w14:paraId="762031F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1200-2006  甘薯脱毒种薯</w:t>
      </w:r>
    </w:p>
    <w:p w14:paraId="591657A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2789-2015  薯类贮藏技术规范</w:t>
      </w:r>
    </w:p>
    <w:p w14:paraId="15F4E27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3537-2020  甘薯脱毒种薯(苗)生产技术规范</w:t>
      </w:r>
    </w:p>
    <w:p w14:paraId="5660A31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DB 44/T 1803-2016  下录甘薯生产技术规程</w:t>
      </w:r>
    </w:p>
    <w:p w14:paraId="7D1B5E5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四、与现行法律法规、强制性标准等上位标准关系</w:t>
      </w:r>
    </w:p>
    <w:p w14:paraId="4AA351A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本标准制定的法律依据是《中华人民共和国标准化法》、《中华人民共和国标准化法实施条例》、GB/T 1.1-2020《标准化工作导则 第1部分：标准化文件的结构和起草规则》的有关规定进行起草编写。</w:t>
      </w:r>
    </w:p>
    <w:p w14:paraId="36F1096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以国家法律法规、行业地方标准为依托，在不违背国家、行业地方标准的前提下，作为国家法律法规、国家标准和地方性法规的技术支撑标准，是法律法规、国家标准条款的分解和具体化，具有更强的针对性、操作性和实用性。</w:t>
      </w:r>
    </w:p>
    <w:p w14:paraId="4567F36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五、标准的先进性或特色性</w:t>
      </w:r>
    </w:p>
    <w:p w14:paraId="1AB8500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深入贯彻党中央关于树立大食物观、保障粮食安全的战略，深入推进“百县千镇万村高质量发展工程”，助力落实国家新一轮千亿斤粮食产能提升行动，普宁市农业科学研究所以构建甘薯产业高质量发展格局，落实省委“1310”具体部署为发展定位，积极响应揭阳市市场监督管理局揭市监标准〔2023〕243号文件《揭阳市市场监督管理局关于批准下达2023年揭阳市地方标准制修订计划项目（第一批）的通知》，制定适用于揭阳甘薯产区的“普薯32号”甘薯脱毒种苗繁育技术规范，以满足揭阳市内甘薯产业种苗繁育需求。</w:t>
      </w:r>
    </w:p>
    <w:p w14:paraId="73EFCB0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六、标准调研、研讨、征求意见情况</w:t>
      </w:r>
    </w:p>
    <w:p w14:paraId="5AB1E1A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本标准制定过程严格按照征求意见所需程序进行意见征求，具体如下：</w:t>
      </w:r>
    </w:p>
    <w:p w14:paraId="09CDDE7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征求意见的单位包括有关行政主管部门、企业事业单位、科研机构及行业技术专家等</w:t>
      </w:r>
      <w:r>
        <w:rPr>
          <w:rFonts w:hint="eastAsia" w:ascii="仿宋" w:hAnsi="仿宋" w:eastAsia="仿宋" w:cs="仿宋"/>
          <w:sz w:val="32"/>
          <w:szCs w:val="32"/>
          <w:lang w:val="en-US" w:eastAsia="zh-CN"/>
        </w:rPr>
        <w:t>共23个</w:t>
      </w:r>
      <w:r>
        <w:rPr>
          <w:rFonts w:hint="eastAsia" w:ascii="仿宋" w:hAnsi="仿宋" w:eastAsia="仿宋" w:cs="仿宋"/>
          <w:sz w:val="32"/>
          <w:szCs w:val="32"/>
        </w:rPr>
        <w:t>；征求意见期限</w:t>
      </w:r>
      <w:r>
        <w:rPr>
          <w:rFonts w:hint="eastAsia" w:ascii="仿宋" w:hAnsi="仿宋" w:eastAsia="仿宋" w:cs="仿宋"/>
          <w:sz w:val="32"/>
          <w:szCs w:val="32"/>
          <w:lang w:val="en-US" w:eastAsia="zh-CN"/>
        </w:rPr>
        <w:t>为</w:t>
      </w:r>
      <w:r>
        <w:rPr>
          <w:rFonts w:hint="eastAsia" w:ascii="仿宋" w:hAnsi="仿宋" w:eastAsia="仿宋" w:cs="仿宋"/>
          <w:sz w:val="32"/>
          <w:szCs w:val="32"/>
        </w:rPr>
        <w:t>三十</w:t>
      </w:r>
      <w:r>
        <w:rPr>
          <w:rFonts w:hint="eastAsia" w:ascii="仿宋" w:hAnsi="仿宋" w:eastAsia="仿宋" w:cs="仿宋"/>
          <w:sz w:val="32"/>
          <w:szCs w:val="32"/>
          <w:lang w:val="en-US" w:eastAsia="zh-CN"/>
        </w:rPr>
        <w:t>天</w:t>
      </w:r>
      <w:r>
        <w:rPr>
          <w:rFonts w:hint="eastAsia" w:ascii="仿宋" w:hAnsi="仿宋" w:eastAsia="仿宋" w:cs="仿宋"/>
          <w:sz w:val="32"/>
          <w:szCs w:val="32"/>
        </w:rPr>
        <w:t>；征求意见的材料包括征求意见函、标准征求意见稿及《征求意见反馈表》等必需材料；征求意见结束后，整理反馈意见并形成《征求意见汇总处理表》；根据各方意见修改完善</w:t>
      </w:r>
      <w:r>
        <w:rPr>
          <w:rFonts w:hint="eastAsia" w:ascii="仿宋" w:hAnsi="仿宋" w:eastAsia="仿宋" w:cs="仿宋"/>
          <w:sz w:val="32"/>
          <w:szCs w:val="32"/>
        </w:rPr>
        <w:t>形成标准送审稿，连同编制说明、意见处理情况等材料一并报有关行政主管部门技术审查。</w:t>
      </w:r>
    </w:p>
    <w:p w14:paraId="2EA01F44">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w:t>
      </w:r>
      <w:r>
        <w:rPr>
          <w:rFonts w:hint="eastAsia" w:ascii="仿宋" w:hAnsi="仿宋" w:eastAsia="仿宋" w:cs="仿宋"/>
          <w:sz w:val="32"/>
          <w:szCs w:val="32"/>
        </w:rPr>
        <w:t>《征求意见汇总处理表》</w:t>
      </w:r>
      <w:r>
        <w:rPr>
          <w:rFonts w:hint="eastAsia" w:ascii="仿宋" w:hAnsi="仿宋" w:eastAsia="仿宋" w:cs="仿宋"/>
          <w:sz w:val="32"/>
          <w:szCs w:val="32"/>
          <w:lang w:val="en-US" w:eastAsia="zh-CN"/>
        </w:rPr>
        <w:t>有关情况说明如下：</w:t>
      </w:r>
    </w:p>
    <w:p w14:paraId="279894AD">
      <w:pPr>
        <w:rPr>
          <w:rFonts w:hint="eastAsia" w:ascii="仿宋" w:hAnsi="仿宋" w:eastAsia="仿宋" w:cs="仿宋"/>
          <w:sz w:val="32"/>
          <w:szCs w:val="32"/>
        </w:rPr>
      </w:pPr>
      <w:r>
        <w:rPr>
          <w:rFonts w:hint="eastAsia" w:ascii="仿宋" w:hAnsi="仿宋" w:eastAsia="仿宋" w:cs="仿宋"/>
          <w:sz w:val="32"/>
          <w:szCs w:val="32"/>
        </w:rPr>
        <w:t>（1)发送“征求意见稿”单位数: 2</w:t>
      </w:r>
      <w:r>
        <w:rPr>
          <w:rFonts w:hint="eastAsia" w:ascii="仿宋" w:hAnsi="仿宋" w:eastAsia="仿宋" w:cs="仿宋"/>
          <w:sz w:val="32"/>
          <w:szCs w:val="32"/>
          <w:lang w:val="en-US" w:eastAsia="zh-CN"/>
        </w:rPr>
        <w:t>3</w:t>
      </w:r>
      <w:r>
        <w:rPr>
          <w:rFonts w:hint="eastAsia" w:ascii="仿宋" w:hAnsi="仿宋" w:eastAsia="仿宋" w:cs="仿宋"/>
          <w:sz w:val="32"/>
          <w:szCs w:val="32"/>
        </w:rPr>
        <w:t>个。</w:t>
      </w:r>
    </w:p>
    <w:p w14:paraId="238C7629">
      <w:pPr>
        <w:rPr>
          <w:rFonts w:hint="eastAsia" w:ascii="仿宋" w:hAnsi="仿宋" w:eastAsia="仿宋" w:cs="仿宋"/>
          <w:sz w:val="32"/>
          <w:szCs w:val="32"/>
        </w:rPr>
      </w:pPr>
      <w:r>
        <w:rPr>
          <w:rFonts w:hint="eastAsia" w:ascii="仿宋" w:hAnsi="仿宋" w:eastAsia="仿宋" w:cs="仿宋"/>
          <w:sz w:val="32"/>
          <w:szCs w:val="32"/>
        </w:rPr>
        <w:t>(2)收到“征求意见稿”后，回函的单位数：</w:t>
      </w:r>
      <w:r>
        <w:rPr>
          <w:rFonts w:hint="eastAsia" w:ascii="仿宋" w:hAnsi="仿宋" w:eastAsia="仿宋" w:cs="仿宋"/>
          <w:sz w:val="32"/>
          <w:szCs w:val="32"/>
          <w:lang w:val="en-US" w:eastAsia="zh-CN"/>
        </w:rPr>
        <w:t>19</w:t>
      </w:r>
      <w:r>
        <w:rPr>
          <w:rFonts w:hint="eastAsia" w:ascii="仿宋" w:hAnsi="仿宋" w:eastAsia="仿宋" w:cs="仿宋"/>
          <w:sz w:val="32"/>
          <w:szCs w:val="32"/>
        </w:rPr>
        <w:t xml:space="preserve"> 个，没有回函的单位数：</w:t>
      </w:r>
      <w:r>
        <w:rPr>
          <w:rFonts w:hint="eastAsia" w:ascii="仿宋" w:hAnsi="仿宋" w:eastAsia="仿宋" w:cs="仿宋"/>
          <w:sz w:val="32"/>
          <w:szCs w:val="32"/>
          <w:lang w:val="en-US" w:eastAsia="zh-CN"/>
        </w:rPr>
        <w:t>4</w:t>
      </w:r>
      <w:r>
        <w:rPr>
          <w:rFonts w:hint="eastAsia" w:ascii="仿宋" w:hAnsi="仿宋" w:eastAsia="仿宋" w:cs="仿宋"/>
          <w:sz w:val="32"/>
          <w:szCs w:val="32"/>
        </w:rPr>
        <w:t>个。</w:t>
      </w:r>
    </w:p>
    <w:p w14:paraId="5E9DB70B">
      <w:pPr>
        <w:rPr>
          <w:rFonts w:hint="eastAsia" w:ascii="仿宋" w:hAnsi="仿宋" w:eastAsia="仿宋" w:cs="仿宋"/>
          <w:sz w:val="32"/>
          <w:szCs w:val="32"/>
        </w:rPr>
      </w:pPr>
      <w:r>
        <w:rPr>
          <w:rFonts w:hint="eastAsia" w:ascii="仿宋" w:hAnsi="仿宋" w:eastAsia="仿宋" w:cs="仿宋"/>
          <w:sz w:val="32"/>
          <w:szCs w:val="32"/>
        </w:rPr>
        <w:t>(3)回函的单位中，有意见和建议的单位数：</w:t>
      </w:r>
      <w:r>
        <w:rPr>
          <w:rFonts w:hint="eastAsia" w:ascii="仿宋" w:hAnsi="仿宋" w:eastAsia="仿宋" w:cs="仿宋"/>
          <w:sz w:val="32"/>
          <w:szCs w:val="32"/>
          <w:lang w:val="en-US" w:eastAsia="zh-CN"/>
        </w:rPr>
        <w:t>6</w:t>
      </w:r>
      <w:r>
        <w:rPr>
          <w:rFonts w:hint="eastAsia" w:ascii="仿宋" w:hAnsi="仿宋" w:eastAsia="仿宋" w:cs="仿宋"/>
          <w:sz w:val="32"/>
          <w:szCs w:val="32"/>
        </w:rPr>
        <w:t>个，无意见的单位数：</w:t>
      </w:r>
      <w:r>
        <w:rPr>
          <w:rFonts w:hint="eastAsia" w:ascii="仿宋" w:hAnsi="仿宋" w:eastAsia="仿宋" w:cs="仿宋"/>
          <w:sz w:val="32"/>
          <w:szCs w:val="32"/>
          <w:lang w:val="en-US" w:eastAsia="zh-CN"/>
        </w:rPr>
        <w:t>13</w:t>
      </w:r>
      <w:r>
        <w:rPr>
          <w:rFonts w:hint="eastAsia" w:ascii="仿宋" w:hAnsi="仿宋" w:eastAsia="仿宋" w:cs="仿宋"/>
          <w:sz w:val="32"/>
          <w:szCs w:val="32"/>
        </w:rPr>
        <w:t>个。</w:t>
      </w:r>
    </w:p>
    <w:p w14:paraId="6B5CBEBF">
      <w:pPr>
        <w:rPr>
          <w:rFonts w:hint="eastAsia" w:ascii="仿宋" w:hAnsi="仿宋" w:eastAsia="仿宋" w:cs="仿宋"/>
          <w:sz w:val="32"/>
          <w:szCs w:val="32"/>
        </w:rPr>
      </w:pPr>
      <w:r>
        <w:rPr>
          <w:rFonts w:hint="eastAsia" w:ascii="仿宋" w:hAnsi="仿宋" w:eastAsia="仿宋" w:cs="仿宋"/>
          <w:sz w:val="32"/>
          <w:szCs w:val="32"/>
        </w:rPr>
        <w:t>(4)回函的建议或意见数</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26</w:t>
      </w:r>
      <w:r>
        <w:rPr>
          <w:rFonts w:hint="eastAsia" w:ascii="仿宋" w:hAnsi="仿宋" w:eastAsia="仿宋" w:cs="仿宋"/>
          <w:sz w:val="32"/>
          <w:szCs w:val="32"/>
        </w:rPr>
        <w:t>条;其中采纳数：</w:t>
      </w:r>
      <w:r>
        <w:rPr>
          <w:rFonts w:hint="eastAsia" w:ascii="仿宋" w:hAnsi="仿宋" w:eastAsia="仿宋" w:cs="仿宋"/>
          <w:sz w:val="32"/>
          <w:szCs w:val="32"/>
          <w:lang w:val="en-US" w:eastAsia="zh-CN"/>
        </w:rPr>
        <w:t>26</w:t>
      </w:r>
      <w:r>
        <w:rPr>
          <w:rFonts w:hint="eastAsia" w:ascii="仿宋" w:hAnsi="仿宋" w:eastAsia="仿宋" w:cs="仿宋"/>
          <w:sz w:val="32"/>
          <w:szCs w:val="32"/>
        </w:rPr>
        <w:t xml:space="preserve"> 条，部分采纳数：</w:t>
      </w:r>
      <w:r>
        <w:rPr>
          <w:rFonts w:hint="eastAsia" w:ascii="仿宋" w:hAnsi="仿宋" w:eastAsia="仿宋" w:cs="仿宋"/>
          <w:sz w:val="32"/>
          <w:szCs w:val="32"/>
          <w:lang w:val="en-US" w:eastAsia="zh-CN"/>
        </w:rPr>
        <w:t>0</w:t>
      </w:r>
      <w:r>
        <w:rPr>
          <w:rFonts w:hint="eastAsia" w:ascii="仿宋" w:hAnsi="仿宋" w:eastAsia="仿宋" w:cs="仿宋"/>
          <w:sz w:val="32"/>
          <w:szCs w:val="32"/>
        </w:rPr>
        <w:t>条，不采纳数：</w:t>
      </w:r>
      <w:r>
        <w:rPr>
          <w:rFonts w:hint="eastAsia" w:ascii="仿宋" w:hAnsi="仿宋" w:eastAsia="仿宋" w:cs="仿宋"/>
          <w:sz w:val="32"/>
          <w:szCs w:val="32"/>
          <w:lang w:val="en-US" w:eastAsia="zh-CN"/>
        </w:rPr>
        <w:t>0</w:t>
      </w:r>
      <w:r>
        <w:rPr>
          <w:rFonts w:hint="eastAsia" w:ascii="仿宋" w:hAnsi="仿宋" w:eastAsia="仿宋" w:cs="仿宋"/>
          <w:sz w:val="32"/>
          <w:szCs w:val="32"/>
        </w:rPr>
        <w:t>条。</w:t>
      </w:r>
    </w:p>
    <w:p w14:paraId="34E8E89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本标准在调研、研讨、征求意见期间无发生重大分歧意见。</w:t>
      </w:r>
    </w:p>
    <w:p w14:paraId="0EC2817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七、技术指标设置的科学性和可行性</w:t>
      </w:r>
    </w:p>
    <w:p w14:paraId="74DFF44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本标准起草编写小组先后查阅了</w:t>
      </w:r>
      <w:r>
        <w:rPr>
          <w:rFonts w:hint="eastAsia" w:ascii="仿宋" w:hAnsi="仿宋" w:eastAsia="仿宋" w:cs="仿宋"/>
          <w:sz w:val="30"/>
          <w:szCs w:val="30"/>
        </w:rPr>
        <w:t>现行甘薯种薯种苗质量标准、甘薯种苗病毒病检测、农药的安全使用、甘薯种苗产地检疫、病虫草害防治等有关资料；</w:t>
      </w:r>
      <w:r>
        <w:rPr>
          <w:rFonts w:hint="eastAsia" w:ascii="仿宋" w:hAnsi="仿宋" w:eastAsia="仿宋" w:cs="仿宋"/>
          <w:sz w:val="32"/>
          <w:szCs w:val="32"/>
        </w:rPr>
        <w:t>并查阅了相关国家标准和行业标准。在大量实践和调研的基础上,经历反复验证和修改，经过征询国内甘薯专家及有实践经验的技术人员的意见，形成了本标准的修订稿。</w:t>
      </w:r>
    </w:p>
    <w:p w14:paraId="483BEDB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八、采标程度及与同类标准水平的对比情况</w:t>
      </w:r>
    </w:p>
    <w:p w14:paraId="779BCD6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目前国家层面尚无针对“普薯32号”甘薯脱毒种苗繁育技术的相关法律法规和技术规范。</w:t>
      </w:r>
    </w:p>
    <w:p w14:paraId="7359589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主要结合地区甘薯脱毒种苗繁育技术与生产经验，介绍了“普薯32号”的品种来源及主要特征特性，并依次详细说明了“普薯32号”脱毒组培苗繁育、温网室繁育、脱毒种苗大田扩繁、脱毒健康种苗繁育等方面的处理方法，另外，介绍了适宜采摘进行大田种植的种苗条件及采摘要求、种苗运输的方法及检疫要求，并明确了建立健全种苗管理档案的要求。</w:t>
      </w:r>
    </w:p>
    <w:p w14:paraId="2523104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因此，本标准的编制是创新性编制，填补了国内相关标准的空白，也不会与其他标准产生冲突。同时，本标准的编制能够对“普薯32号”甘薯脱毒种苗繁育技术给予有效的规范和指导。</w:t>
      </w:r>
    </w:p>
    <w:p w14:paraId="56EC29C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九、涉及专利的有关说明</w:t>
      </w:r>
    </w:p>
    <w:p w14:paraId="539AD72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本标准不涉及专利技术。</w:t>
      </w:r>
    </w:p>
    <w:p w14:paraId="2A67A86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十、报批阶段应补充专家技术审查会情况</w:t>
      </w:r>
    </w:p>
    <w:p w14:paraId="76D546F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本标准于2024年11月29日邀请七位专家参加技术审查会，专家们共提出九条意见，采纳意见九条，全部已修改。</w:t>
      </w:r>
    </w:p>
    <w:p w14:paraId="51619DE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十一、贯彻地方标准的要求，以及组织措施、技术措施、过渡期和实施日期等建议</w:t>
      </w:r>
    </w:p>
    <w:p w14:paraId="18B71187">
      <w:pPr>
        <w:ind w:firstLine="600" w:firstLineChars="200"/>
        <w:jc w:val="left"/>
        <w:rPr>
          <w:rFonts w:hint="eastAsia" w:ascii="仿宋" w:hAnsi="仿宋" w:eastAsia="仿宋" w:cs="仿宋"/>
          <w:sz w:val="30"/>
          <w:szCs w:val="30"/>
        </w:rPr>
      </w:pPr>
      <w:r>
        <w:rPr>
          <w:rFonts w:hint="eastAsia" w:ascii="仿宋" w:hAnsi="仿宋" w:eastAsia="仿宋" w:cs="仿宋"/>
          <w:sz w:val="30"/>
          <w:szCs w:val="30"/>
        </w:rPr>
        <w:t>生产、销售普薯32号（西瓜红）种苗的单位或个人要严格执行《</w:t>
      </w:r>
      <w:r>
        <w:rPr>
          <w:rFonts w:hint="eastAsia" w:ascii="仿宋" w:hAnsi="仿宋" w:eastAsia="仿宋" w:cs="仿宋"/>
          <w:bCs/>
          <w:color w:val="434343"/>
          <w:kern w:val="0"/>
          <w:sz w:val="30"/>
          <w:szCs w:val="30"/>
        </w:rPr>
        <w:t>“普薯32号”甘薯脱毒种苗繁育技术规范</w:t>
      </w:r>
      <w:r>
        <w:rPr>
          <w:rFonts w:hint="eastAsia" w:ascii="仿宋" w:hAnsi="仿宋" w:eastAsia="仿宋" w:cs="仿宋"/>
          <w:sz w:val="30"/>
          <w:szCs w:val="30"/>
        </w:rPr>
        <w:t>》标准。通过科技三下乡活动、农技直通车活动、举办培训班、讲座等形式进行宣传贯彻本标准。</w:t>
      </w:r>
    </w:p>
    <w:p w14:paraId="75B33A50">
      <w:pPr>
        <w:spacing w:line="560" w:lineRule="exact"/>
        <w:ind w:firstLine="640" w:firstLineChars="200"/>
        <w:rPr>
          <w:rFonts w:hint="eastAsia" w:ascii="仿宋" w:hAnsi="仿宋" w:eastAsia="仿宋" w:cs="仿宋"/>
          <w:sz w:val="32"/>
          <w:szCs w:val="32"/>
        </w:rPr>
      </w:pPr>
    </w:p>
    <w:p w14:paraId="425C2610">
      <w:pPr>
        <w:spacing w:line="560" w:lineRule="exact"/>
        <w:ind w:firstLine="640" w:firstLineChars="200"/>
        <w:rPr>
          <w:rFonts w:hint="eastAsia" w:ascii="仿宋" w:hAnsi="仿宋" w:eastAsia="仿宋" w:cs="仿宋"/>
          <w:sz w:val="32"/>
          <w:szCs w:val="32"/>
        </w:rPr>
      </w:pPr>
    </w:p>
    <w:p w14:paraId="25582FDE">
      <w:pPr>
        <w:wordWrap w:val="0"/>
        <w:spacing w:before="240"/>
        <w:ind w:firstLine="600" w:firstLineChars="200"/>
        <w:jc w:val="both"/>
        <w:rPr>
          <w:rFonts w:hint="eastAsia" w:ascii="仿宋" w:hAnsi="仿宋" w:eastAsia="仿宋" w:cs="仿宋"/>
          <w:sz w:val="30"/>
          <w:szCs w:val="30"/>
        </w:rPr>
      </w:pPr>
      <w:bookmarkStart w:id="0" w:name="_GoBack"/>
      <w:bookmarkEnd w:id="0"/>
      <w:r>
        <w:rPr>
          <w:rFonts w:hint="eastAsia" w:ascii="仿宋" w:hAnsi="仿宋" w:eastAsia="仿宋" w:cs="仿宋"/>
          <w:sz w:val="30"/>
          <w:szCs w:val="30"/>
        </w:rPr>
        <w:t>《</w:t>
      </w:r>
      <w:r>
        <w:rPr>
          <w:rFonts w:hint="eastAsia" w:ascii="仿宋" w:hAnsi="仿宋" w:eastAsia="仿宋" w:cs="仿宋"/>
          <w:bCs/>
          <w:color w:val="434343"/>
          <w:kern w:val="0"/>
          <w:sz w:val="30"/>
          <w:szCs w:val="30"/>
        </w:rPr>
        <w:t>“普薯32号”甘薯脱毒种苗繁育技术规范</w:t>
      </w:r>
      <w:r>
        <w:rPr>
          <w:rFonts w:hint="eastAsia" w:ascii="仿宋" w:hAnsi="仿宋" w:eastAsia="仿宋" w:cs="仿宋"/>
          <w:sz w:val="30"/>
          <w:szCs w:val="30"/>
        </w:rPr>
        <w:t>》</w:t>
      </w:r>
      <w:r>
        <w:rPr>
          <w:rFonts w:hint="eastAsia" w:ascii="仿宋" w:hAnsi="仿宋" w:eastAsia="仿宋" w:cs="仿宋"/>
          <w:bCs/>
          <w:color w:val="000000"/>
          <w:sz w:val="30"/>
          <w:szCs w:val="30"/>
        </w:rPr>
        <w:t xml:space="preserve">起草小组  </w:t>
      </w:r>
    </w:p>
    <w:p w14:paraId="74CC6198">
      <w:pPr>
        <w:wordWrap w:val="0"/>
        <w:jc w:val="center"/>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2024年</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9</w:t>
      </w:r>
      <w:r>
        <w:rPr>
          <w:rFonts w:hint="eastAsia" w:ascii="仿宋" w:hAnsi="仿宋" w:eastAsia="仿宋" w:cs="仿宋"/>
          <w:sz w:val="30"/>
          <w:szCs w:val="30"/>
        </w:rPr>
        <w:t xml:space="preserve">日  </w:t>
      </w:r>
    </w:p>
    <w:p w14:paraId="529FC95C">
      <w:pPr>
        <w:rPr>
          <w:rFonts w:hint="eastAsia" w:ascii="仿宋" w:hAnsi="仿宋" w:eastAsia="仿宋" w:cs="仿宋"/>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742"/>
    <w:rsid w:val="001A37D8"/>
    <w:rsid w:val="00224AEE"/>
    <w:rsid w:val="00283730"/>
    <w:rsid w:val="0030663B"/>
    <w:rsid w:val="00306930"/>
    <w:rsid w:val="00393742"/>
    <w:rsid w:val="003C1AFB"/>
    <w:rsid w:val="00561CD3"/>
    <w:rsid w:val="006D3942"/>
    <w:rsid w:val="008173BF"/>
    <w:rsid w:val="00832395"/>
    <w:rsid w:val="00872A22"/>
    <w:rsid w:val="008D7C4E"/>
    <w:rsid w:val="009113CA"/>
    <w:rsid w:val="009C320B"/>
    <w:rsid w:val="00A40C84"/>
    <w:rsid w:val="00C27EBA"/>
    <w:rsid w:val="00E96477"/>
    <w:rsid w:val="00FC2BB7"/>
    <w:rsid w:val="00FF114E"/>
    <w:rsid w:val="0C434FF4"/>
    <w:rsid w:val="1601648D"/>
    <w:rsid w:val="19BD63E6"/>
    <w:rsid w:val="204752C1"/>
    <w:rsid w:val="2ADC0696"/>
    <w:rsid w:val="2D767248"/>
    <w:rsid w:val="3F7A2500"/>
    <w:rsid w:val="49C95300"/>
    <w:rsid w:val="6AAC5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link w:val="11"/>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2"/>
    <w:semiHidden/>
    <w:unhideWhenUsed/>
    <w:uiPriority w:val="99"/>
    <w:pPr>
      <w:spacing w:after="120"/>
      <w:ind w:left="420" w:leftChars="2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tabs>
        <w:tab w:val="center" w:pos="4153"/>
        <w:tab w:val="right" w:pos="8306"/>
      </w:tabs>
      <w:snapToGrid w:val="0"/>
      <w:jc w:val="center"/>
    </w:pPr>
    <w:rPr>
      <w:sz w:val="18"/>
      <w:szCs w:val="18"/>
    </w:rPr>
  </w:style>
  <w:style w:type="paragraph" w:styleId="6">
    <w:name w:val="Body Text First Indent 2"/>
    <w:basedOn w:val="3"/>
    <w:link w:val="13"/>
    <w:qFormat/>
    <w:uiPriority w:val="0"/>
    <w:pPr>
      <w:ind w:left="0" w:firstLine="420" w:firstLineChars="200"/>
    </w:p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3 字符"/>
    <w:basedOn w:val="8"/>
    <w:link w:val="2"/>
    <w:semiHidden/>
    <w:qFormat/>
    <w:uiPriority w:val="9"/>
    <w:rPr>
      <w:rFonts w:ascii="Times New Roman" w:hAnsi="Times New Roman" w:eastAsia="宋体" w:cs="Times New Roman"/>
      <w:b/>
      <w:bCs/>
      <w:sz w:val="32"/>
      <w:szCs w:val="32"/>
    </w:rPr>
  </w:style>
  <w:style w:type="character" w:customStyle="1" w:styleId="12">
    <w:name w:val="正文文本缩进 字符"/>
    <w:basedOn w:val="8"/>
    <w:link w:val="3"/>
    <w:semiHidden/>
    <w:qFormat/>
    <w:uiPriority w:val="99"/>
    <w:rPr>
      <w:rFonts w:ascii="Times New Roman" w:hAnsi="Times New Roman" w:eastAsia="宋体" w:cs="Times New Roman"/>
      <w:szCs w:val="20"/>
    </w:rPr>
  </w:style>
  <w:style w:type="character" w:customStyle="1" w:styleId="13">
    <w:name w:val="正文文本首行缩进 2 字符"/>
    <w:basedOn w:val="12"/>
    <w:link w:val="6"/>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3179</Words>
  <Characters>3314</Characters>
  <Lines>24</Lines>
  <Paragraphs>6</Paragraphs>
  <TotalTime>0</TotalTime>
  <ScaleCrop>false</ScaleCrop>
  <LinksUpToDate>false</LinksUpToDate>
  <CharactersWithSpaces>3340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2024-07-09T13:23:00Z</dcterms:created>
  <dc:creator>594683596@qq.com</dc:creator>
  <cp:lastModifiedBy>AAA</cp:lastModifiedBy>
  <dcterms:modified xsi:type="dcterms:W3CDTF">2024-12-09T06:09:31Z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0F7F56B4406E41C5B73B950FA036A3B5_13</vt:lpwstr>
  </property>
</Properties>
</file>