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A5CA8">
      <w:pPr>
        <w:keepNext w:val="0"/>
        <w:keepLines w:val="0"/>
        <w:pageBreakBefore w:val="0"/>
        <w:widowControl/>
        <w:kinsoku w:val="0"/>
        <w:wordWrap/>
        <w:overflowPunct/>
        <w:topLinePunct w:val="0"/>
        <w:autoSpaceDE w:val="0"/>
        <w:autoSpaceDN w:val="0"/>
        <w:bidi w:val="0"/>
        <w:adjustRightInd w:val="0"/>
        <w:snapToGrid w:val="0"/>
        <w:spacing w:before="169" w:line="800" w:lineRule="exact"/>
        <w:jc w:val="center"/>
        <w:textAlignment w:val="baseline"/>
        <w:rPr>
          <w:rFonts w:hint="eastAsia" w:ascii="黑体" w:hAnsi="黑体" w:eastAsia="黑体" w:cs="黑体"/>
          <w:sz w:val="48"/>
          <w:szCs w:val="48"/>
        </w:rPr>
      </w:pPr>
      <w:r>
        <w:rPr>
          <w:rFonts w:hint="eastAsia" w:ascii="黑体" w:hAnsi="黑体" w:eastAsia="黑体" w:cs="黑体"/>
          <w:spacing w:val="-4"/>
          <w:sz w:val="48"/>
          <w:szCs w:val="48"/>
          <w:lang w:val="en-US" w:eastAsia="zh-CN"/>
        </w:rPr>
        <w:t>揭阳市</w:t>
      </w:r>
      <w:r>
        <w:rPr>
          <w:rFonts w:hint="eastAsia" w:ascii="黑体" w:hAnsi="黑体" w:eastAsia="黑体" w:cs="黑体"/>
          <w:spacing w:val="-2"/>
          <w:sz w:val="48"/>
          <w:szCs w:val="48"/>
        </w:rPr>
        <w:t>地方标准</w:t>
      </w:r>
    </w:p>
    <w:p w14:paraId="0B5B7368">
      <w:pPr>
        <w:keepNext w:val="0"/>
        <w:keepLines w:val="0"/>
        <w:pageBreakBefore w:val="0"/>
        <w:widowControl/>
        <w:kinsoku w:val="0"/>
        <w:wordWrap/>
        <w:overflowPunct/>
        <w:topLinePunct w:val="0"/>
        <w:autoSpaceDE w:val="0"/>
        <w:autoSpaceDN w:val="0"/>
        <w:bidi w:val="0"/>
        <w:adjustRightInd w:val="0"/>
        <w:snapToGrid w:val="0"/>
        <w:spacing w:before="114" w:line="800" w:lineRule="exact"/>
        <w:jc w:val="center"/>
        <w:textAlignment w:val="baseline"/>
        <w:outlineLvl w:val="0"/>
        <w:rPr>
          <w:rFonts w:ascii="黑体" w:hAnsi="黑体" w:eastAsia="黑体" w:cs="黑体"/>
          <w:spacing w:val="12"/>
          <w:sz w:val="44"/>
          <w:szCs w:val="44"/>
        </w:rPr>
      </w:pPr>
      <w:r>
        <w:rPr>
          <w:rFonts w:hint="eastAsia" w:ascii="黑体" w:hAnsi="黑体" w:eastAsia="黑体" w:cs="黑体"/>
          <w:spacing w:val="12"/>
          <w:sz w:val="44"/>
          <w:szCs w:val="44"/>
        </w:rPr>
        <w:t>《电动自行车停放充电场所消防安全</w:t>
      </w:r>
      <w:r>
        <w:rPr>
          <w:rFonts w:hint="eastAsia" w:ascii="黑体" w:hAnsi="黑体" w:eastAsia="黑体" w:cs="黑体"/>
          <w:spacing w:val="12"/>
          <w:sz w:val="44"/>
          <w:szCs w:val="44"/>
          <w:lang w:eastAsia="zh-CN"/>
        </w:rPr>
        <w:t>规范</w:t>
      </w:r>
      <w:r>
        <w:rPr>
          <w:rFonts w:hint="eastAsia" w:ascii="黑体" w:hAnsi="黑体" w:eastAsia="黑体" w:cs="黑体"/>
          <w:spacing w:val="12"/>
          <w:sz w:val="44"/>
          <w:szCs w:val="44"/>
        </w:rPr>
        <w:t>》</w:t>
      </w:r>
    </w:p>
    <w:p w14:paraId="2869CFBF">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黑体" w:hAnsi="黑体" w:eastAsia="黑体" w:cs="黑体"/>
          <w:sz w:val="44"/>
          <w:szCs w:val="44"/>
          <w:lang w:eastAsia="zh-CN"/>
        </w:rPr>
      </w:pPr>
      <w:r>
        <w:rPr>
          <w:rFonts w:hint="eastAsia" w:ascii="黑体" w:hAnsi="黑体" w:eastAsia="黑体" w:cs="黑体"/>
          <w:sz w:val="44"/>
          <w:szCs w:val="44"/>
          <w:lang w:eastAsia="zh-CN"/>
        </w:rPr>
        <w:t>（报批稿）</w:t>
      </w:r>
    </w:p>
    <w:p w14:paraId="307101A9">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黑体" w:hAnsi="黑体" w:eastAsia="黑体" w:cs="黑体"/>
          <w:sz w:val="44"/>
          <w:szCs w:val="44"/>
          <w:lang w:eastAsia="zh-CN"/>
        </w:rPr>
      </w:pPr>
    </w:p>
    <w:p w14:paraId="38E7B8CD">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黑体" w:hAnsi="黑体" w:eastAsia="黑体" w:cs="黑体"/>
          <w:sz w:val="44"/>
          <w:szCs w:val="44"/>
          <w:lang w:eastAsia="zh-CN"/>
        </w:rPr>
      </w:pPr>
      <w:r>
        <w:rPr>
          <w:rFonts w:hint="eastAsia" w:ascii="黑体" w:hAnsi="黑体" w:eastAsia="黑体" w:cs="黑体"/>
          <w:sz w:val="44"/>
          <w:szCs w:val="44"/>
          <w:lang w:eastAsia="zh-CN"/>
        </w:rPr>
        <w:t>编制说明</w:t>
      </w:r>
    </w:p>
    <w:p w14:paraId="1F72829A">
      <w:pPr>
        <w:spacing w:line="243" w:lineRule="auto"/>
        <w:rPr>
          <w:rFonts w:ascii="Arial"/>
          <w:sz w:val="21"/>
        </w:rPr>
      </w:pPr>
    </w:p>
    <w:p w14:paraId="29CC02DC">
      <w:pPr>
        <w:spacing w:line="243" w:lineRule="auto"/>
        <w:rPr>
          <w:rFonts w:ascii="Arial"/>
          <w:sz w:val="21"/>
        </w:rPr>
      </w:pPr>
    </w:p>
    <w:p w14:paraId="0D70C3A7">
      <w:pPr>
        <w:spacing w:line="243" w:lineRule="auto"/>
        <w:rPr>
          <w:rFonts w:ascii="Arial"/>
          <w:sz w:val="21"/>
        </w:rPr>
      </w:pPr>
    </w:p>
    <w:p w14:paraId="317C6C96">
      <w:pPr>
        <w:spacing w:line="243" w:lineRule="auto"/>
        <w:rPr>
          <w:rFonts w:ascii="Arial"/>
          <w:sz w:val="21"/>
        </w:rPr>
      </w:pPr>
    </w:p>
    <w:p w14:paraId="43680268">
      <w:pPr>
        <w:spacing w:line="243" w:lineRule="auto"/>
        <w:rPr>
          <w:rFonts w:ascii="Arial"/>
          <w:sz w:val="21"/>
        </w:rPr>
      </w:pPr>
    </w:p>
    <w:p w14:paraId="13BB76F9">
      <w:pPr>
        <w:spacing w:line="243" w:lineRule="auto"/>
        <w:rPr>
          <w:rFonts w:ascii="Arial"/>
          <w:sz w:val="21"/>
        </w:rPr>
      </w:pPr>
    </w:p>
    <w:p w14:paraId="75881531">
      <w:pPr>
        <w:spacing w:line="243" w:lineRule="auto"/>
        <w:rPr>
          <w:rFonts w:ascii="Arial"/>
          <w:sz w:val="21"/>
        </w:rPr>
      </w:pPr>
    </w:p>
    <w:p w14:paraId="245BCE3B">
      <w:pPr>
        <w:spacing w:line="243" w:lineRule="auto"/>
        <w:rPr>
          <w:rFonts w:ascii="Arial"/>
          <w:sz w:val="21"/>
        </w:rPr>
      </w:pPr>
    </w:p>
    <w:p w14:paraId="30E1356C">
      <w:pPr>
        <w:spacing w:line="243" w:lineRule="auto"/>
        <w:rPr>
          <w:rFonts w:ascii="Arial"/>
          <w:sz w:val="21"/>
        </w:rPr>
      </w:pPr>
    </w:p>
    <w:p w14:paraId="4CB025FD">
      <w:pPr>
        <w:spacing w:line="243" w:lineRule="auto"/>
        <w:rPr>
          <w:rFonts w:ascii="Arial"/>
          <w:sz w:val="21"/>
        </w:rPr>
      </w:pPr>
    </w:p>
    <w:p w14:paraId="3A35D483">
      <w:pPr>
        <w:spacing w:line="243" w:lineRule="auto"/>
        <w:rPr>
          <w:rFonts w:ascii="Arial"/>
          <w:sz w:val="21"/>
        </w:rPr>
      </w:pPr>
    </w:p>
    <w:p w14:paraId="7513470E">
      <w:pPr>
        <w:spacing w:line="243" w:lineRule="auto"/>
        <w:rPr>
          <w:rFonts w:ascii="Arial"/>
          <w:sz w:val="21"/>
        </w:rPr>
      </w:pPr>
    </w:p>
    <w:p w14:paraId="08ACBD3B">
      <w:pPr>
        <w:spacing w:line="243" w:lineRule="auto"/>
        <w:rPr>
          <w:rFonts w:ascii="Arial"/>
          <w:sz w:val="21"/>
        </w:rPr>
      </w:pPr>
    </w:p>
    <w:p w14:paraId="378A5E2E">
      <w:pPr>
        <w:spacing w:line="243" w:lineRule="auto"/>
        <w:rPr>
          <w:rFonts w:ascii="Arial"/>
          <w:sz w:val="21"/>
        </w:rPr>
      </w:pPr>
    </w:p>
    <w:p w14:paraId="4FDCF53F">
      <w:pPr>
        <w:spacing w:line="243" w:lineRule="auto"/>
        <w:rPr>
          <w:rFonts w:ascii="Arial"/>
          <w:sz w:val="21"/>
        </w:rPr>
      </w:pPr>
    </w:p>
    <w:p w14:paraId="7667C330">
      <w:pPr>
        <w:spacing w:line="243" w:lineRule="auto"/>
        <w:rPr>
          <w:rFonts w:ascii="Arial"/>
          <w:sz w:val="21"/>
        </w:rPr>
      </w:pPr>
    </w:p>
    <w:p w14:paraId="35CF2BCE">
      <w:pPr>
        <w:spacing w:line="243" w:lineRule="auto"/>
        <w:rPr>
          <w:rFonts w:ascii="Arial"/>
          <w:sz w:val="21"/>
        </w:rPr>
      </w:pPr>
    </w:p>
    <w:p w14:paraId="3E77AF2B">
      <w:pPr>
        <w:spacing w:line="243" w:lineRule="auto"/>
        <w:rPr>
          <w:rFonts w:ascii="Arial"/>
          <w:sz w:val="21"/>
        </w:rPr>
      </w:pPr>
    </w:p>
    <w:p w14:paraId="5FB244F8">
      <w:pPr>
        <w:spacing w:line="243" w:lineRule="auto"/>
        <w:rPr>
          <w:rFonts w:ascii="Arial"/>
          <w:sz w:val="21"/>
        </w:rPr>
      </w:pPr>
    </w:p>
    <w:p w14:paraId="1B0099C6">
      <w:pPr>
        <w:spacing w:line="243" w:lineRule="auto"/>
        <w:rPr>
          <w:rFonts w:ascii="Arial"/>
          <w:sz w:val="21"/>
        </w:rPr>
      </w:pPr>
    </w:p>
    <w:p w14:paraId="5FA66FEE">
      <w:pPr>
        <w:spacing w:line="243" w:lineRule="auto"/>
        <w:rPr>
          <w:rFonts w:ascii="Arial"/>
          <w:sz w:val="21"/>
        </w:rPr>
      </w:pPr>
    </w:p>
    <w:p w14:paraId="2F26AE9B">
      <w:pPr>
        <w:spacing w:line="243" w:lineRule="auto"/>
        <w:rPr>
          <w:rFonts w:ascii="Arial"/>
          <w:sz w:val="21"/>
        </w:rPr>
      </w:pPr>
    </w:p>
    <w:p w14:paraId="4193A865">
      <w:pPr>
        <w:spacing w:line="243" w:lineRule="auto"/>
        <w:rPr>
          <w:rFonts w:ascii="Arial"/>
          <w:sz w:val="21"/>
        </w:rPr>
      </w:pPr>
    </w:p>
    <w:p w14:paraId="72031822">
      <w:pPr>
        <w:spacing w:line="243" w:lineRule="auto"/>
        <w:rPr>
          <w:rFonts w:ascii="Arial"/>
          <w:sz w:val="21"/>
        </w:rPr>
      </w:pPr>
    </w:p>
    <w:p w14:paraId="311D7C00">
      <w:pPr>
        <w:spacing w:line="244" w:lineRule="auto"/>
        <w:rPr>
          <w:rFonts w:ascii="Arial"/>
          <w:sz w:val="21"/>
        </w:rPr>
      </w:pPr>
    </w:p>
    <w:p w14:paraId="16BF1985">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eastAsia" w:ascii="仿宋_GB2312" w:hAnsi="仿宋_GB2312" w:eastAsia="仿宋_GB2312" w:cs="仿宋_GB2312"/>
          <w:b w:val="0"/>
          <w:bCs w:val="0"/>
          <w:sz w:val="28"/>
          <w:szCs w:val="28"/>
          <w:lang w:val="en-US" w:eastAsia="zh-CN"/>
          <w14:textOutline w14:w="5103" w14:cap="sq" w14:cmpd="sng">
            <w14:solidFill>
              <w14:srgbClr w14:val="000000"/>
            </w14:solidFill>
            <w14:prstDash w14:val="solid"/>
            <w14:bevel/>
          </w14:textOutline>
        </w:rPr>
      </w:pPr>
      <w:r>
        <w:rPr>
          <w:rFonts w:hint="eastAsia" w:ascii="仿宋_GB2312" w:hAnsi="仿宋_GB2312" w:eastAsia="仿宋_GB2312" w:cs="仿宋_GB2312"/>
          <w:b w:val="0"/>
          <w:bCs w:val="0"/>
          <w:sz w:val="28"/>
          <w:szCs w:val="28"/>
          <w14:textOutline w14:w="5103" w14:cap="sq" w14:cmpd="sng">
            <w14:solidFill>
              <w14:srgbClr w14:val="000000"/>
            </w14:solidFill>
            <w14:prstDash w14:val="solid"/>
            <w14:bevel/>
          </w14:textOutline>
        </w:rPr>
        <w:t>《电动自行车停放充电场所消防安全</w:t>
      </w:r>
      <w:r>
        <w:rPr>
          <w:rFonts w:hint="eastAsia" w:ascii="仿宋_GB2312" w:hAnsi="仿宋_GB2312" w:eastAsia="仿宋_GB2312" w:cs="仿宋_GB2312"/>
          <w:b w:val="0"/>
          <w:bCs w:val="0"/>
          <w:sz w:val="28"/>
          <w:szCs w:val="28"/>
          <w:lang w:eastAsia="zh-CN"/>
          <w14:textOutline w14:w="5103" w14:cap="sq" w14:cmpd="sng">
            <w14:solidFill>
              <w14:srgbClr w14:val="000000"/>
            </w14:solidFill>
            <w14:prstDash w14:val="solid"/>
            <w14:bevel/>
          </w14:textOutline>
        </w:rPr>
        <w:t>规范</w:t>
      </w:r>
      <w:r>
        <w:rPr>
          <w:rFonts w:hint="eastAsia" w:ascii="仿宋_GB2312" w:hAnsi="仿宋_GB2312" w:eastAsia="仿宋_GB2312" w:cs="仿宋_GB2312"/>
          <w:b w:val="0"/>
          <w:bCs w:val="0"/>
          <w:sz w:val="28"/>
          <w:szCs w:val="28"/>
          <w14:textOutline w14:w="5103" w14:cap="sq" w14:cmpd="sng">
            <w14:solidFill>
              <w14:srgbClr w14:val="000000"/>
            </w14:solidFill>
            <w14:prstDash w14:val="solid"/>
            <w14:bevel/>
          </w14:textOutline>
        </w:rPr>
        <w:t>》</w:t>
      </w:r>
      <w:r>
        <w:rPr>
          <w:rFonts w:hint="eastAsia" w:ascii="仿宋_GB2312" w:hAnsi="仿宋_GB2312" w:eastAsia="仿宋_GB2312" w:cs="仿宋_GB2312"/>
          <w:b w:val="0"/>
          <w:bCs w:val="0"/>
          <w:sz w:val="28"/>
          <w:szCs w:val="28"/>
          <w:lang w:eastAsia="zh-CN"/>
          <w14:textOutline w14:w="5103" w14:cap="sq" w14:cmpd="sng">
            <w14:solidFill>
              <w14:srgbClr w14:val="000000"/>
            </w14:solidFill>
            <w14:prstDash w14:val="solid"/>
            <w14:bevel/>
          </w14:textOutline>
        </w:rPr>
        <w:t>标准编制组</w:t>
      </w:r>
    </w:p>
    <w:p w14:paraId="3E91574A">
      <w:pPr>
        <w:keepNext w:val="0"/>
        <w:keepLines w:val="0"/>
        <w:pageBreakBefore w:val="0"/>
        <w:widowControl/>
        <w:kinsoku w:val="0"/>
        <w:wordWrap/>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b w:val="0"/>
          <w:bCs w:val="0"/>
          <w:sz w:val="28"/>
          <w:szCs w:val="28"/>
          <w:lang w:val="en-US" w:eastAsia="zh-CN"/>
          <w14:textOutline w14:w="5103" w14:cap="sq" w14:cmpd="sng">
            <w14:solidFill>
              <w14:srgbClr w14:val="000000"/>
            </w14:solidFill>
            <w14:prstDash w14:val="solid"/>
            <w14:bevel/>
          </w14:textOutline>
        </w:rPr>
      </w:pPr>
      <w:r>
        <w:rPr>
          <w:rFonts w:hint="eastAsia" w:ascii="仿宋_GB2312" w:hAnsi="仿宋_GB2312" w:eastAsia="仿宋_GB2312" w:cs="仿宋_GB2312"/>
          <w:b w:val="0"/>
          <w:bCs w:val="0"/>
          <w:sz w:val="28"/>
          <w:szCs w:val="28"/>
          <w:lang w:val="en-US" w:eastAsia="zh-CN"/>
          <w14:textOutline w14:w="5103" w14:cap="sq" w14:cmpd="sng">
            <w14:solidFill>
              <w14:srgbClr w14:val="000000"/>
            </w14:solidFill>
            <w14:prstDash w14:val="solid"/>
            <w14:bevel/>
          </w14:textOutline>
        </w:rPr>
        <w:t>2024年11月</w:t>
      </w:r>
    </w:p>
    <w:p w14:paraId="1E9F470B">
      <w:pPr>
        <w:jc w:val="center"/>
        <w:rPr>
          <w:rFonts w:ascii="宋体" w:hAnsi="宋体" w:eastAsia="宋体" w:cs="宋体"/>
          <w:sz w:val="28"/>
          <w:szCs w:val="28"/>
          <w14:textOutline w14:w="5103" w14:cap="sq" w14:cmpd="sng">
            <w14:solidFill>
              <w14:srgbClr w14:val="000000"/>
            </w14:solidFill>
            <w14:prstDash w14:val="solid"/>
            <w14:bevel/>
          </w14:textOutline>
        </w:rPr>
      </w:pPr>
    </w:p>
    <w:p w14:paraId="143F9C23">
      <w:pPr>
        <w:jc w:val="center"/>
        <w:rPr>
          <w:rFonts w:ascii="宋体" w:hAnsi="宋体" w:eastAsia="宋体" w:cs="宋体"/>
          <w:sz w:val="28"/>
          <w:szCs w:val="28"/>
          <w14:textOutline w14:w="5103" w14:cap="sq" w14:cmpd="sng">
            <w14:solidFill>
              <w14:srgbClr w14:val="000000"/>
            </w14:solidFill>
            <w14:prstDash w14:val="solid"/>
            <w14:bevel/>
          </w14:textOutline>
        </w:rPr>
      </w:pPr>
    </w:p>
    <w:p w14:paraId="2FE413F2">
      <w:pPr>
        <w:rPr>
          <w:rFonts w:ascii="宋体" w:hAnsi="宋体" w:eastAsia="宋体" w:cs="宋体"/>
          <w:sz w:val="28"/>
          <w:szCs w:val="28"/>
          <w14:textOutline w14:w="5103" w14:cap="sq" w14:cmpd="sng">
            <w14:solidFill>
              <w14:srgbClr w14:val="000000"/>
            </w14:solidFill>
            <w14:prstDash w14:val="solid"/>
            <w14:bevel/>
          </w14:textOutline>
        </w:rPr>
      </w:pPr>
    </w:p>
    <w:p w14:paraId="78AAD897">
      <w:pPr>
        <w:keepNext w:val="0"/>
        <w:keepLines w:val="0"/>
        <w:pageBreakBefore w:val="0"/>
        <w:widowControl/>
        <w:kinsoku w:val="0"/>
        <w:wordWrap/>
        <w:overflowPunct/>
        <w:topLinePunct w:val="0"/>
        <w:autoSpaceDE w:val="0"/>
        <w:autoSpaceDN w:val="0"/>
        <w:bidi w:val="0"/>
        <w:adjustRightInd w:val="0"/>
        <w:snapToGrid w:val="0"/>
        <w:spacing w:before="179" w:line="360" w:lineRule="auto"/>
        <w:ind w:left="3197" w:right="170" w:hanging="3093"/>
        <w:jc w:val="center"/>
        <w:textAlignment w:val="baseline"/>
        <w:rPr>
          <w:rFonts w:hint="eastAsia" w:ascii="方正小标宋简体" w:hAnsi="方正小标宋简体" w:eastAsia="方正小标宋简体" w:cs="方正小标宋简体"/>
          <w:b w:val="0"/>
          <w:bCs w:val="0"/>
          <w:spacing w:val="1"/>
          <w:sz w:val="32"/>
          <w:szCs w:val="32"/>
          <w:lang w:eastAsia="zh-CN"/>
          <w14:textOutline w14:w="5103" w14:cap="sq" w14:cmpd="sng">
            <w14:solidFill>
              <w14:srgbClr w14:val="000000"/>
            </w14:solidFill>
            <w14:prstDash w14:val="solid"/>
            <w14:bevel/>
          </w14:textOutline>
        </w:rPr>
      </w:pPr>
      <w:r>
        <w:rPr>
          <w:rFonts w:hint="eastAsia" w:ascii="方正小标宋简体" w:hAnsi="方正小标宋简体" w:eastAsia="方正小标宋简体" w:cs="方正小标宋简体"/>
          <w:b w:val="0"/>
          <w:bCs w:val="0"/>
          <w:spacing w:val="1"/>
          <w:sz w:val="32"/>
          <w:szCs w:val="32"/>
          <w14:textOutline w14:w="5103" w14:cap="sq" w14:cmpd="sng">
            <w14:solidFill>
              <w14:srgbClr w14:val="000000"/>
            </w14:solidFill>
            <w14:prstDash w14:val="solid"/>
            <w14:bevel/>
          </w14:textOutline>
        </w:rPr>
        <w:t>电动自行车停放充电场所消防安全</w:t>
      </w:r>
      <w:r>
        <w:rPr>
          <w:rFonts w:hint="eastAsia" w:ascii="方正小标宋简体" w:hAnsi="方正小标宋简体" w:eastAsia="方正小标宋简体" w:cs="方正小标宋简体"/>
          <w:b w:val="0"/>
          <w:bCs w:val="0"/>
          <w:spacing w:val="1"/>
          <w:sz w:val="32"/>
          <w:szCs w:val="32"/>
          <w:lang w:eastAsia="zh-CN"/>
          <w14:textOutline w14:w="5103" w14:cap="sq" w14:cmpd="sng">
            <w14:solidFill>
              <w14:srgbClr w14:val="000000"/>
            </w14:solidFill>
            <w14:prstDash w14:val="solid"/>
            <w14:bevel/>
          </w14:textOutline>
        </w:rPr>
        <w:t>规范</w:t>
      </w:r>
    </w:p>
    <w:p w14:paraId="17D49406">
      <w:pPr>
        <w:keepNext w:val="0"/>
        <w:keepLines w:val="0"/>
        <w:pageBreakBefore w:val="0"/>
        <w:widowControl/>
        <w:kinsoku w:val="0"/>
        <w:wordWrap/>
        <w:overflowPunct/>
        <w:topLinePunct w:val="0"/>
        <w:autoSpaceDE w:val="0"/>
        <w:autoSpaceDN w:val="0"/>
        <w:bidi w:val="0"/>
        <w:adjustRightInd w:val="0"/>
        <w:snapToGrid w:val="0"/>
        <w:spacing w:before="179" w:line="360" w:lineRule="auto"/>
        <w:ind w:left="3197" w:right="170" w:hanging="3093"/>
        <w:jc w:val="center"/>
        <w:textAlignment w:val="baseline"/>
        <w:rPr>
          <w:rFonts w:hint="eastAsia" w:ascii="方正小标宋简体" w:hAnsi="方正小标宋简体" w:eastAsia="方正小标宋简体" w:cs="方正小标宋简体"/>
          <w:b w:val="0"/>
          <w:bCs w:val="0"/>
          <w:spacing w:val="2"/>
          <w:sz w:val="32"/>
          <w:szCs w:val="32"/>
          <w:lang w:val="en-US" w:eastAsia="zh-CN"/>
          <w14:textOutline w14:w="5103" w14:cap="sq" w14:cmpd="sng">
            <w14:solidFill>
              <w14:srgbClr w14:val="000000"/>
            </w14:solidFill>
            <w14:prstDash w14:val="solid"/>
            <w14:bevel/>
          </w14:textOutline>
        </w:rPr>
      </w:pPr>
      <w:r>
        <w:rPr>
          <w:rFonts w:hint="eastAsia" w:ascii="方正小标宋简体" w:hAnsi="方正小标宋简体" w:eastAsia="方正小标宋简体" w:cs="方正小标宋简体"/>
          <w:b w:val="0"/>
          <w:bCs w:val="0"/>
          <w:spacing w:val="4"/>
          <w:sz w:val="32"/>
          <w:szCs w:val="32"/>
          <w14:textOutline w14:w="5103" w14:cap="sq" w14:cmpd="sng">
            <w14:solidFill>
              <w14:srgbClr w14:val="000000"/>
            </w14:solidFill>
            <w14:prstDash w14:val="solid"/>
            <w14:bevel/>
          </w14:textOutline>
        </w:rPr>
        <w:t>编</w:t>
      </w:r>
      <w:r>
        <w:rPr>
          <w:rFonts w:hint="eastAsia" w:ascii="方正小标宋简体" w:hAnsi="方正小标宋简体" w:eastAsia="方正小标宋简体" w:cs="方正小标宋简体"/>
          <w:b w:val="0"/>
          <w:bCs w:val="0"/>
          <w:spacing w:val="4"/>
          <w:sz w:val="32"/>
          <w:szCs w:val="32"/>
        </w:rPr>
        <w:t xml:space="preserve">  </w:t>
      </w:r>
      <w:r>
        <w:rPr>
          <w:rFonts w:hint="eastAsia" w:ascii="方正小标宋简体" w:hAnsi="方正小标宋简体" w:eastAsia="方正小标宋简体" w:cs="方正小标宋简体"/>
          <w:b w:val="0"/>
          <w:bCs w:val="0"/>
          <w:spacing w:val="2"/>
          <w:sz w:val="32"/>
          <w:szCs w:val="32"/>
          <w14:textOutline w14:w="5103" w14:cap="sq" w14:cmpd="sng">
            <w14:solidFill>
              <w14:srgbClr w14:val="000000"/>
            </w14:solidFill>
            <w14:prstDash w14:val="solid"/>
            <w14:bevel/>
          </w14:textOutline>
        </w:rPr>
        <w:t>制</w:t>
      </w:r>
      <w:r>
        <w:rPr>
          <w:rFonts w:hint="eastAsia" w:ascii="方正小标宋简体" w:hAnsi="方正小标宋简体" w:eastAsia="方正小标宋简体" w:cs="方正小标宋简体"/>
          <w:b w:val="0"/>
          <w:bCs w:val="0"/>
          <w:spacing w:val="2"/>
          <w:sz w:val="32"/>
          <w:szCs w:val="32"/>
        </w:rPr>
        <w:t xml:space="preserve">  </w:t>
      </w:r>
      <w:r>
        <w:rPr>
          <w:rFonts w:hint="eastAsia" w:ascii="方正小标宋简体" w:hAnsi="方正小标宋简体" w:eastAsia="方正小标宋简体" w:cs="方正小标宋简体"/>
          <w:b w:val="0"/>
          <w:bCs w:val="0"/>
          <w:spacing w:val="2"/>
          <w:sz w:val="32"/>
          <w:szCs w:val="32"/>
          <w14:textOutline w14:w="5103" w14:cap="sq" w14:cmpd="sng">
            <w14:solidFill>
              <w14:srgbClr w14:val="000000"/>
            </w14:solidFill>
            <w14:prstDash w14:val="solid"/>
            <w14:bevel/>
          </w14:textOutline>
        </w:rPr>
        <w:t>说</w:t>
      </w:r>
      <w:r>
        <w:rPr>
          <w:rFonts w:hint="eastAsia" w:ascii="方正小标宋简体" w:hAnsi="方正小标宋简体" w:eastAsia="方正小标宋简体" w:cs="方正小标宋简体"/>
          <w:b w:val="0"/>
          <w:bCs w:val="0"/>
          <w:spacing w:val="2"/>
          <w:sz w:val="32"/>
          <w:szCs w:val="32"/>
        </w:rPr>
        <w:t xml:space="preserve">  </w:t>
      </w:r>
      <w:r>
        <w:rPr>
          <w:rFonts w:hint="eastAsia" w:ascii="方正小标宋简体" w:hAnsi="方正小标宋简体" w:eastAsia="方正小标宋简体" w:cs="方正小标宋简体"/>
          <w:b w:val="0"/>
          <w:bCs w:val="0"/>
          <w:spacing w:val="2"/>
          <w:sz w:val="32"/>
          <w:szCs w:val="32"/>
          <w14:textOutline w14:w="5103" w14:cap="sq" w14:cmpd="sng">
            <w14:solidFill>
              <w14:srgbClr w14:val="000000"/>
            </w14:solidFill>
            <w14:prstDash w14:val="solid"/>
            <w14:bevel/>
          </w14:textOutline>
        </w:rPr>
        <w:t>明</w:t>
      </w:r>
    </w:p>
    <w:p w14:paraId="1BA61E0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2F7F4F6A">
      <w:pPr>
        <w:keepNext w:val="0"/>
        <w:keepLines w:val="0"/>
        <w:pageBreakBefore w:val="0"/>
        <w:widowControl/>
        <w:kinsoku w:val="0"/>
        <w:wordWrap/>
        <w:overflowPunct/>
        <w:topLinePunct w:val="0"/>
        <w:autoSpaceDE w:val="0"/>
        <w:autoSpaceDN w:val="0"/>
        <w:bidi w:val="0"/>
        <w:adjustRightInd w:val="0"/>
        <w:snapToGrid w:val="0"/>
        <w:spacing w:before="91" w:line="360" w:lineRule="auto"/>
        <w:ind w:firstLine="628" w:firstLineChars="200"/>
        <w:jc w:val="both"/>
        <w:textAlignment w:val="baseline"/>
        <w:outlineLvl w:val="0"/>
        <w:rPr>
          <w:rFonts w:ascii="黑体" w:hAnsi="黑体" w:eastAsia="黑体" w:cs="黑体"/>
          <w:sz w:val="32"/>
          <w:szCs w:val="32"/>
        </w:rPr>
      </w:pPr>
      <w:r>
        <w:rPr>
          <w:rFonts w:ascii="黑体" w:hAnsi="黑体" w:eastAsia="黑体" w:cs="黑体"/>
          <w:spacing w:val="-3"/>
          <w:position w:val="3"/>
          <w:sz w:val="32"/>
          <w:szCs w:val="32"/>
        </w:rPr>
        <w:t>一</w:t>
      </w:r>
      <w:r>
        <w:rPr>
          <w:rFonts w:ascii="黑体" w:hAnsi="黑体" w:eastAsia="黑体" w:cs="黑体"/>
          <w:spacing w:val="-2"/>
          <w:position w:val="3"/>
          <w:sz w:val="32"/>
          <w:szCs w:val="32"/>
        </w:rPr>
        <w:t>、编制背景</w:t>
      </w:r>
    </w:p>
    <w:p w14:paraId="218366EE">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电动自行车作为一种经济便捷的出行方式，在全国各地都有庞大的市场。据统计，我国的电动自行车（电动摩托车、电动三轮车）保有量已超过3亿辆，并且仍在快速增长。然而，由于电动自行车进楼入户、违规充电引发的火灾事故屡屡发生，对群众的生命财产安全形成很大威胁，引起社会广泛关注。如何妥善解决电动自行车的停放和充电问题，已成为近年来我市群众所关心和关注的热点、难点问题。</w:t>
      </w:r>
    </w:p>
    <w:p w14:paraId="1182AB2F">
      <w:pPr>
        <w:keepNext w:val="0"/>
        <w:keepLines w:val="0"/>
        <w:pageBreakBefore w:val="0"/>
        <w:widowControl/>
        <w:kinsoku w:val="0"/>
        <w:wordWrap/>
        <w:overflowPunct/>
        <w:topLinePunct w:val="0"/>
        <w:autoSpaceDE w:val="0"/>
        <w:autoSpaceDN w:val="0"/>
        <w:bidi w:val="0"/>
        <w:adjustRightInd w:val="0"/>
        <w:snapToGrid w:val="0"/>
        <w:spacing w:before="208" w:line="360" w:lineRule="auto"/>
        <w:ind w:firstLine="679" w:firstLineChars="200"/>
        <w:jc w:val="both"/>
        <w:textAlignment w:val="baseline"/>
        <w:outlineLvl w:val="0"/>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1.电动自行车起火案例及危险性分析</w:t>
      </w:r>
    </w:p>
    <w:p w14:paraId="34189979">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目前，我市共拥有电动自行车（摩托车）约125万辆。据揭阳市消防救援支队统计，2021年至2023年5月底，全市共发生火灾3482起，其中因电动自行车（摩托车）引起的火灾共51起，其中发生亡人火灾事故1起，造成3人死亡。2021年11月30日发生的“揭阳榕城东阳街道11·30较大火灾事故”，一自建房内电动三轮车引发火灾，过火面积约70平方米，造成三人死亡的惨剧。2022年1月17日揭东区一共享电动自行车租赁公司的集中放置点发生电动自行车起火，造成大量电动自行车烧毁，幸好未造成人员伤亡。2023年6月3日汕头市金平区金禧花园金榕苑停车场发生一起电动自行车引发的火灾，过火面积约20平方米，事故中有3名群众受伤送院救治。2021年5月10日晚，四川成都市成华区一小区电梯内电动自行车起火。2021年6月14日，福建福州市仓山区一居民楼屋内的电动自行车起火并发生爆炸。2021年6月19日，广东清远市清新区一居民楼房屋主在家中为电动自行车充电引发火灾，事故造成屋主手、脚、头部烧伤。</w:t>
      </w:r>
    </w:p>
    <w:p w14:paraId="1D820593">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电动自行车起火的危害主要表现为：快速燃烧爆炸产生高温、大量有毒气体释出、浓烟影响逃生视线三个方面。电动自行车一旦起火，2分钟后温度便可达到180至220度，3分钟火温可高达上千度。一台电动自行车燃烧产生的毒气30秒就可快速扩散到室内各角落，100秒之内足以令人窒息死亡。在室内，除了电动自行车的车身皮革、棉制品等部件为易燃、可燃物，爆炸飞溅的火花也极易点燃周边沙发、桌椅、窗帘等可燃物引起火灾并迅速蔓延，在火势蔓延和高温辐射热作用下火势迅速扩大，威胁群众的生命财产安全。凌晨至天明这段时间往往是人们熟睡的时段，一旦发生火灾，很难及时发现，甚至来不及逃离，致使人员伤亡。</w:t>
      </w:r>
    </w:p>
    <w:p w14:paraId="20C182EC">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79" w:firstLineChars="200"/>
        <w:jc w:val="both"/>
        <w:textAlignment w:val="baseline"/>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2.相关部门开展了宣传及治理工作，电动自行车进楼入户问题依然屡禁不止，火灾事故时有发生</w:t>
      </w:r>
    </w:p>
    <w:p w14:paraId="0A0A4B48">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2017年12月，公安部便发布了《关于规范电动车停放充电加强火灾防范的通告》，严禁在建筑内的共用走道、楼梯间、安全出口处等公共区域停放电动车或者为电动车充电，确需停放和充电的，应当落实隔离、监护等防范措施，防止发生火灾。2018年5月，国务院安委会办公室召开电动自行车消防安全综合治理工作视频会议，提出多措并举，下功夫从根本上解决电动自行车进楼入户、人车同屋等问题，斩断火灾发生的链条。近年来，国家、省、我市层面先后印发部署《加强电动自行车火灾防范九项措施》、《加强电动自行车全链条安全监管重点工作任务及分工方案》、《广东省深化电动自行车领域消防安全综合治理工作方案》、《揭阳市电动自行车领域消防安全综合治理工作实施方案》，持续开展了电动自行车方面的宣传及治理工作。但即便如此，因电动自行车进楼入户充电引发的火灾依旧屡有发生。</w:t>
      </w:r>
    </w:p>
    <w:p w14:paraId="2ACC3E2B">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79" w:firstLineChars="200"/>
        <w:jc w:val="both"/>
        <w:textAlignment w:val="baseline"/>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3.电动自行车起火原因分析</w:t>
      </w:r>
    </w:p>
    <w:p w14:paraId="180CC97D">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电动自行车引发的火灾中，发生在停放充电时的事件占80%以上。国家消防救援局沈阳消防研究所研究员、国家消防电子产品质量监督检验中心相关专家表示，以前对电动自行车的安全认知不足，制定技术标准时要求比较低，比如充电器塑料外壳没做阻燃处理，充电电缆、电线使用的都是普通材料，没做阻燃处理的外壳一旦引燃，就会快速燃烧。普通材料的电缆、电线容易老化，老化之后极易引起火灾。工业和信息化部修订的《电动自行车安全技术规范》强制性国家标准于2019年4月15日实施，替代已施行近20年的旧标准。目前最需要关注的还是那些依照旧国标生产的老旧电动自行车。而且近几年发现，由于电动自行车改装的技术门槛低，有些销售商、维修店、群众图大马力、长续航等一时之方便，私自对电动自行车实施了破解限制电路、加装电池模块等改装措施，加大了电动自行车起火致灾风险几率。</w:t>
      </w:r>
    </w:p>
    <w:p w14:paraId="737AA457">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79" w:firstLineChars="200"/>
        <w:jc w:val="both"/>
        <w:textAlignment w:val="baseline"/>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4.电动自行车没地方停、充电不方便、停外面怕被偷盗等问题与管理工作之间存在的矛盾分析</w:t>
      </w:r>
    </w:p>
    <w:p w14:paraId="0EA5DC8A">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住宅区电动自行车停充遇到的一些问题，小区没有建停车棚，很多居民只能把电动自行车停放在一楼大厅或者家中，但小区物业现在不让电动自行车进楼入户。居民经常与物业工作人员发生争吵，存在着安全管理与方便停充之间的矛盾。为消除火灾安全隐患，杜绝电动自行车进楼入户是关键。但是，不进楼入户的电动自行车该停在哪里？在哪里充电？车没地方停、停外面怕被偷、充电不方便等是群众反映较为集中的问题。</w:t>
      </w:r>
    </w:p>
    <w:p w14:paraId="68FE8053">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电动自行车停车难是普遍存在的问题。国内大部分小区没有统一规划电动自行车充电场地，车主只能将电动自行车放在家中充电。或者，不放在家中，车主从家里插座上引出电线充电。这种情况下，如果电池因为过度充电而短路，由于电线过长、电阻较大，线路来不及实现跳闸保护便会起火。</w:t>
      </w:r>
    </w:p>
    <w:p w14:paraId="7A4A62C9">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有些群众选择把车停在楼下，只把电池带回家充电。这种情况也同样存在安全隐患。一种情况是电池老化，一旦温度过高热失控就容易燃烧、爆炸。随着我国电动汽车市场快速发展，一部分电动汽车淘汰下来的电池被不法商人买来，改装成电动自行车电池后在网上销售，非常危险。另一种情况是电池与充电器不匹配。一些老旧电动自行车充电器坏了，车主为了省钱会从网上买一个接着用。网上买的充电器质量良莠不齐，不少根本达不到安全标准。有的充电器本身就有设计缺陷，没有充电过载保护、电池充放电保护功能，对电池一直用大电流快充，很容易导致电池因过度充电而起火。如果楼下有能充电的停车棚、停车场，收费又合理的话，相信很多人不愿意把笨重的电动自行车（电池）推（带）回家里充电。</w:t>
      </w:r>
    </w:p>
    <w:p w14:paraId="11E83685">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总之，想要从根源上解决问题，首先需要正视和回应车主的充电刚需，而不是简单地禁止和一味堵截。把堵、疏、管三个层面结合，陆续研发推广电动自行车进楼入户监测系统、智能充电柜解决方案、充电车库(棚)报警装置、充电车库(棚)灭火系统、电动自行车综合安全管理平台等系统性解决方案，用科技创新服务城市公共安全，解决电动自行车安全隐患。</w:t>
      </w:r>
    </w:p>
    <w:p w14:paraId="0DBA7BDF">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32" w:firstLineChars="200"/>
        <w:jc w:val="both"/>
        <w:textAlignment w:val="baseline"/>
        <w:rPr>
          <w:rFonts w:ascii="黑体" w:hAnsi="黑体" w:eastAsia="黑体" w:cs="黑体"/>
          <w:sz w:val="32"/>
          <w:szCs w:val="32"/>
        </w:rPr>
      </w:pPr>
      <w:r>
        <w:rPr>
          <w:rFonts w:ascii="黑体" w:hAnsi="黑体" w:eastAsia="黑体" w:cs="黑体"/>
          <w:spacing w:val="-2"/>
          <w:position w:val="2"/>
          <w:sz w:val="32"/>
          <w:szCs w:val="32"/>
        </w:rPr>
        <w:t>二、编制思</w:t>
      </w:r>
      <w:r>
        <w:rPr>
          <w:rFonts w:ascii="黑体" w:hAnsi="黑体" w:eastAsia="黑体" w:cs="黑体"/>
          <w:spacing w:val="-1"/>
          <w:position w:val="2"/>
          <w:sz w:val="32"/>
          <w:szCs w:val="32"/>
        </w:rPr>
        <w:t>路和原则</w:t>
      </w:r>
    </w:p>
    <w:p w14:paraId="596D895B">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本标准以消防法、国家规范、行业标准和地方标准为基础，在深入研究本地电动自行车充电停放场所情况的基础上编制。本标准的编制遵循以下原则：</w:t>
      </w:r>
    </w:p>
    <w:p w14:paraId="14D01A7D">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1" w:firstLineChars="200"/>
        <w:jc w:val="both"/>
        <w:textAlignment w:val="baseline"/>
        <w:rPr>
          <w:rFonts w:hint="eastAsia" w:ascii="楷体_GB2312" w:hAnsi="楷体_GB2312" w:eastAsia="楷体_GB2312" w:cs="楷体_GB2312"/>
          <w:b/>
          <w:bCs/>
          <w:spacing w:val="12"/>
          <w:sz w:val="32"/>
          <w:szCs w:val="32"/>
          <w:lang w:val="en-US" w:eastAsia="zh-CN"/>
        </w:rPr>
      </w:pPr>
      <w:r>
        <w:rPr>
          <w:rFonts w:hint="eastAsia" w:ascii="楷体_GB2312" w:hAnsi="楷体_GB2312" w:eastAsia="楷体_GB2312" w:cs="楷体_GB2312"/>
          <w:b/>
          <w:bCs/>
          <w:spacing w:val="12"/>
          <w:sz w:val="32"/>
          <w:szCs w:val="32"/>
          <w:lang w:val="en-US" w:eastAsia="zh-CN"/>
        </w:rPr>
        <w:t>1.符合相关法律法规的原则</w:t>
      </w:r>
    </w:p>
    <w:p w14:paraId="38C1CAC1">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1" w:firstLineChars="200"/>
        <w:jc w:val="both"/>
        <w:textAlignment w:val="baseline"/>
        <w:rPr>
          <w:rFonts w:hint="eastAsia" w:ascii="楷体_GB2312" w:hAnsi="楷体_GB2312" w:eastAsia="楷体_GB2312" w:cs="楷体_GB2312"/>
          <w:b/>
          <w:bCs/>
          <w:spacing w:val="12"/>
          <w:sz w:val="32"/>
          <w:szCs w:val="32"/>
          <w:lang w:val="en-US" w:eastAsia="zh-CN"/>
        </w:rPr>
      </w:pPr>
      <w:r>
        <w:rPr>
          <w:rFonts w:hint="eastAsia" w:ascii="楷体_GB2312" w:hAnsi="楷体_GB2312" w:eastAsia="楷体_GB2312" w:cs="楷体_GB2312"/>
          <w:b/>
          <w:bCs/>
          <w:spacing w:val="12"/>
          <w:sz w:val="32"/>
          <w:szCs w:val="32"/>
          <w:lang w:val="en-US" w:eastAsia="zh-CN"/>
        </w:rPr>
        <w:t>2.符合申请人办理行政审批手续实际需求的原则</w:t>
      </w:r>
    </w:p>
    <w:p w14:paraId="0481FE67">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1" w:firstLineChars="200"/>
        <w:jc w:val="both"/>
        <w:textAlignment w:val="baseline"/>
        <w:rPr>
          <w:rFonts w:hint="eastAsia" w:ascii="楷体_GB2312" w:hAnsi="楷体_GB2312" w:eastAsia="楷体_GB2312" w:cs="楷体_GB2312"/>
          <w:b/>
          <w:bCs/>
          <w:sz w:val="32"/>
          <w:szCs w:val="32"/>
        </w:rPr>
      </w:pPr>
      <w:r>
        <w:rPr>
          <w:rFonts w:hint="eastAsia" w:ascii="楷体_GB2312" w:hAnsi="楷体_GB2312" w:eastAsia="楷体_GB2312" w:cs="楷体_GB2312"/>
          <w:b/>
          <w:bCs/>
          <w:spacing w:val="12"/>
          <w:sz w:val="32"/>
          <w:szCs w:val="32"/>
          <w:lang w:val="en-US" w:eastAsia="zh-CN"/>
        </w:rPr>
        <w:t>3.本标准的编写应符合GB/T 1.1—2020《标准化工作导则》 第1部分：“标准化文件的结构和起草规则”的要求</w:t>
      </w:r>
    </w:p>
    <w:p w14:paraId="3DB5948E">
      <w:pPr>
        <w:keepNext w:val="0"/>
        <w:keepLines w:val="0"/>
        <w:pageBreakBefore w:val="0"/>
        <w:widowControl/>
        <w:kinsoku w:val="0"/>
        <w:wordWrap/>
        <w:overflowPunct/>
        <w:topLinePunct w:val="0"/>
        <w:autoSpaceDE w:val="0"/>
        <w:autoSpaceDN w:val="0"/>
        <w:bidi w:val="0"/>
        <w:adjustRightInd w:val="0"/>
        <w:snapToGrid w:val="0"/>
        <w:spacing w:before="73" w:line="360" w:lineRule="auto"/>
        <w:ind w:firstLine="624" w:firstLineChars="200"/>
        <w:jc w:val="both"/>
        <w:textAlignment w:val="baseline"/>
        <w:outlineLvl w:val="0"/>
        <w:rPr>
          <w:rFonts w:ascii="黑体" w:hAnsi="黑体" w:eastAsia="黑体" w:cs="黑体"/>
          <w:sz w:val="32"/>
          <w:szCs w:val="32"/>
        </w:rPr>
      </w:pPr>
      <w:r>
        <w:rPr>
          <w:rFonts w:ascii="黑体" w:hAnsi="黑体" w:eastAsia="黑体" w:cs="黑体"/>
          <w:spacing w:val="-4"/>
          <w:sz w:val="32"/>
          <w:szCs w:val="32"/>
        </w:rPr>
        <w:t>三</w:t>
      </w:r>
      <w:r>
        <w:rPr>
          <w:rFonts w:ascii="黑体" w:hAnsi="黑体" w:eastAsia="黑体" w:cs="黑体"/>
          <w:spacing w:val="-3"/>
          <w:sz w:val="32"/>
          <w:szCs w:val="32"/>
        </w:rPr>
        <w:t>、</w:t>
      </w:r>
      <w:r>
        <w:rPr>
          <w:rFonts w:ascii="黑体" w:hAnsi="黑体" w:eastAsia="黑体" w:cs="黑体"/>
          <w:spacing w:val="-2"/>
          <w:sz w:val="32"/>
          <w:szCs w:val="32"/>
        </w:rPr>
        <w:t>编制过程</w:t>
      </w:r>
    </w:p>
    <w:p w14:paraId="20973767">
      <w:pPr>
        <w:keepNext w:val="0"/>
        <w:keepLines w:val="0"/>
        <w:pageBreakBefore w:val="0"/>
        <w:widowControl/>
        <w:kinsoku w:val="0"/>
        <w:wordWrap/>
        <w:overflowPunct/>
        <w:topLinePunct w:val="0"/>
        <w:autoSpaceDE w:val="0"/>
        <w:autoSpaceDN w:val="0"/>
        <w:bidi w:val="0"/>
        <w:adjustRightInd w:val="0"/>
        <w:snapToGrid w:val="0"/>
        <w:spacing w:before="208" w:line="360" w:lineRule="auto"/>
        <w:ind w:firstLine="679" w:firstLineChars="200"/>
        <w:jc w:val="both"/>
        <w:textAlignment w:val="baseline"/>
        <w:outlineLvl w:val="0"/>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pacing w:val="9"/>
          <w:position w:val="1"/>
          <w:sz w:val="32"/>
          <w:szCs w:val="32"/>
          <w14:textOutline w14:w="4358" w14:cap="sq" w14:cmpd="sng">
            <w14:solidFill>
              <w14:srgbClr w14:val="000000"/>
            </w14:solidFill>
            <w14:prstDash w14:val="solid"/>
            <w14:bevel/>
          </w14:textOutline>
        </w:rPr>
        <w:t>1</w:t>
      </w: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w:t>
      </w:r>
      <w:r>
        <w:rPr>
          <w:rFonts w:hint="eastAsia" w:ascii="楷体_GB2312" w:hAnsi="楷体_GB2312" w:eastAsia="楷体_GB2312" w:cs="楷体_GB2312"/>
          <w:b/>
          <w:bCs/>
          <w:spacing w:val="9"/>
          <w:position w:val="1"/>
          <w:sz w:val="32"/>
          <w:szCs w:val="32"/>
          <w14:textOutline w14:w="4358" w14:cap="sq" w14:cmpd="sng">
            <w14:solidFill>
              <w14:srgbClr w14:val="000000"/>
            </w14:solidFill>
            <w14:prstDash w14:val="solid"/>
            <w14:bevel/>
          </w14:textOutline>
        </w:rPr>
        <w:t>成立</w:t>
      </w:r>
      <w:r>
        <w:rPr>
          <w:rFonts w:hint="eastAsia" w:ascii="楷体_GB2312" w:hAnsi="楷体_GB2312" w:eastAsia="楷体_GB2312" w:cs="楷体_GB2312"/>
          <w:b/>
          <w:bCs/>
          <w:spacing w:val="9"/>
          <w:position w:val="1"/>
          <w:sz w:val="32"/>
          <w:szCs w:val="32"/>
          <w:lang w:eastAsia="zh-CN"/>
          <w14:textOutline w14:w="4358" w14:cap="sq" w14:cmpd="sng">
            <w14:solidFill>
              <w14:srgbClr w14:val="000000"/>
            </w14:solidFill>
            <w14:prstDash w14:val="solid"/>
            <w14:bevel/>
          </w14:textOutline>
        </w:rPr>
        <w:t>标准编制组</w:t>
      </w:r>
      <w:r>
        <w:rPr>
          <w:rFonts w:hint="eastAsia" w:ascii="楷体_GB2312" w:hAnsi="楷体_GB2312" w:eastAsia="楷体_GB2312" w:cs="楷体_GB2312"/>
          <w:b/>
          <w:bCs/>
          <w:spacing w:val="9"/>
          <w:position w:val="1"/>
          <w:sz w:val="32"/>
          <w:szCs w:val="32"/>
          <w14:textOutline w14:w="4358" w14:cap="sq" w14:cmpd="sng">
            <w14:solidFill>
              <w14:srgbClr w14:val="000000"/>
            </w14:solidFill>
            <w14:prstDash w14:val="solid"/>
            <w14:bevel/>
          </w14:textOutline>
        </w:rPr>
        <w:t>，制定工作方</w:t>
      </w:r>
      <w:r>
        <w:rPr>
          <w:rFonts w:hint="eastAsia" w:ascii="楷体_GB2312" w:hAnsi="楷体_GB2312" w:eastAsia="楷体_GB2312" w:cs="楷体_GB2312"/>
          <w:b/>
          <w:bCs/>
          <w:spacing w:val="5"/>
          <w:position w:val="1"/>
          <w:sz w:val="32"/>
          <w:szCs w:val="32"/>
          <w14:textOutline w14:w="4358" w14:cap="sq" w14:cmpd="sng">
            <w14:solidFill>
              <w14:srgbClr w14:val="000000"/>
            </w14:solidFill>
            <w14:prstDash w14:val="solid"/>
            <w14:bevel/>
          </w14:textOutline>
        </w:rPr>
        <w:t>案</w:t>
      </w:r>
    </w:p>
    <w:p w14:paraId="4A07EB9B">
      <w:pPr>
        <w:keepNext w:val="0"/>
        <w:keepLines w:val="0"/>
        <w:pageBreakBefore w:val="0"/>
        <w:widowControl/>
        <w:kinsoku/>
        <w:wordWrap/>
        <w:overflowPunct/>
        <w:topLinePunct w:val="0"/>
        <w:autoSpaceDE w:val="0"/>
        <w:autoSpaceDN w:val="0"/>
        <w:bidi w:val="0"/>
        <w:adjustRightInd w:val="0"/>
        <w:snapToGrid w:val="0"/>
        <w:spacing w:before="195" w:line="360" w:lineRule="auto"/>
        <w:ind w:right="79" w:firstLine="688" w:firstLineChars="200"/>
        <w:jc w:val="both"/>
        <w:textAlignment w:val="auto"/>
        <w:rPr>
          <w:rFonts w:hint="eastAsia" w:ascii="仿宋_GB2312" w:hAnsi="仿宋_GB2312" w:eastAsia="仿宋_GB2312" w:cs="仿宋_GB2312"/>
          <w:spacing w:val="12"/>
          <w:sz w:val="32"/>
          <w:szCs w:val="32"/>
        </w:rPr>
      </w:pPr>
      <w:r>
        <w:rPr>
          <w:rFonts w:hint="eastAsia" w:ascii="仿宋_GB2312" w:hAnsi="仿宋_GB2312" w:eastAsia="仿宋_GB2312" w:cs="仿宋_GB2312"/>
          <w:spacing w:val="12"/>
          <w:sz w:val="32"/>
          <w:szCs w:val="32"/>
        </w:rPr>
        <w:t>自202</w:t>
      </w:r>
      <w:r>
        <w:rPr>
          <w:rFonts w:hint="eastAsia" w:ascii="仿宋_GB2312" w:hAnsi="仿宋_GB2312" w:eastAsia="仿宋_GB2312" w:cs="仿宋_GB2312"/>
          <w:spacing w:val="12"/>
          <w:sz w:val="32"/>
          <w:szCs w:val="32"/>
          <w:lang w:val="en-US" w:eastAsia="zh-CN"/>
        </w:rPr>
        <w:t>3</w:t>
      </w:r>
      <w:r>
        <w:rPr>
          <w:rFonts w:hint="eastAsia" w:ascii="仿宋_GB2312" w:hAnsi="仿宋_GB2312" w:eastAsia="仿宋_GB2312" w:cs="仿宋_GB2312"/>
          <w:spacing w:val="12"/>
          <w:sz w:val="32"/>
          <w:szCs w:val="32"/>
        </w:rPr>
        <w:t>年</w:t>
      </w:r>
      <w:r>
        <w:rPr>
          <w:rFonts w:hint="eastAsia" w:ascii="仿宋_GB2312" w:hAnsi="仿宋_GB2312" w:eastAsia="仿宋_GB2312" w:cs="仿宋_GB2312"/>
          <w:spacing w:val="12"/>
          <w:sz w:val="32"/>
          <w:szCs w:val="32"/>
          <w:lang w:val="en-US" w:eastAsia="zh-CN"/>
        </w:rPr>
        <w:t>3</w:t>
      </w:r>
      <w:r>
        <w:rPr>
          <w:rFonts w:hint="eastAsia" w:ascii="仿宋_GB2312" w:hAnsi="仿宋_GB2312" w:eastAsia="仿宋_GB2312" w:cs="仿宋_GB2312"/>
          <w:spacing w:val="12"/>
          <w:sz w:val="32"/>
          <w:szCs w:val="32"/>
        </w:rPr>
        <w:t>月起，在</w:t>
      </w:r>
      <w:r>
        <w:rPr>
          <w:rFonts w:hint="eastAsia" w:ascii="仿宋_GB2312" w:hAnsi="仿宋_GB2312" w:eastAsia="仿宋_GB2312" w:cs="仿宋_GB2312"/>
          <w:spacing w:val="12"/>
          <w:sz w:val="32"/>
          <w:szCs w:val="32"/>
          <w:lang w:val="en-US" w:eastAsia="zh-CN"/>
        </w:rPr>
        <w:t>揭阳市消防救援支队</w:t>
      </w:r>
      <w:r>
        <w:rPr>
          <w:rFonts w:hint="eastAsia" w:ascii="仿宋_GB2312" w:hAnsi="仿宋_GB2312" w:eastAsia="仿宋_GB2312" w:cs="仿宋_GB2312"/>
          <w:spacing w:val="12"/>
          <w:sz w:val="32"/>
          <w:szCs w:val="32"/>
        </w:rPr>
        <w:t>牵头组织下，成立了由揭阳市消防行业协会、广东恒防消防工程有限公司、广东顺安消防工程有限公司</w:t>
      </w:r>
      <w:r>
        <w:rPr>
          <w:rFonts w:hint="eastAsia" w:ascii="仿宋_GB2312" w:hAnsi="仿宋_GB2312" w:eastAsia="仿宋_GB2312" w:cs="仿宋_GB2312"/>
          <w:spacing w:val="12"/>
          <w:sz w:val="32"/>
          <w:szCs w:val="32"/>
          <w:lang w:eastAsia="zh-CN"/>
        </w:rPr>
        <w:t>、揭阳职业技术学院</w:t>
      </w:r>
      <w:r>
        <w:rPr>
          <w:rFonts w:hint="eastAsia" w:ascii="仿宋_GB2312" w:hAnsi="仿宋_GB2312" w:eastAsia="仿宋_GB2312" w:cs="仿宋_GB2312"/>
          <w:spacing w:val="12"/>
          <w:sz w:val="32"/>
          <w:szCs w:val="32"/>
        </w:rPr>
        <w:t>等单位专业人员组成</w:t>
      </w:r>
      <w:r>
        <w:rPr>
          <w:rFonts w:hint="eastAsia" w:ascii="仿宋_GB2312" w:hAnsi="仿宋_GB2312" w:eastAsia="仿宋_GB2312" w:cs="仿宋_GB2312"/>
          <w:spacing w:val="12"/>
          <w:sz w:val="32"/>
          <w:szCs w:val="32"/>
          <w:lang w:eastAsia="zh-CN"/>
        </w:rPr>
        <w:t>的</w:t>
      </w:r>
      <w:r>
        <w:rPr>
          <w:rFonts w:hint="eastAsia" w:ascii="仿宋_GB2312" w:hAnsi="仿宋_GB2312" w:eastAsia="仿宋_GB2312" w:cs="仿宋_GB2312"/>
          <w:spacing w:val="12"/>
          <w:sz w:val="32"/>
          <w:szCs w:val="32"/>
        </w:rPr>
        <w:t>本标准</w:t>
      </w:r>
      <w:r>
        <w:rPr>
          <w:rFonts w:hint="eastAsia" w:ascii="仿宋_GB2312" w:hAnsi="仿宋_GB2312" w:eastAsia="仿宋_GB2312" w:cs="仿宋_GB2312"/>
          <w:spacing w:val="12"/>
          <w:sz w:val="32"/>
          <w:szCs w:val="32"/>
          <w:lang w:eastAsia="zh-CN"/>
        </w:rPr>
        <w:t>编制组</w:t>
      </w:r>
      <w:r>
        <w:rPr>
          <w:rFonts w:hint="eastAsia" w:ascii="仿宋_GB2312" w:hAnsi="仿宋_GB2312" w:eastAsia="仿宋_GB2312" w:cs="仿宋_GB2312"/>
          <w:spacing w:val="12"/>
          <w:sz w:val="32"/>
          <w:szCs w:val="32"/>
        </w:rPr>
        <w:t>，制订工作方案，明确目标要求、工作思路、人员分工和工作进度等，开始</w:t>
      </w:r>
      <w:r>
        <w:rPr>
          <w:rFonts w:hint="eastAsia" w:ascii="仿宋_GB2312" w:hAnsi="仿宋_GB2312" w:eastAsia="仿宋_GB2312" w:cs="仿宋_GB2312"/>
          <w:spacing w:val="12"/>
          <w:sz w:val="32"/>
          <w:szCs w:val="32"/>
          <w:lang w:eastAsia="zh-CN"/>
        </w:rPr>
        <w:t>了</w:t>
      </w:r>
      <w:r>
        <w:rPr>
          <w:rFonts w:hint="eastAsia" w:ascii="仿宋_GB2312" w:hAnsi="仿宋_GB2312" w:eastAsia="仿宋_GB2312" w:cs="仿宋_GB2312"/>
          <w:spacing w:val="12"/>
          <w:sz w:val="32"/>
          <w:szCs w:val="32"/>
          <w:lang w:val="en-US" w:eastAsia="zh-CN"/>
        </w:rPr>
        <w:t>标准编制</w:t>
      </w:r>
      <w:r>
        <w:rPr>
          <w:rFonts w:hint="eastAsia" w:ascii="仿宋_GB2312" w:hAnsi="仿宋_GB2312" w:eastAsia="仿宋_GB2312" w:cs="仿宋_GB2312"/>
          <w:spacing w:val="12"/>
          <w:sz w:val="32"/>
          <w:szCs w:val="32"/>
        </w:rPr>
        <w:t>工作。</w:t>
      </w:r>
    </w:p>
    <w:p w14:paraId="408B46AC">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9" w:firstLineChars="200"/>
        <w:jc w:val="both"/>
        <w:textAlignment w:val="baseline"/>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pacing w:val="14"/>
          <w:position w:val="1"/>
          <w:sz w:val="32"/>
          <w:szCs w:val="32"/>
          <w14:textOutline w14:w="4358" w14:cap="sq" w14:cmpd="sng">
            <w14:solidFill>
              <w14:srgbClr w14:val="000000"/>
            </w14:solidFill>
            <w14:prstDash w14:val="solid"/>
            <w14:bevel/>
          </w14:textOutline>
        </w:rPr>
        <w:t>2</w:t>
      </w:r>
      <w:r>
        <w:rPr>
          <w:rFonts w:hint="eastAsia" w:ascii="楷体_GB2312" w:hAnsi="楷体_GB2312" w:eastAsia="楷体_GB2312" w:cs="楷体_GB2312"/>
          <w:b/>
          <w:bCs/>
          <w:spacing w:val="9"/>
          <w:position w:val="1"/>
          <w:sz w:val="32"/>
          <w:szCs w:val="32"/>
          <w:lang w:val="en-US" w:eastAsia="zh-CN"/>
          <w14:textOutline w14:w="4358" w14:cap="sq" w14:cmpd="sng">
            <w14:solidFill>
              <w14:srgbClr w14:val="000000"/>
            </w14:solidFill>
            <w14:prstDash w14:val="solid"/>
            <w14:bevel/>
          </w14:textOutline>
        </w:rPr>
        <w:t>.</w:t>
      </w:r>
      <w:r>
        <w:rPr>
          <w:rFonts w:hint="eastAsia" w:ascii="楷体_GB2312" w:hAnsi="楷体_GB2312" w:eastAsia="楷体_GB2312" w:cs="楷体_GB2312"/>
          <w:b/>
          <w:bCs/>
          <w:spacing w:val="9"/>
          <w:position w:val="1"/>
          <w:sz w:val="32"/>
          <w:szCs w:val="32"/>
          <w14:textOutline w14:w="4358" w14:cap="sq" w14:cmpd="sng">
            <w14:solidFill>
              <w14:srgbClr w14:val="000000"/>
            </w14:solidFill>
            <w14:prstDash w14:val="solid"/>
            <w14:bevel/>
          </w14:textOutline>
        </w:rPr>
        <w:t>收集相关资料，开展调研</w:t>
      </w:r>
    </w:p>
    <w:p w14:paraId="6FDE504F">
      <w:pPr>
        <w:keepNext w:val="0"/>
        <w:keepLines w:val="0"/>
        <w:pageBreakBefore w:val="0"/>
        <w:widowControl/>
        <w:kinsoku w:val="0"/>
        <w:wordWrap/>
        <w:overflowPunct/>
        <w:topLinePunct w:val="0"/>
        <w:autoSpaceDE w:val="0"/>
        <w:autoSpaceDN w:val="0"/>
        <w:bidi w:val="0"/>
        <w:adjustRightInd w:val="0"/>
        <w:snapToGrid w:val="0"/>
        <w:spacing w:before="155" w:line="360" w:lineRule="auto"/>
        <w:ind w:right="14" w:firstLine="668" w:firstLineChars="200"/>
        <w:jc w:val="both"/>
        <w:textAlignment w:val="baseline"/>
        <w:rPr>
          <w:rFonts w:hint="eastAsia" w:ascii="宋体" w:hAnsi="宋体" w:eastAsia="宋体" w:cs="宋体"/>
          <w:spacing w:val="7"/>
          <w:sz w:val="32"/>
          <w:szCs w:val="32"/>
          <w:lang w:val="en-US" w:eastAsia="zh-CN"/>
        </w:rPr>
      </w:pPr>
      <w:r>
        <w:rPr>
          <w:rFonts w:hint="eastAsia" w:ascii="仿宋_GB2312" w:hAnsi="仿宋_GB2312" w:eastAsia="仿宋_GB2312" w:cs="仿宋_GB2312"/>
          <w:spacing w:val="7"/>
          <w:sz w:val="32"/>
          <w:szCs w:val="32"/>
          <w:lang w:eastAsia="zh-CN"/>
        </w:rPr>
        <w:t>标准编制组</w:t>
      </w:r>
      <w:r>
        <w:rPr>
          <w:rFonts w:hint="eastAsia" w:ascii="仿宋_GB2312" w:hAnsi="仿宋_GB2312" w:eastAsia="仿宋_GB2312" w:cs="仿宋_GB2312"/>
          <w:spacing w:val="7"/>
          <w:sz w:val="32"/>
          <w:szCs w:val="32"/>
        </w:rPr>
        <w:t>广泛搜集</w:t>
      </w:r>
      <w:r>
        <w:rPr>
          <w:rFonts w:hint="eastAsia" w:ascii="仿宋_GB2312" w:hAnsi="仿宋_GB2312" w:eastAsia="仿宋_GB2312" w:cs="仿宋_GB2312"/>
          <w:spacing w:val="7"/>
          <w:sz w:val="32"/>
          <w:szCs w:val="32"/>
          <w:lang w:val="en-US" w:eastAsia="zh-CN"/>
        </w:rPr>
        <w:t>大型商业综合体、住宅小区</w:t>
      </w:r>
      <w:r>
        <w:rPr>
          <w:rFonts w:hint="eastAsia" w:ascii="仿宋_GB2312" w:hAnsi="仿宋_GB2312" w:eastAsia="仿宋_GB2312" w:cs="仿宋_GB2312"/>
          <w:spacing w:val="7"/>
          <w:sz w:val="32"/>
          <w:szCs w:val="32"/>
        </w:rPr>
        <w:t>、</w:t>
      </w:r>
      <w:r>
        <w:rPr>
          <w:rFonts w:hint="eastAsia" w:ascii="仿宋_GB2312" w:hAnsi="仿宋_GB2312" w:eastAsia="仿宋_GB2312" w:cs="仿宋_GB2312"/>
          <w:spacing w:val="7"/>
          <w:sz w:val="32"/>
          <w:szCs w:val="32"/>
          <w:lang w:val="en-US" w:eastAsia="zh-CN"/>
        </w:rPr>
        <w:t>本市三家主营共享电动自行车哈啰、青桔（松果）、美团车电分离充电场所情况。</w:t>
      </w:r>
      <w:r>
        <w:rPr>
          <w:rFonts w:hint="eastAsia" w:ascii="仿宋_GB2312" w:hAnsi="仿宋_GB2312" w:eastAsia="仿宋_GB2312" w:cs="仿宋_GB2312"/>
          <w:spacing w:val="7"/>
          <w:sz w:val="32"/>
          <w:szCs w:val="32"/>
        </w:rPr>
        <w:t>比对、分析了</w:t>
      </w:r>
      <w:r>
        <w:rPr>
          <w:rFonts w:hint="eastAsia" w:ascii="仿宋_GB2312" w:hAnsi="仿宋_GB2312" w:eastAsia="仿宋_GB2312" w:cs="仿宋_GB2312"/>
          <w:spacing w:val="7"/>
          <w:sz w:val="32"/>
          <w:szCs w:val="32"/>
          <w:lang w:val="en-US" w:eastAsia="zh-CN"/>
        </w:rPr>
        <w:t>消防法、</w:t>
      </w:r>
      <w:r>
        <w:rPr>
          <w:rFonts w:hint="eastAsia" w:ascii="仿宋_GB2312" w:hAnsi="仿宋_GB2312" w:eastAsia="仿宋_GB2312" w:cs="仿宋_GB2312"/>
          <w:spacing w:val="7"/>
          <w:sz w:val="32"/>
          <w:szCs w:val="32"/>
        </w:rPr>
        <w:t>国家</w:t>
      </w:r>
      <w:r>
        <w:rPr>
          <w:rFonts w:hint="eastAsia" w:ascii="仿宋_GB2312" w:hAnsi="仿宋_GB2312" w:eastAsia="仿宋_GB2312" w:cs="仿宋_GB2312"/>
          <w:spacing w:val="7"/>
          <w:sz w:val="32"/>
          <w:szCs w:val="32"/>
          <w:lang w:val="en-US" w:eastAsia="zh-CN"/>
        </w:rPr>
        <w:t>规范以及</w:t>
      </w:r>
      <w:r>
        <w:rPr>
          <w:rFonts w:hint="eastAsia" w:ascii="仿宋_GB2312" w:hAnsi="仿宋_GB2312" w:eastAsia="仿宋_GB2312" w:cs="仿宋_GB2312"/>
          <w:spacing w:val="7"/>
          <w:sz w:val="32"/>
          <w:szCs w:val="32"/>
        </w:rPr>
        <w:t>省内外、各地市</w:t>
      </w:r>
      <w:r>
        <w:rPr>
          <w:rFonts w:hint="eastAsia" w:ascii="仿宋_GB2312" w:hAnsi="仿宋_GB2312" w:eastAsia="仿宋_GB2312" w:cs="仿宋_GB2312"/>
          <w:spacing w:val="7"/>
          <w:sz w:val="32"/>
          <w:szCs w:val="32"/>
          <w:lang w:val="en-US" w:eastAsia="zh-CN"/>
        </w:rPr>
        <w:t>电动自行车停放充电场所</w:t>
      </w:r>
      <w:r>
        <w:rPr>
          <w:rFonts w:hint="eastAsia" w:ascii="仿宋_GB2312" w:hAnsi="仿宋_GB2312" w:eastAsia="仿宋_GB2312" w:cs="仿宋_GB2312"/>
          <w:spacing w:val="2"/>
          <w:sz w:val="32"/>
          <w:szCs w:val="32"/>
          <w:lang w:eastAsia="zh-CN"/>
        </w:rPr>
        <w:t>标准</w:t>
      </w:r>
      <w:r>
        <w:rPr>
          <w:rFonts w:hint="eastAsia" w:ascii="仿宋_GB2312" w:hAnsi="仿宋_GB2312" w:eastAsia="仿宋_GB2312" w:cs="仿宋_GB2312"/>
          <w:spacing w:val="2"/>
          <w:sz w:val="32"/>
          <w:szCs w:val="32"/>
        </w:rPr>
        <w:t>规范文件</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val="en-US" w:eastAsia="zh-CN"/>
        </w:rPr>
        <w:t>目前，省外有西藏、海南省出台此类标准规范；省内有深圳市、江门市等出台此类标准规范、湛江市出台了一份管理条例</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w:t>
      </w:r>
      <w:r>
        <w:rPr>
          <w:rFonts w:hint="eastAsia" w:ascii="仿宋_GB2312" w:hAnsi="仿宋_GB2312" w:eastAsia="仿宋_GB2312" w:cs="仿宋_GB2312"/>
          <w:spacing w:val="9"/>
          <w:sz w:val="32"/>
          <w:szCs w:val="32"/>
        </w:rPr>
        <w:t>同</w:t>
      </w:r>
      <w:r>
        <w:rPr>
          <w:rFonts w:hint="eastAsia" w:ascii="仿宋_GB2312" w:hAnsi="仿宋_GB2312" w:eastAsia="仿宋_GB2312" w:cs="仿宋_GB2312"/>
          <w:spacing w:val="7"/>
          <w:sz w:val="32"/>
          <w:szCs w:val="32"/>
        </w:rPr>
        <w:t>时</w:t>
      </w:r>
      <w:r>
        <w:rPr>
          <w:rFonts w:hint="eastAsia" w:ascii="仿宋_GB2312" w:hAnsi="仿宋_GB2312" w:eastAsia="仿宋_GB2312" w:cs="仿宋_GB2312"/>
          <w:spacing w:val="7"/>
          <w:sz w:val="32"/>
          <w:szCs w:val="32"/>
          <w:lang w:val="en-US" w:eastAsia="zh-CN"/>
        </w:rPr>
        <w:t>派员奔赴深圳、江门两地</w:t>
      </w:r>
      <w:r>
        <w:rPr>
          <w:rFonts w:hint="eastAsia" w:ascii="仿宋_GB2312" w:hAnsi="仿宋_GB2312" w:eastAsia="仿宋_GB2312" w:cs="仿宋_GB2312"/>
          <w:spacing w:val="7"/>
          <w:sz w:val="32"/>
          <w:szCs w:val="32"/>
        </w:rPr>
        <w:t>进行实地调研，了解</w:t>
      </w:r>
      <w:r>
        <w:rPr>
          <w:rFonts w:hint="eastAsia" w:ascii="仿宋_GB2312" w:hAnsi="仿宋_GB2312" w:eastAsia="仿宋_GB2312" w:cs="仿宋_GB2312"/>
          <w:spacing w:val="7"/>
          <w:sz w:val="32"/>
          <w:szCs w:val="32"/>
          <w:lang w:val="en-US" w:eastAsia="zh-CN"/>
        </w:rPr>
        <w:t>这两个地方规范的实施情况</w:t>
      </w:r>
      <w:r>
        <w:rPr>
          <w:rFonts w:hint="eastAsia" w:ascii="仿宋_GB2312" w:hAnsi="仿宋_GB2312" w:eastAsia="仿宋_GB2312" w:cs="仿宋_GB2312"/>
          <w:spacing w:val="7"/>
          <w:sz w:val="32"/>
          <w:szCs w:val="32"/>
        </w:rPr>
        <w:t>，在此基础上形成本标准编制的</w:t>
      </w:r>
      <w:r>
        <w:rPr>
          <w:rFonts w:hint="eastAsia" w:ascii="仿宋_GB2312" w:hAnsi="仿宋_GB2312" w:eastAsia="仿宋_GB2312" w:cs="仿宋_GB2312"/>
          <w:spacing w:val="12"/>
          <w:sz w:val="32"/>
          <w:szCs w:val="32"/>
        </w:rPr>
        <w:t>基</w:t>
      </w:r>
      <w:r>
        <w:rPr>
          <w:rFonts w:hint="eastAsia" w:ascii="仿宋_GB2312" w:hAnsi="仿宋_GB2312" w:eastAsia="仿宋_GB2312" w:cs="仿宋_GB2312"/>
          <w:spacing w:val="7"/>
          <w:sz w:val="32"/>
          <w:szCs w:val="32"/>
        </w:rPr>
        <w:t>本思路和框架。</w:t>
      </w:r>
    </w:p>
    <w:p w14:paraId="4596BD7A">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9" w:firstLineChars="200"/>
        <w:jc w:val="both"/>
        <w:textAlignment w:val="baseline"/>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14"/>
          <w:position w:val="1"/>
          <w:sz w:val="32"/>
          <w:szCs w:val="32"/>
          <w14:textOutline w14:w="4358" w14:cap="sq" w14:cmpd="sng">
            <w14:solidFill>
              <w14:srgbClr w14:val="000000"/>
            </w14:solidFill>
            <w14:prstDash w14:val="solid"/>
            <w14:bevel/>
          </w14:textOutline>
        </w:rPr>
        <w:t>3</w:t>
      </w:r>
      <w:r>
        <w:rPr>
          <w:rFonts w:hint="eastAsia" w:ascii="楷体_GB2312" w:hAnsi="楷体_GB2312" w:eastAsia="楷体_GB2312" w:cs="楷体_GB2312"/>
          <w:b/>
          <w:bCs/>
          <w:spacing w:val="14"/>
          <w:position w:val="1"/>
          <w:sz w:val="32"/>
          <w:szCs w:val="32"/>
          <w:lang w:val="en-US" w:eastAsia="zh-CN"/>
          <w14:textOutline w14:w="4358" w14:cap="sq" w14:cmpd="sng">
            <w14:solidFill>
              <w14:srgbClr w14:val="000000"/>
            </w14:solidFill>
            <w14:prstDash w14:val="solid"/>
            <w14:bevel/>
          </w14:textOutline>
        </w:rPr>
        <w:t>.</w:t>
      </w:r>
      <w:r>
        <w:rPr>
          <w:rFonts w:hint="eastAsia" w:ascii="楷体_GB2312" w:hAnsi="楷体_GB2312" w:eastAsia="楷体_GB2312" w:cs="楷体_GB2312"/>
          <w:b/>
          <w:bCs/>
          <w:spacing w:val="14"/>
          <w:position w:val="1"/>
          <w:sz w:val="32"/>
          <w:szCs w:val="32"/>
          <w14:textOutline w14:w="4358" w14:cap="sq" w14:cmpd="sng">
            <w14:solidFill>
              <w14:srgbClr w14:val="000000"/>
            </w14:solidFill>
            <w14:prstDash w14:val="solid"/>
            <w14:bevel/>
          </w14:textOutline>
        </w:rPr>
        <w:t>标准起草</w:t>
      </w:r>
    </w:p>
    <w:p w14:paraId="4DE4117D">
      <w:pPr>
        <w:keepNext w:val="0"/>
        <w:keepLines w:val="0"/>
        <w:pageBreakBefore w:val="0"/>
        <w:widowControl/>
        <w:kinsoku w:val="0"/>
        <w:wordWrap/>
        <w:overflowPunct/>
        <w:topLinePunct w:val="0"/>
        <w:autoSpaceDE w:val="0"/>
        <w:autoSpaceDN w:val="0"/>
        <w:bidi w:val="0"/>
        <w:adjustRightInd w:val="0"/>
        <w:snapToGrid w:val="0"/>
        <w:spacing w:before="155" w:line="360" w:lineRule="auto"/>
        <w:ind w:right="14" w:firstLine="668" w:firstLineChars="200"/>
        <w:jc w:val="both"/>
        <w:textAlignment w:val="baseline"/>
        <w:rPr>
          <w:rFonts w:hint="eastAsia" w:ascii="仿宋_GB2312" w:hAnsi="仿宋_GB2312" w:eastAsia="仿宋_GB2312" w:cs="仿宋_GB2312"/>
          <w:spacing w:val="7"/>
          <w:sz w:val="32"/>
          <w:szCs w:val="32"/>
          <w:lang w:eastAsia="zh-CN"/>
        </w:rPr>
      </w:pPr>
      <w:r>
        <w:rPr>
          <w:rFonts w:hint="eastAsia" w:ascii="仿宋_GB2312" w:hAnsi="仿宋_GB2312" w:eastAsia="仿宋_GB2312" w:cs="仿宋_GB2312"/>
          <w:spacing w:val="7"/>
          <w:sz w:val="32"/>
          <w:szCs w:val="32"/>
          <w:lang w:eastAsia="zh-CN"/>
        </w:rPr>
        <w:t>标准编制组在收集资料和实地调研基础上，经过深入的分析研究，形成了标准</w:t>
      </w:r>
      <w:r>
        <w:rPr>
          <w:rFonts w:hint="eastAsia" w:ascii="仿宋_GB2312" w:hAnsi="仿宋_GB2312" w:eastAsia="仿宋_GB2312" w:cs="仿宋_GB2312"/>
          <w:spacing w:val="7"/>
          <w:sz w:val="32"/>
          <w:szCs w:val="32"/>
          <w:lang w:val="en-US" w:eastAsia="zh-CN"/>
        </w:rPr>
        <w:t>初稿</w:t>
      </w:r>
      <w:r>
        <w:rPr>
          <w:rFonts w:hint="eastAsia" w:ascii="仿宋_GB2312" w:hAnsi="仿宋_GB2312" w:eastAsia="仿宋_GB2312" w:cs="仿宋_GB2312"/>
          <w:spacing w:val="7"/>
          <w:sz w:val="32"/>
          <w:szCs w:val="32"/>
          <w:lang w:eastAsia="zh-CN"/>
        </w:rPr>
        <w:t>，经过多次内部讨论修改，形成标准</w:t>
      </w:r>
      <w:r>
        <w:rPr>
          <w:rFonts w:hint="eastAsia" w:ascii="仿宋_GB2312" w:hAnsi="仿宋_GB2312" w:eastAsia="仿宋_GB2312" w:cs="仿宋_GB2312"/>
          <w:spacing w:val="7"/>
          <w:sz w:val="32"/>
          <w:szCs w:val="32"/>
          <w:lang w:val="en-US" w:eastAsia="zh-CN"/>
        </w:rPr>
        <w:t>征求意见稿</w:t>
      </w:r>
      <w:r>
        <w:rPr>
          <w:rFonts w:hint="eastAsia" w:ascii="仿宋_GB2312" w:hAnsi="仿宋_GB2312" w:eastAsia="仿宋_GB2312" w:cs="仿宋_GB2312"/>
          <w:spacing w:val="7"/>
          <w:sz w:val="32"/>
          <w:szCs w:val="32"/>
          <w:lang w:eastAsia="zh-CN"/>
        </w:rPr>
        <w:t>。</w:t>
      </w:r>
    </w:p>
    <w:p w14:paraId="204F6E88">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9" w:firstLineChars="200"/>
        <w:jc w:val="both"/>
        <w:textAlignment w:val="baseline"/>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14"/>
          <w:position w:val="1"/>
          <w:sz w:val="32"/>
          <w:szCs w:val="32"/>
          <w:lang w:val="en-US" w:eastAsia="zh-CN"/>
          <w14:textOutline w14:w="4358" w14:cap="sq" w14:cmpd="sng">
            <w14:solidFill>
              <w14:srgbClr w14:val="000000"/>
            </w14:solidFill>
            <w14:prstDash w14:val="solid"/>
            <w14:bevel/>
          </w14:textOutline>
        </w:rPr>
        <w:t>4.征求意见情况</w:t>
      </w:r>
    </w:p>
    <w:p w14:paraId="4DEEF50E">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68" w:firstLineChars="200"/>
        <w:jc w:val="both"/>
        <w:textAlignment w:val="baseline"/>
        <w:rPr>
          <w:rFonts w:hint="default" w:ascii="仿宋_GB2312" w:hAnsi="仿宋_GB2312" w:eastAsia="仿宋_GB2312" w:cs="仿宋_GB2312"/>
          <w:spacing w:val="7"/>
          <w:sz w:val="32"/>
          <w:szCs w:val="32"/>
          <w:lang w:val="en-US" w:eastAsia="zh-CN"/>
        </w:rPr>
      </w:pPr>
      <w:r>
        <w:rPr>
          <w:rFonts w:hint="eastAsia" w:ascii="仿宋_GB2312" w:hAnsi="仿宋_GB2312" w:eastAsia="仿宋_GB2312" w:cs="仿宋_GB2312"/>
          <w:spacing w:val="7"/>
          <w:sz w:val="32"/>
          <w:szCs w:val="32"/>
          <w:lang w:val="en-US" w:eastAsia="zh-CN"/>
        </w:rPr>
        <w:t>5月份，市消防救援支队通过政府门户网站公告，向社会公众征求意见，未收到社会公众反馈提出修改意见或建议。6月份，</w:t>
      </w:r>
      <w:r>
        <w:rPr>
          <w:rFonts w:hint="eastAsia" w:ascii="仿宋_GB2312" w:hAnsi="仿宋_GB2312" w:eastAsia="仿宋_GB2312" w:cs="仿宋_GB2312"/>
          <w:spacing w:val="7"/>
          <w:sz w:val="32"/>
          <w:szCs w:val="32"/>
          <w:lang w:eastAsia="zh-CN"/>
        </w:rPr>
        <w:t>市消防救援支队向市发展和改革局、教育局、科学技术局、工业和信息化局、公安局等</w:t>
      </w:r>
      <w:r>
        <w:rPr>
          <w:rFonts w:hint="eastAsia" w:ascii="仿宋_GB2312" w:hAnsi="仿宋_GB2312" w:eastAsia="仿宋_GB2312" w:cs="仿宋_GB2312"/>
          <w:spacing w:val="7"/>
          <w:sz w:val="32"/>
          <w:szCs w:val="32"/>
          <w:lang w:val="en-US" w:eastAsia="zh-CN"/>
        </w:rPr>
        <w:t>16个行业部门</w:t>
      </w:r>
      <w:r>
        <w:rPr>
          <w:rFonts w:hint="eastAsia" w:ascii="仿宋_GB2312" w:hAnsi="仿宋_GB2312" w:eastAsia="仿宋_GB2312" w:cs="仿宋_GB2312"/>
          <w:spacing w:val="7"/>
          <w:sz w:val="32"/>
          <w:szCs w:val="32"/>
          <w:lang w:eastAsia="zh-CN"/>
        </w:rPr>
        <w:t>征求修改意见建议。其中，</w:t>
      </w:r>
      <w:r>
        <w:rPr>
          <w:rFonts w:hint="eastAsia" w:ascii="仿宋_GB2312" w:hAnsi="仿宋_GB2312" w:eastAsia="仿宋_GB2312" w:cs="仿宋_GB2312"/>
          <w:spacing w:val="7"/>
          <w:sz w:val="32"/>
          <w:szCs w:val="32"/>
          <w:lang w:val="en-US" w:eastAsia="zh-CN"/>
        </w:rPr>
        <w:t>13个行业部门无修改意见，2个行业部门未提出意见，1个部门提出反馈意见1条。1条意见不予采纳，理由依据为数据统计范围不同，数据统计并不存在矛盾。</w:t>
      </w:r>
    </w:p>
    <w:p w14:paraId="6B2F1655">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9" w:firstLineChars="200"/>
        <w:jc w:val="both"/>
        <w:textAlignment w:val="baseline"/>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14"/>
          <w:position w:val="1"/>
          <w:sz w:val="32"/>
          <w:szCs w:val="32"/>
          <w:lang w:val="en-US" w:eastAsia="zh-CN"/>
          <w14:textOutline w14:w="4358" w14:cap="sq" w14:cmpd="sng">
            <w14:solidFill>
              <w14:srgbClr w14:val="000000"/>
            </w14:solidFill>
            <w14:prstDash w14:val="solid"/>
            <w14:bevel/>
          </w14:textOutline>
        </w:rPr>
        <w:t>5.</w:t>
      </w:r>
      <w:r>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t>技术审查情况</w:t>
      </w:r>
    </w:p>
    <w:p w14:paraId="1AA09AFF">
      <w:pPr>
        <w:keepNext w:val="0"/>
        <w:keepLines w:val="0"/>
        <w:pageBreakBefore w:val="0"/>
        <w:widowControl/>
        <w:kinsoku w:val="0"/>
        <w:wordWrap/>
        <w:overflowPunct/>
        <w:topLinePunct w:val="0"/>
        <w:autoSpaceDE w:val="0"/>
        <w:autoSpaceDN w:val="0"/>
        <w:bidi w:val="0"/>
        <w:adjustRightInd w:val="0"/>
        <w:snapToGrid w:val="0"/>
        <w:spacing w:before="155" w:line="360" w:lineRule="auto"/>
        <w:ind w:right="14" w:firstLine="668" w:firstLineChars="200"/>
        <w:jc w:val="both"/>
        <w:textAlignment w:val="baseline"/>
        <w:rPr>
          <w:rFonts w:hint="eastAsia" w:ascii="仿宋_GB2312" w:hAnsi="仿宋_GB2312" w:eastAsia="仿宋_GB2312" w:cs="仿宋_GB2312"/>
          <w:spacing w:val="7"/>
          <w:sz w:val="32"/>
          <w:szCs w:val="32"/>
          <w:highlight w:val="yellow"/>
          <w:lang w:val="en-US" w:eastAsia="zh-CN"/>
        </w:rPr>
      </w:pPr>
      <w:r>
        <w:rPr>
          <w:rFonts w:hint="eastAsia" w:ascii="仿宋_GB2312" w:hAnsi="仿宋_GB2312" w:eastAsia="仿宋_GB2312" w:cs="仿宋_GB2312"/>
          <w:spacing w:val="7"/>
          <w:sz w:val="32"/>
          <w:szCs w:val="32"/>
          <w:lang w:eastAsia="zh-CN"/>
        </w:rPr>
        <w:t>标准</w:t>
      </w:r>
      <w:r>
        <w:rPr>
          <w:rFonts w:hint="eastAsia" w:ascii="仿宋_GB2312" w:hAnsi="仿宋_GB2312" w:eastAsia="仿宋_GB2312" w:cs="仿宋_GB2312"/>
          <w:spacing w:val="7"/>
          <w:sz w:val="32"/>
          <w:szCs w:val="32"/>
          <w:highlight w:val="none"/>
          <w:lang w:eastAsia="zh-CN"/>
        </w:rPr>
        <w:t>编制组整理征求意见相关情况，形成了标准</w:t>
      </w:r>
      <w:r>
        <w:rPr>
          <w:rFonts w:hint="eastAsia" w:ascii="仿宋_GB2312" w:hAnsi="仿宋_GB2312" w:eastAsia="仿宋_GB2312" w:cs="仿宋_GB2312"/>
          <w:spacing w:val="7"/>
          <w:sz w:val="32"/>
          <w:szCs w:val="32"/>
          <w:highlight w:val="none"/>
          <w:lang w:val="en-US" w:eastAsia="zh-CN"/>
        </w:rPr>
        <w:t>送审稿并提交市消防救援支队组织审查</w:t>
      </w:r>
      <w:r>
        <w:rPr>
          <w:rFonts w:hint="eastAsia" w:ascii="仿宋_GB2312" w:hAnsi="仿宋_GB2312" w:eastAsia="仿宋_GB2312" w:cs="仿宋_GB2312"/>
          <w:spacing w:val="7"/>
          <w:sz w:val="32"/>
          <w:szCs w:val="32"/>
          <w:highlight w:val="none"/>
          <w:lang w:eastAsia="zh-CN"/>
        </w:rPr>
        <w:t>。</w:t>
      </w:r>
      <w:r>
        <w:rPr>
          <w:rFonts w:hint="eastAsia" w:ascii="仿宋_GB2312" w:hAnsi="仿宋_GB2312" w:eastAsia="仿宋_GB2312" w:cs="仿宋_GB2312"/>
          <w:spacing w:val="7"/>
          <w:sz w:val="32"/>
          <w:szCs w:val="32"/>
          <w:highlight w:val="none"/>
          <w:lang w:val="en-US" w:eastAsia="zh-CN"/>
        </w:rPr>
        <w:t>11月26日，市消防救援支队</w:t>
      </w:r>
      <w:r>
        <w:rPr>
          <w:rFonts w:hint="eastAsia" w:ascii="仿宋_GB2312" w:hAnsi="仿宋_GB2312" w:eastAsia="仿宋_GB2312" w:cs="仿宋_GB2312"/>
          <w:spacing w:val="7"/>
          <w:sz w:val="32"/>
          <w:szCs w:val="32"/>
          <w:highlight w:val="none"/>
          <w:lang w:eastAsia="zh-CN"/>
        </w:rPr>
        <w:t>组织标准送审稿技术评审会，会上各行业专家代表提出修改意见建议共</w:t>
      </w:r>
      <w:r>
        <w:rPr>
          <w:rFonts w:hint="eastAsia" w:ascii="仿宋_GB2312" w:hAnsi="仿宋_GB2312" w:eastAsia="仿宋_GB2312" w:cs="仿宋_GB2312"/>
          <w:spacing w:val="7"/>
          <w:sz w:val="32"/>
          <w:szCs w:val="32"/>
          <w:highlight w:val="none"/>
          <w:lang w:val="en-US" w:eastAsia="zh-CN"/>
        </w:rPr>
        <w:t>13条，采纳意见建议11条，不采纳意见建议2条，</w:t>
      </w:r>
      <w:r>
        <w:rPr>
          <w:rFonts w:hint="eastAsia" w:ascii="仿宋_GB2312" w:hAnsi="仿宋_GB2312" w:eastAsia="仿宋_GB2312" w:cs="仿宋_GB2312"/>
          <w:spacing w:val="7"/>
          <w:sz w:val="32"/>
          <w:szCs w:val="32"/>
          <w:highlight w:val="none"/>
          <w:lang w:eastAsia="zh-CN"/>
        </w:rPr>
        <w:t>形成了技术审查会意见汇总处理表，参会专家代表签名表决情况为一致通过该标准送审稿</w:t>
      </w:r>
      <w:r>
        <w:rPr>
          <w:rFonts w:hint="eastAsia" w:ascii="仿宋_GB2312" w:hAnsi="仿宋_GB2312" w:eastAsia="仿宋_GB2312" w:cs="仿宋_GB2312"/>
          <w:spacing w:val="7"/>
          <w:sz w:val="32"/>
          <w:szCs w:val="32"/>
          <w:highlight w:val="none"/>
          <w:lang w:val="en-US" w:eastAsia="zh-CN"/>
        </w:rPr>
        <w:t>。</w:t>
      </w:r>
    </w:p>
    <w:p w14:paraId="6CDEA493">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99" w:firstLineChars="200"/>
        <w:jc w:val="both"/>
        <w:textAlignment w:val="baseline"/>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14"/>
          <w:position w:val="1"/>
          <w:sz w:val="32"/>
          <w:szCs w:val="32"/>
          <w:lang w:val="en-US" w:eastAsia="zh-CN"/>
          <w14:textOutline w14:w="4358" w14:cap="sq" w14:cmpd="sng">
            <w14:solidFill>
              <w14:srgbClr w14:val="000000"/>
            </w14:solidFill>
            <w14:prstDash w14:val="solid"/>
            <w14:bevel/>
          </w14:textOutline>
        </w:rPr>
        <w:t>6.</w:t>
      </w:r>
      <w:r>
        <w:rPr>
          <w:rFonts w:hint="eastAsia" w:ascii="楷体_GB2312" w:hAnsi="楷体_GB2312" w:eastAsia="楷体_GB2312" w:cs="楷体_GB2312"/>
          <w:b/>
          <w:bCs/>
          <w:spacing w:val="14"/>
          <w:position w:val="1"/>
          <w:sz w:val="32"/>
          <w:szCs w:val="32"/>
          <w:lang w:eastAsia="zh-CN"/>
          <w14:textOutline w14:w="4358" w14:cap="sq" w14:cmpd="sng">
            <w14:solidFill>
              <w14:srgbClr w14:val="000000"/>
            </w14:solidFill>
            <w14:prstDash w14:val="solid"/>
            <w14:bevel/>
          </w14:textOutline>
        </w:rPr>
        <w:t>整理报批情况</w:t>
      </w:r>
    </w:p>
    <w:p w14:paraId="7D8CCAD9">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68" w:firstLineChars="200"/>
        <w:jc w:val="both"/>
        <w:textAlignment w:val="baseline"/>
        <w:rPr>
          <w:rFonts w:hint="eastAsia" w:ascii="楷体_GB2312" w:hAnsi="楷体_GB2312" w:eastAsia="楷体_GB2312" w:cs="楷体_GB2312"/>
          <w:b/>
          <w:bCs/>
          <w:spacing w:val="14"/>
          <w:position w:val="1"/>
          <w:sz w:val="32"/>
          <w:szCs w:val="32"/>
          <w:lang w:val="en-US" w:eastAsia="zh-CN"/>
          <w14:textOutline w14:w="4358" w14:cap="sq" w14:cmpd="sng">
            <w14:solidFill>
              <w14:srgbClr w14:val="000000"/>
            </w14:solidFill>
            <w14:prstDash w14:val="solid"/>
            <w14:bevel/>
          </w14:textOutline>
        </w:rPr>
      </w:pPr>
      <w:r>
        <w:rPr>
          <w:rFonts w:hint="eastAsia" w:ascii="仿宋_GB2312" w:hAnsi="仿宋_GB2312" w:eastAsia="仿宋_GB2312" w:cs="仿宋_GB2312"/>
          <w:spacing w:val="7"/>
          <w:sz w:val="32"/>
          <w:szCs w:val="32"/>
          <w:highlight w:val="none"/>
          <w:lang w:eastAsia="zh-CN"/>
        </w:rPr>
        <w:t>技术审查会后，由编制组整理评审相关材料</w:t>
      </w:r>
      <w:r>
        <w:rPr>
          <w:rFonts w:hint="eastAsia" w:ascii="仿宋_GB2312" w:hAnsi="仿宋_GB2312" w:eastAsia="仿宋_GB2312" w:cs="仿宋_GB2312"/>
          <w:spacing w:val="7"/>
          <w:sz w:val="32"/>
          <w:szCs w:val="32"/>
          <w:lang w:eastAsia="zh-CN"/>
        </w:rPr>
        <w:t>，含标准送审稿、会议签到表、意见汇总处理表、技术审查结论、专家签名表、会后专家反馈意见汇总处理表、公平竞争审查表等，修改形成了标准报批稿和编制说明，经市消防救援支队审核后</w:t>
      </w:r>
      <w:r>
        <w:rPr>
          <w:rFonts w:hint="eastAsia" w:ascii="仿宋_GB2312" w:hAnsi="仿宋_GB2312" w:eastAsia="仿宋_GB2312" w:cs="仿宋_GB2312"/>
          <w:spacing w:val="7"/>
          <w:sz w:val="32"/>
          <w:szCs w:val="32"/>
          <w:highlight w:val="none"/>
          <w:lang w:eastAsia="zh-CN"/>
        </w:rPr>
        <w:t>，</w:t>
      </w:r>
      <w:r>
        <w:rPr>
          <w:rFonts w:hint="eastAsia" w:ascii="仿宋_GB2312" w:hAnsi="仿宋_GB2312" w:eastAsia="仿宋_GB2312" w:cs="仿宋_GB2312"/>
          <w:spacing w:val="7"/>
          <w:sz w:val="32"/>
          <w:szCs w:val="32"/>
          <w:highlight w:val="none"/>
          <w:lang w:val="en-US" w:eastAsia="zh-CN"/>
        </w:rPr>
        <w:t>呈送揭阳市市场监管局审核、批准发布并报上级备案。</w:t>
      </w:r>
    </w:p>
    <w:p w14:paraId="4E86BCAF">
      <w:pPr>
        <w:keepNext w:val="0"/>
        <w:keepLines w:val="0"/>
        <w:pageBreakBefore w:val="0"/>
        <w:widowControl/>
        <w:kinsoku w:val="0"/>
        <w:wordWrap/>
        <w:overflowPunct/>
        <w:topLinePunct w:val="0"/>
        <w:autoSpaceDE w:val="0"/>
        <w:autoSpaceDN w:val="0"/>
        <w:bidi w:val="0"/>
        <w:adjustRightInd w:val="0"/>
        <w:snapToGrid w:val="0"/>
        <w:spacing w:before="38" w:line="360" w:lineRule="auto"/>
        <w:ind w:firstLine="624" w:firstLineChars="200"/>
        <w:jc w:val="both"/>
        <w:textAlignment w:val="baseline"/>
        <w:outlineLvl w:val="0"/>
        <w:rPr>
          <w:rFonts w:ascii="黑体" w:hAnsi="黑体" w:eastAsia="黑体" w:cs="黑体"/>
          <w:sz w:val="32"/>
          <w:szCs w:val="32"/>
        </w:rPr>
      </w:pPr>
      <w:r>
        <w:rPr>
          <w:rFonts w:ascii="黑体" w:hAnsi="黑体" w:eastAsia="黑体" w:cs="黑体"/>
          <w:spacing w:val="-4"/>
          <w:sz w:val="32"/>
          <w:szCs w:val="32"/>
        </w:rPr>
        <w:t>四、</w:t>
      </w:r>
      <w:r>
        <w:rPr>
          <w:rFonts w:ascii="黑体" w:hAnsi="黑体" w:eastAsia="黑体" w:cs="黑体"/>
          <w:spacing w:val="-2"/>
          <w:sz w:val="32"/>
          <w:szCs w:val="32"/>
        </w:rPr>
        <w:t>标准制定的主要内容</w:t>
      </w:r>
    </w:p>
    <w:p w14:paraId="3242BF81">
      <w:pPr>
        <w:keepNext w:val="0"/>
        <w:keepLines w:val="0"/>
        <w:pageBreakBefore w:val="0"/>
        <w:widowControl/>
        <w:kinsoku w:val="0"/>
        <w:wordWrap/>
        <w:overflowPunct/>
        <w:topLinePunct w:val="0"/>
        <w:autoSpaceDE w:val="0"/>
        <w:autoSpaceDN w:val="0"/>
        <w:bidi w:val="0"/>
        <w:adjustRightInd w:val="0"/>
        <w:snapToGrid w:val="0"/>
        <w:spacing w:before="221" w:line="360" w:lineRule="auto"/>
        <w:ind w:firstLine="651" w:firstLineChars="200"/>
        <w:jc w:val="both"/>
        <w:textAlignment w:val="baseline"/>
        <w:outlineLvl w:val="0"/>
        <w:rPr>
          <w:rFonts w:hint="eastAsia" w:ascii="楷体_GB2312" w:hAnsi="楷体_GB2312" w:eastAsia="楷体_GB2312" w:cs="楷体_GB2312"/>
          <w:b/>
          <w:bCs/>
          <w:sz w:val="32"/>
          <w:szCs w:val="32"/>
        </w:rPr>
      </w:pPr>
      <w:r>
        <w:rPr>
          <w:rFonts w:hint="eastAsia" w:ascii="楷体_GB2312" w:hAnsi="楷体_GB2312" w:eastAsia="楷体_GB2312" w:cs="楷体_GB2312"/>
          <w:b/>
          <w:bCs/>
          <w:spacing w:val="2"/>
          <w:position w:val="1"/>
          <w:sz w:val="32"/>
          <w:szCs w:val="32"/>
          <w:lang w:val="en-US" w:eastAsia="zh-CN"/>
          <w14:textOutline w14:w="4358" w14:cap="sq" w14:cmpd="sng">
            <w14:solidFill>
              <w14:srgbClr w14:val="000000"/>
            </w14:solidFill>
            <w14:prstDash w14:val="solid"/>
            <w14:bevel/>
          </w14:textOutline>
        </w:rPr>
        <w:t>1.</w:t>
      </w:r>
      <w:r>
        <w:rPr>
          <w:rFonts w:hint="eastAsia" w:ascii="楷体_GB2312" w:hAnsi="楷体_GB2312" w:eastAsia="楷体_GB2312" w:cs="楷体_GB2312"/>
          <w:b/>
          <w:bCs/>
          <w:spacing w:val="2"/>
          <w:position w:val="1"/>
          <w:sz w:val="32"/>
          <w:szCs w:val="32"/>
          <w14:textOutline w14:w="4358" w14:cap="sq" w14:cmpd="sng">
            <w14:solidFill>
              <w14:srgbClr w14:val="000000"/>
            </w14:solidFill>
            <w14:prstDash w14:val="solid"/>
            <w14:bevel/>
          </w14:textOutline>
        </w:rPr>
        <w:t>范围</w:t>
      </w:r>
    </w:p>
    <w:p w14:paraId="381F763C">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本标准规定了电动自行车停放充电场所的建筑总平面布局、建筑平面布置与防火分隔、建筑构造与装修、安全疏散、消防设施和器材要求、电气要求、消防应急照明和疏散指示标志、消防安全管理等要求。</w:t>
      </w:r>
    </w:p>
    <w:p w14:paraId="70157C0E">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本标准适用于揭阳市内新建、改建和扩建的电动自行车停放充电场所的消防安全设计、施工、验收，已投入使用的电动自行车停放充电场所按照本标准执行。</w:t>
      </w:r>
    </w:p>
    <w:p w14:paraId="4CF52DBF">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宋体" w:hAnsi="宋体" w:eastAsia="宋体" w:cs="宋体"/>
          <w:spacing w:val="4"/>
          <w:sz w:val="32"/>
          <w:szCs w:val="32"/>
          <w:lang w:val="en-US" w:eastAsia="zh-CN"/>
        </w:rPr>
      </w:pPr>
      <w:r>
        <w:rPr>
          <w:rFonts w:hint="eastAsia" w:ascii="仿宋_GB2312" w:hAnsi="仿宋_GB2312" w:eastAsia="仿宋_GB2312" w:cs="仿宋_GB2312"/>
          <w:spacing w:val="12"/>
          <w:sz w:val="32"/>
          <w:szCs w:val="32"/>
          <w:lang w:val="en-US" w:eastAsia="zh-CN"/>
        </w:rPr>
        <w:t>电动三轮车、电动摩托车、共享电动自行车运营企业及其他电、车分离停放充电场所可参考本标准。</w:t>
      </w:r>
    </w:p>
    <w:p w14:paraId="4D254AE1">
      <w:pPr>
        <w:keepNext w:val="0"/>
        <w:keepLines w:val="0"/>
        <w:pageBreakBefore w:val="0"/>
        <w:widowControl/>
        <w:kinsoku w:val="0"/>
        <w:wordWrap/>
        <w:overflowPunct/>
        <w:topLinePunct w:val="0"/>
        <w:autoSpaceDE w:val="0"/>
        <w:autoSpaceDN w:val="0"/>
        <w:bidi w:val="0"/>
        <w:adjustRightInd w:val="0"/>
        <w:snapToGrid w:val="0"/>
        <w:spacing w:before="221" w:line="360" w:lineRule="auto"/>
        <w:ind w:firstLine="659" w:firstLineChars="200"/>
        <w:jc w:val="both"/>
        <w:textAlignment w:val="baseline"/>
        <w:outlineLvl w:val="0"/>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4"/>
          <w:position w:val="1"/>
          <w:sz w:val="32"/>
          <w:szCs w:val="32"/>
          <w:lang w:val="en-US" w:eastAsia="zh-CN"/>
          <w14:textOutline w14:w="4358" w14:cap="sq" w14:cmpd="sng">
            <w14:solidFill>
              <w14:srgbClr w14:val="000000"/>
            </w14:solidFill>
            <w14:prstDash w14:val="solid"/>
            <w14:bevel/>
          </w14:textOutline>
        </w:rPr>
        <w:t>2.</w:t>
      </w:r>
      <w:r>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t>规范性引用文件</w:t>
      </w:r>
      <w:bookmarkStart w:id="0" w:name="_GoBack"/>
      <w:bookmarkEnd w:id="0"/>
    </w:p>
    <w:p w14:paraId="531272A9">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列出了相关规范性引用文件。</w:t>
      </w:r>
    </w:p>
    <w:p w14:paraId="6C743C9E">
      <w:pPr>
        <w:keepNext w:val="0"/>
        <w:keepLines w:val="0"/>
        <w:pageBreakBefore w:val="0"/>
        <w:widowControl/>
        <w:kinsoku w:val="0"/>
        <w:wordWrap/>
        <w:overflowPunct/>
        <w:topLinePunct w:val="0"/>
        <w:autoSpaceDE w:val="0"/>
        <w:autoSpaceDN w:val="0"/>
        <w:bidi w:val="0"/>
        <w:adjustRightInd w:val="0"/>
        <w:snapToGrid w:val="0"/>
        <w:spacing w:before="221" w:line="360" w:lineRule="auto"/>
        <w:ind w:firstLine="659" w:firstLineChars="200"/>
        <w:jc w:val="both"/>
        <w:textAlignment w:val="baseline"/>
        <w:outlineLvl w:val="0"/>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4"/>
          <w:position w:val="1"/>
          <w:sz w:val="32"/>
          <w:szCs w:val="32"/>
          <w:lang w:val="en-US" w:eastAsia="zh-CN"/>
          <w14:textOutline w14:w="4358" w14:cap="sq" w14:cmpd="sng">
            <w14:solidFill>
              <w14:srgbClr w14:val="000000"/>
            </w14:solidFill>
            <w14:prstDash w14:val="solid"/>
            <w14:bevel/>
          </w14:textOutline>
        </w:rPr>
        <w:t>3.</w:t>
      </w:r>
      <w:r>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t>术语和定义</w:t>
      </w:r>
    </w:p>
    <w:p w14:paraId="3D78959E">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本章主要给出了术语的定义。</w:t>
      </w:r>
    </w:p>
    <w:p w14:paraId="0FF018E5">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21" w:line="360" w:lineRule="auto"/>
        <w:ind w:firstLine="659" w:firstLineChars="200"/>
        <w:jc w:val="both"/>
        <w:textAlignment w:val="baseline"/>
        <w:outlineLvl w:val="0"/>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4"/>
          <w:position w:val="1"/>
          <w:sz w:val="32"/>
          <w:szCs w:val="32"/>
          <w:lang w:val="en-US" w:eastAsia="zh-CN"/>
          <w14:textOutline w14:w="4358" w14:cap="sq" w14:cmpd="sng">
            <w14:solidFill>
              <w14:srgbClr w14:val="000000"/>
            </w14:solidFill>
            <w14:prstDash w14:val="solid"/>
            <w14:bevel/>
          </w14:textOutline>
        </w:rPr>
        <w:t>4.</w:t>
      </w:r>
      <w:r>
        <w:rPr>
          <w:rFonts w:hint="eastAsia" w:ascii="楷体_GB2312" w:hAnsi="楷体_GB2312" w:eastAsia="楷体_GB2312" w:cs="楷体_GB2312"/>
          <w:b/>
          <w:bCs/>
          <w:spacing w:val="4"/>
          <w:position w:val="1"/>
          <w:sz w:val="32"/>
          <w:szCs w:val="32"/>
          <w14:textOutline w14:w="4358" w14:cap="sq" w14:cmpd="sng">
            <w14:solidFill>
              <w14:srgbClr w14:val="000000"/>
            </w14:solidFill>
            <w14:prstDash w14:val="solid"/>
            <w14:bevel/>
          </w14:textOutline>
        </w:rPr>
        <w:t>建筑总平面布局</w:t>
      </w:r>
    </w:p>
    <w:p w14:paraId="5ECA50FA">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本章主要参考《建筑设计防火规范》对建筑总平面布局提出要求，包括合理的设置位置、防火间距以及不应占用防火间距、消防车道、消防车登高操作场地等。</w:t>
      </w:r>
    </w:p>
    <w:p w14:paraId="2A722E0F">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5.</w:t>
      </w:r>
      <w:r>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t>建筑平面布置与防火分隔</w:t>
      </w:r>
    </w:p>
    <w:p w14:paraId="188BCF11">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本章主要对平面布置和防火分隔提出要求，包括电动自行车停放充电场所进行规划、分组分隔、相关的警戒及标识等。</w:t>
      </w:r>
    </w:p>
    <w:p w14:paraId="3A33DA81">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6.建筑构造与装修</w:t>
      </w:r>
    </w:p>
    <w:p w14:paraId="700CED4B">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本章主要对建筑构造与装修提出要求，包括耐火极限、防火分区、装修材料等。</w:t>
      </w:r>
    </w:p>
    <w:p w14:paraId="7CBDBDFC">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7.安全疏散</w:t>
      </w:r>
    </w:p>
    <w:p w14:paraId="55C7382E">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本章主要对安全疏散提出要求，包括疏散出口、安全疏散距离等。</w:t>
      </w:r>
    </w:p>
    <w:p w14:paraId="43373D7E">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8.</w:t>
      </w:r>
      <w:r>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t>消防设施和器材要求</w:t>
      </w:r>
    </w:p>
    <w:p w14:paraId="314059E1">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消防设施和器材提出要求，包括设置消火栓系统、自动喷水系统、火灾自动报警系统和防排烟系统，另外增加了一个视频监控系统。排烟系统参考《建筑防烟排烟系统技术标准》的理念，鼓励采用自然排烟系统。</w:t>
      </w:r>
    </w:p>
    <w:p w14:paraId="38B0E92B">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9.</w:t>
      </w:r>
      <w:r>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t>电气要求</w:t>
      </w:r>
    </w:p>
    <w:p w14:paraId="37DE0B5B">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本章主要对电气提出要求，包括用电负荷、回路要求、电线电缆、载流量等提出要求。</w:t>
      </w:r>
    </w:p>
    <w:p w14:paraId="16B8A3C9">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10.消防应急照明和疏散指示标志</w:t>
      </w:r>
    </w:p>
    <w:p w14:paraId="04E6CEB6">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本章主要对消防应急照明和疏散指示标志提出要求，要求电动自行车停放充电场所应按要求设置应急照明和安全疏散指示系统。</w:t>
      </w:r>
    </w:p>
    <w:p w14:paraId="282F1B51">
      <w:pPr>
        <w:keepNext w:val="0"/>
        <w:keepLines w:val="0"/>
        <w:pageBreakBefore w:val="0"/>
        <w:widowControl/>
        <w:kinsoku w:val="0"/>
        <w:wordWrap/>
        <w:overflowPunct/>
        <w:topLinePunct w:val="0"/>
        <w:autoSpaceDE w:val="0"/>
        <w:autoSpaceDN w:val="0"/>
        <w:bidi w:val="0"/>
        <w:adjustRightInd w:val="0"/>
        <w:snapToGrid w:val="0"/>
        <w:spacing w:before="184" w:line="360" w:lineRule="auto"/>
        <w:ind w:firstLine="675" w:firstLineChars="200"/>
        <w:jc w:val="both"/>
        <w:textAlignment w:val="baseline"/>
        <w:outlineLvl w:val="0"/>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pPr>
      <w:r>
        <w:rPr>
          <w:rFonts w:hint="eastAsia" w:ascii="楷体_GB2312" w:hAnsi="楷体_GB2312" w:eastAsia="楷体_GB2312" w:cs="楷体_GB2312"/>
          <w:b/>
          <w:bCs/>
          <w:spacing w:val="8"/>
          <w:position w:val="1"/>
          <w:sz w:val="32"/>
          <w:szCs w:val="32"/>
          <w:lang w:val="en-US" w:eastAsia="zh-CN"/>
          <w14:textOutline w14:w="4358" w14:cap="sq" w14:cmpd="sng">
            <w14:solidFill>
              <w14:srgbClr w14:val="000000"/>
            </w14:solidFill>
            <w14:prstDash w14:val="solid"/>
            <w14:bevel/>
          </w14:textOutline>
        </w:rPr>
        <w:t>11.</w:t>
      </w:r>
      <w:r>
        <w:rPr>
          <w:rFonts w:hint="eastAsia" w:ascii="楷体_GB2312" w:hAnsi="楷体_GB2312" w:eastAsia="楷体_GB2312" w:cs="楷体_GB2312"/>
          <w:b/>
          <w:bCs/>
          <w:spacing w:val="8"/>
          <w:position w:val="1"/>
          <w:sz w:val="32"/>
          <w:szCs w:val="32"/>
          <w14:textOutline w14:w="4358" w14:cap="sq" w14:cmpd="sng">
            <w14:solidFill>
              <w14:srgbClr w14:val="000000"/>
            </w14:solidFill>
            <w14:prstDash w14:val="solid"/>
            <w14:bevel/>
          </w14:textOutline>
        </w:rPr>
        <w:t>消防安全管理</w:t>
      </w:r>
    </w:p>
    <w:p w14:paraId="0E7C1B1C">
      <w:pPr>
        <w:keepNext w:val="0"/>
        <w:keepLines w:val="0"/>
        <w:pageBreakBefore w:val="0"/>
        <w:widowControl/>
        <w:kinsoku w:val="0"/>
        <w:wordWrap/>
        <w:overflowPunct/>
        <w:topLinePunct w:val="0"/>
        <w:autoSpaceDE w:val="0"/>
        <w:autoSpaceDN w:val="0"/>
        <w:bidi w:val="0"/>
        <w:adjustRightInd w:val="0"/>
        <w:snapToGrid w:val="0"/>
        <w:spacing w:before="195" w:line="360" w:lineRule="auto"/>
        <w:ind w:right="82" w:firstLine="688" w:firstLineChars="200"/>
        <w:jc w:val="both"/>
        <w:textAlignment w:val="baseline"/>
        <w:rPr>
          <w:rFonts w:hint="eastAsia"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 xml:space="preserve">本章认真听取揭阳市消防救援支队的建议提出消防安全管理要求，明确了产权人、物业等相关单位的责任。明确了遵循“便民、惠民、利民”原则，鼓励采用多方合作的创新模式，推动智能电动自行车安全充电站等集中充电项目的建设，有效地解决电动自行车充电安全问题。禁止在消防车道、疏散通道、安全出口、楼梯间等公共区域停放电动自行车或充电；禁止私拉乱拉电线给自行车充电，同时提出了宣传、防火巡查、制定应急预案、消防演练等要求，争取防患于未然、贯彻以防为主的消防基本方针。                                  </w:t>
      </w:r>
    </w:p>
    <w:sectPr>
      <w:footerReference r:id="rId5" w:type="default"/>
      <w:pgSz w:w="11906" w:h="16839"/>
      <w:pgMar w:top="2098" w:right="1474" w:bottom="1984" w:left="15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9ED9E">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GRlYjYwN2M2MWNjYzFiYjY2NDU2YTg5MWM5ZGZiMmEifQ=="/>
  </w:docVars>
  <w:rsids>
    <w:rsidRoot w:val="00000000"/>
    <w:rsid w:val="00102FAF"/>
    <w:rsid w:val="03200295"/>
    <w:rsid w:val="03E70DB3"/>
    <w:rsid w:val="04A035C4"/>
    <w:rsid w:val="0C857C6D"/>
    <w:rsid w:val="0F2271BA"/>
    <w:rsid w:val="0F253946"/>
    <w:rsid w:val="100A4FCB"/>
    <w:rsid w:val="115468CC"/>
    <w:rsid w:val="13C8613C"/>
    <w:rsid w:val="1567003D"/>
    <w:rsid w:val="159A0DB2"/>
    <w:rsid w:val="1D55257F"/>
    <w:rsid w:val="1D567413"/>
    <w:rsid w:val="1D7117DB"/>
    <w:rsid w:val="1E0A7C63"/>
    <w:rsid w:val="1EEF67B4"/>
    <w:rsid w:val="231F2A4D"/>
    <w:rsid w:val="23412789"/>
    <w:rsid w:val="25682909"/>
    <w:rsid w:val="2EB21578"/>
    <w:rsid w:val="2ED06669"/>
    <w:rsid w:val="31CE458B"/>
    <w:rsid w:val="34CC595B"/>
    <w:rsid w:val="35C919C9"/>
    <w:rsid w:val="36A56566"/>
    <w:rsid w:val="37555A58"/>
    <w:rsid w:val="391E0D12"/>
    <w:rsid w:val="3B672FAD"/>
    <w:rsid w:val="408F36FD"/>
    <w:rsid w:val="41D23D77"/>
    <w:rsid w:val="4CE51152"/>
    <w:rsid w:val="52724CE2"/>
    <w:rsid w:val="54A25ED1"/>
    <w:rsid w:val="55E54C78"/>
    <w:rsid w:val="58C47EF0"/>
    <w:rsid w:val="5F3E0C78"/>
    <w:rsid w:val="623143C7"/>
    <w:rsid w:val="623E56C6"/>
    <w:rsid w:val="671215F2"/>
    <w:rsid w:val="68B53B88"/>
    <w:rsid w:val="6A173A52"/>
    <w:rsid w:val="6D31710F"/>
    <w:rsid w:val="6D4A0EB4"/>
    <w:rsid w:val="6F604B7F"/>
    <w:rsid w:val="70E84DB1"/>
    <w:rsid w:val="74650381"/>
    <w:rsid w:val="74650EE3"/>
    <w:rsid w:val="75F0011F"/>
    <w:rsid w:val="767451EE"/>
    <w:rsid w:val="77AD4F0F"/>
    <w:rsid w:val="7AE42885"/>
    <w:rsid w:val="7B45793F"/>
    <w:rsid w:val="7E753A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4563</Words>
  <Characters>4671</Characters>
  <TotalTime>1</TotalTime>
  <ScaleCrop>false</ScaleCrop>
  <LinksUpToDate>false</LinksUpToDate>
  <CharactersWithSpaces>4713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2021-12-02T17:50:00Z</dcterms:created>
  <dc:creator>admin</dc:creator>
  <cp:lastModifiedBy>哲增</cp:lastModifiedBy>
  <cp:lastPrinted>2023-06-03T01:55:00Z</cp:lastPrinted>
  <dcterms:modified xsi:type="dcterms:W3CDTF">2024-12-05T07:05:49Z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2023-05-15T09:19:29Z</vt:filetime>
  </property>
  <property fmtid="{D5CDD505-2E9C-101B-9397-08002B2CF9AE}" pid="4" name="KSOProductBuildVer">
    <vt:lpwstr>2052-12.1.0.19302</vt:lpwstr>
  </property>
  <property fmtid="{D5CDD505-2E9C-101B-9397-08002B2CF9AE}" pid="5" name="ICV">
    <vt:lpwstr>3FA5B2B38995484AAF1C34A13F4A4D52</vt:lpwstr>
  </property>
</Properties>
</file>