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403" w:type="dxa"/>
        <w:tblBorders>
          <w:top w:val="none" w:color="auto" w:sz="0" w:space="0"/>
          <w:left w:val="none" w:color="auto" w:sz="0" w:space="0"/>
          <w:bottom w:val="single" w:color="auto" w:sz="4"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063"/>
      </w:tblGrid>
      <w:tr w14:paraId="25F5DB3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26" w:hRule="atLeast"/>
        </w:trPr>
        <w:tc>
          <w:tcPr>
            <w:tcW w:w="10063" w:type="dxa"/>
            <w:shd w:val="clear" w:color="auto" w:fill="auto"/>
            <w:vAlign w:val="bottom"/>
          </w:tcPr>
          <w:p w14:paraId="1F2B9249">
            <w:pPr>
              <w:ind w:firstLine="6723" w:firstLineChars="700"/>
              <w:jc w:val="right"/>
              <w:rPr>
                <w:rFonts w:hint="default"/>
                <w:color w:val="auto"/>
                <w:sz w:val="1"/>
                <w:szCs w:val="1"/>
                <w:lang w:val="en-US"/>
              </w:rPr>
            </w:pPr>
            <w:r>
              <w:rPr>
                <w:rFonts w:ascii="Times New Roman" w:hAnsi="Times New Roman" w:eastAsia="Times New Roman" w:cs="Times New Roman"/>
                <w:b/>
                <w:bCs/>
                <w:color w:val="auto"/>
                <w:sz w:val="96"/>
                <w:szCs w:val="96"/>
              </w:rPr>
              <w:t>DB</w:t>
            </w:r>
            <w:r>
              <w:rPr>
                <w:rFonts w:hint="eastAsia" w:ascii="Times New Roman" w:hAnsi="Times New Roman" w:eastAsia="宋体" w:cs="Times New Roman"/>
                <w:b/>
                <w:bCs/>
                <w:color w:val="auto"/>
                <w:sz w:val="96"/>
                <w:szCs w:val="96"/>
                <w:lang w:val="en-US" w:eastAsia="zh-CN"/>
              </w:rPr>
              <w:t xml:space="preserve">** </w:t>
            </w:r>
          </w:p>
          <w:p w14:paraId="01794ABE">
            <w:pPr>
              <w:rPr>
                <w:color w:val="auto"/>
                <w:sz w:val="1"/>
                <w:szCs w:val="1"/>
              </w:rPr>
            </w:pPr>
          </w:p>
        </w:tc>
      </w:tr>
      <w:tr w14:paraId="70A2E34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857" w:hRule="atLeast"/>
        </w:trPr>
        <w:tc>
          <w:tcPr>
            <w:tcW w:w="10063" w:type="dxa"/>
            <w:shd w:val="clear" w:color="auto" w:fill="auto"/>
            <w:vAlign w:val="bottom"/>
          </w:tcPr>
          <w:p w14:paraId="7D7E8CDC">
            <w:pPr>
              <w:jc w:val="distribute"/>
              <w:rPr>
                <w:rFonts w:hint="eastAsia" w:ascii="黑体" w:hAnsi="黑体" w:eastAsia="黑体" w:cs="黑体"/>
                <w:color w:val="auto"/>
                <w:sz w:val="28"/>
                <w:szCs w:val="28"/>
                <w:lang w:val="en-US" w:eastAsia="zh-CN"/>
              </w:rPr>
            </w:pPr>
            <w:r>
              <w:rPr>
                <w:rFonts w:hint="eastAsia" w:ascii="黑体" w:hAnsi="黑体" w:eastAsia="黑体" w:cs="黑体"/>
                <w:color w:val="auto"/>
                <w:sz w:val="48"/>
                <w:szCs w:val="48"/>
              </w:rPr>
              <w:t>揭阳</w:t>
            </w:r>
            <w:r>
              <w:rPr>
                <w:rFonts w:ascii="黑体" w:hAnsi="黑体" w:eastAsia="黑体" w:cs="黑体"/>
                <w:color w:val="auto"/>
                <w:sz w:val="48"/>
                <w:szCs w:val="48"/>
              </w:rPr>
              <w:t>市</w:t>
            </w:r>
            <w:r>
              <w:rPr>
                <w:rFonts w:ascii="黑体" w:hAnsi="黑体" w:eastAsia="黑体" w:cs="黑体"/>
                <w:color w:val="auto"/>
                <w:w w:val="99"/>
                <w:sz w:val="48"/>
                <w:szCs w:val="48"/>
              </w:rPr>
              <w:t>地方</w:t>
            </w:r>
            <w:r>
              <w:rPr>
                <w:rFonts w:ascii="黑体" w:hAnsi="黑体" w:eastAsia="黑体" w:cs="黑体"/>
                <w:color w:val="auto"/>
                <w:w w:val="87"/>
                <w:sz w:val="48"/>
                <w:szCs w:val="48"/>
              </w:rPr>
              <w:t>标准</w:t>
            </w:r>
            <w:r>
              <w:rPr>
                <w:rFonts w:hint="eastAsia" w:ascii="黑体" w:hAnsi="黑体" w:eastAsia="黑体" w:cs="黑体"/>
                <w:color w:val="auto"/>
                <w:w w:val="87"/>
                <w:sz w:val="48"/>
                <w:szCs w:val="48"/>
                <w:lang w:val="en-US" w:eastAsia="zh-CN"/>
              </w:rPr>
              <w:t xml:space="preserve">   </w:t>
            </w:r>
          </w:p>
        </w:tc>
      </w:tr>
      <w:tr w14:paraId="46DAC05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493" w:hRule="atLeast"/>
        </w:trPr>
        <w:tc>
          <w:tcPr>
            <w:tcW w:w="10063" w:type="dxa"/>
            <w:shd w:val="clear" w:color="auto" w:fill="auto"/>
            <w:vAlign w:val="bottom"/>
          </w:tcPr>
          <w:p w14:paraId="1F0EC771">
            <w:pPr>
              <w:wordWrap/>
              <w:jc w:val="right"/>
              <w:rPr>
                <w:rFonts w:hint="default"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 xml:space="preserve">                                                 </w:t>
            </w:r>
            <w:r>
              <w:rPr>
                <w:rFonts w:ascii="黑体" w:hAnsi="黑体" w:eastAsia="黑体" w:cs="黑体"/>
                <w:color w:val="auto"/>
                <w:sz w:val="28"/>
                <w:szCs w:val="28"/>
              </w:rPr>
              <w:t>DB</w:t>
            </w:r>
            <w:r>
              <w:rPr>
                <w:rFonts w:hint="eastAsia" w:ascii="黑体" w:hAnsi="黑体" w:eastAsia="黑体" w:cs="黑体"/>
                <w:color w:val="auto"/>
                <w:sz w:val="28"/>
                <w:szCs w:val="28"/>
              </w:rPr>
              <w:t>**</w:t>
            </w:r>
            <w:r>
              <w:rPr>
                <w:rFonts w:hint="eastAsia" w:ascii="黑体" w:hAnsi="黑体" w:eastAsia="黑体" w:cs="黑体"/>
                <w:color w:val="auto"/>
                <w:sz w:val="28"/>
                <w:szCs w:val="28"/>
                <w:lang w:val="en-US" w:eastAsia="zh-CN"/>
              </w:rPr>
              <w:t>/T ****-</w:t>
            </w:r>
            <w:r>
              <w:rPr>
                <w:rFonts w:ascii="黑体" w:hAnsi="黑体" w:eastAsia="黑体" w:cs="黑体"/>
                <w:color w:val="auto"/>
                <w:sz w:val="28"/>
                <w:szCs w:val="28"/>
              </w:rPr>
              <w:t>202</w:t>
            </w:r>
            <w:r>
              <w:rPr>
                <w:rFonts w:hint="eastAsia" w:ascii="黑体" w:hAnsi="黑体" w:eastAsia="黑体" w:cs="黑体"/>
                <w:color w:val="auto"/>
                <w:sz w:val="28"/>
                <w:szCs w:val="28"/>
                <w:lang w:val="en-US" w:eastAsia="zh-CN"/>
              </w:rPr>
              <w:t xml:space="preserve">4 </w:t>
            </w:r>
          </w:p>
        </w:tc>
      </w:tr>
      <w:tr w14:paraId="7036A12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1507" w:hRule="atLeast"/>
        </w:trPr>
        <w:tc>
          <w:tcPr>
            <w:tcW w:w="10063" w:type="dxa"/>
            <w:shd w:val="clear" w:color="auto" w:fill="auto"/>
            <w:vAlign w:val="bottom"/>
          </w:tcPr>
          <w:p w14:paraId="77B64F9A">
            <w:pPr>
              <w:jc w:val="right"/>
              <w:rPr>
                <w:rFonts w:ascii="黑体" w:hAnsi="黑体" w:eastAsia="黑体" w:cs="黑体"/>
                <w:color w:val="auto"/>
                <w:sz w:val="28"/>
                <w:szCs w:val="28"/>
              </w:rPr>
            </w:pPr>
          </w:p>
        </w:tc>
      </w:tr>
    </w:tbl>
    <w:p w14:paraId="69ECB49A">
      <w:pPr>
        <w:spacing w:line="200" w:lineRule="exact"/>
        <w:rPr>
          <w:color w:val="auto"/>
          <w:sz w:val="24"/>
          <w:szCs w:val="24"/>
        </w:rPr>
      </w:pPr>
    </w:p>
    <w:p w14:paraId="4B13D857">
      <w:pPr>
        <w:spacing w:line="200" w:lineRule="exact"/>
        <w:rPr>
          <w:color w:val="auto"/>
          <w:sz w:val="24"/>
          <w:szCs w:val="24"/>
        </w:rPr>
      </w:pPr>
    </w:p>
    <w:p w14:paraId="240B192F">
      <w:pPr>
        <w:spacing w:line="200" w:lineRule="exact"/>
        <w:rPr>
          <w:color w:val="auto"/>
          <w:sz w:val="24"/>
          <w:szCs w:val="24"/>
        </w:rPr>
      </w:pPr>
    </w:p>
    <w:p w14:paraId="6E1D5768">
      <w:pPr>
        <w:spacing w:line="200" w:lineRule="exact"/>
        <w:rPr>
          <w:color w:val="auto"/>
          <w:sz w:val="24"/>
          <w:szCs w:val="24"/>
        </w:rPr>
      </w:pPr>
    </w:p>
    <w:p w14:paraId="37789DE6">
      <w:pPr>
        <w:spacing w:line="200" w:lineRule="exact"/>
        <w:rPr>
          <w:color w:val="auto"/>
          <w:sz w:val="24"/>
          <w:szCs w:val="24"/>
        </w:rPr>
      </w:pPr>
    </w:p>
    <w:p w14:paraId="46B00B34">
      <w:pPr>
        <w:spacing w:line="362" w:lineRule="exact"/>
        <w:rPr>
          <w:color w:val="auto"/>
          <w:sz w:val="24"/>
          <w:szCs w:val="24"/>
        </w:rPr>
      </w:pPr>
    </w:p>
    <w:p w14:paraId="1F347DF4">
      <w:pPr>
        <w:ind w:left="120"/>
        <w:rPr>
          <w:rFonts w:hint="eastAsia" w:eastAsia="黑体"/>
          <w:color w:val="auto"/>
          <w:sz w:val="20"/>
          <w:szCs w:val="20"/>
          <w:lang w:eastAsia="zh-CN"/>
        </w:rPr>
      </w:pPr>
      <w:r>
        <w:rPr>
          <w:rFonts w:ascii="黑体" w:hAnsi="黑体" w:eastAsia="黑体" w:cs="黑体"/>
          <w:color w:val="auto"/>
          <w:sz w:val="52"/>
          <w:szCs w:val="52"/>
        </w:rPr>
        <w:t>电动自行车停放充电场所消防安全</w:t>
      </w:r>
      <w:r>
        <w:rPr>
          <w:rFonts w:hint="eastAsia" w:ascii="黑体" w:hAnsi="黑体" w:eastAsia="黑体" w:cs="黑体"/>
          <w:color w:val="auto"/>
          <w:sz w:val="52"/>
          <w:szCs w:val="52"/>
          <w:lang w:eastAsia="zh-CN"/>
        </w:rPr>
        <w:t>规范</w:t>
      </w:r>
    </w:p>
    <w:p w14:paraId="6382161B">
      <w:pPr>
        <w:spacing w:line="200" w:lineRule="exact"/>
        <w:rPr>
          <w:color w:val="auto"/>
          <w:sz w:val="24"/>
          <w:szCs w:val="24"/>
        </w:rPr>
      </w:pPr>
    </w:p>
    <w:p w14:paraId="77C0C8B1">
      <w:pPr>
        <w:spacing w:line="302" w:lineRule="exact"/>
        <w:rPr>
          <w:color w:val="auto"/>
          <w:sz w:val="24"/>
          <w:szCs w:val="24"/>
        </w:rPr>
      </w:pPr>
    </w:p>
    <w:p w14:paraId="5F1EC2CA">
      <w:pPr>
        <w:spacing w:line="274" w:lineRule="auto"/>
        <w:ind w:right="300"/>
        <w:jc w:val="center"/>
        <w:rPr>
          <w:rFonts w:hint="eastAsia" w:ascii="黑体" w:hAnsi="黑体" w:eastAsia="黑体" w:cs="黑体"/>
          <w:color w:val="auto"/>
          <w:sz w:val="28"/>
          <w:szCs w:val="28"/>
          <w:lang w:val="en-US" w:eastAsia="zh-CN"/>
        </w:rPr>
      </w:pPr>
      <w:r>
        <w:rPr>
          <w:rFonts w:hint="eastAsia" w:ascii="黑体" w:hAnsi="黑体" w:eastAsia="黑体" w:cs="黑体"/>
          <w:sz w:val="28"/>
          <w:szCs w:val="28"/>
          <w:lang w:val="en-US" w:eastAsia="zh-CN"/>
        </w:rPr>
        <w:t>Code for fire protection safety of electric bicycle parking and charging place</w:t>
      </w:r>
    </w:p>
    <w:p w14:paraId="1A1C460F">
      <w:pPr>
        <w:spacing w:line="274" w:lineRule="auto"/>
        <w:ind w:right="300"/>
        <w:jc w:val="center"/>
        <w:rPr>
          <w:rFonts w:hint="eastAsia" w:ascii="仿宋_GB2312" w:hAnsi="仿宋_GB2312" w:eastAsia="仿宋_GB2312" w:cs="仿宋_GB2312"/>
          <w:color w:val="auto"/>
          <w:sz w:val="28"/>
          <w:szCs w:val="28"/>
          <w:lang w:val="en-US" w:eastAsia="zh-CN"/>
        </w:rPr>
      </w:pPr>
    </w:p>
    <w:p w14:paraId="6572E63F">
      <w:pPr>
        <w:spacing w:line="274" w:lineRule="auto"/>
        <w:ind w:right="300"/>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(报批稿)</w:t>
      </w:r>
    </w:p>
    <w:p w14:paraId="075AE9E4">
      <w:pPr>
        <w:spacing w:line="274" w:lineRule="auto"/>
        <w:ind w:left="4180" w:right="300" w:hanging="4463"/>
        <w:rPr>
          <w:rFonts w:ascii="黑体" w:hAnsi="黑体" w:eastAsia="黑体" w:cs="黑体"/>
          <w:color w:val="auto"/>
          <w:sz w:val="28"/>
          <w:szCs w:val="28"/>
        </w:rPr>
      </w:pPr>
    </w:p>
    <w:p w14:paraId="44727A9D">
      <w:pPr>
        <w:spacing w:line="274" w:lineRule="auto"/>
        <w:ind w:left="4180" w:right="300" w:hanging="4463"/>
        <w:rPr>
          <w:color w:val="auto"/>
          <w:sz w:val="24"/>
          <w:szCs w:val="24"/>
        </w:rPr>
      </w:pPr>
    </w:p>
    <w:p w14:paraId="784C8516">
      <w:pPr>
        <w:spacing w:line="200" w:lineRule="exact"/>
        <w:rPr>
          <w:color w:val="auto"/>
          <w:sz w:val="24"/>
          <w:szCs w:val="24"/>
        </w:rPr>
      </w:pPr>
    </w:p>
    <w:p w14:paraId="42D54CA3">
      <w:pPr>
        <w:spacing w:line="200" w:lineRule="exact"/>
        <w:rPr>
          <w:color w:val="auto"/>
          <w:sz w:val="24"/>
          <w:szCs w:val="24"/>
        </w:rPr>
      </w:pPr>
    </w:p>
    <w:p w14:paraId="32B22344">
      <w:pPr>
        <w:spacing w:line="200" w:lineRule="exact"/>
        <w:rPr>
          <w:color w:val="auto"/>
          <w:sz w:val="24"/>
          <w:szCs w:val="24"/>
        </w:rPr>
      </w:pPr>
    </w:p>
    <w:p w14:paraId="09B6DEEE">
      <w:pPr>
        <w:spacing w:line="200" w:lineRule="exact"/>
        <w:rPr>
          <w:color w:val="auto"/>
          <w:sz w:val="24"/>
          <w:szCs w:val="24"/>
        </w:rPr>
      </w:pPr>
    </w:p>
    <w:p w14:paraId="6F7E6C60">
      <w:pPr>
        <w:spacing w:line="200" w:lineRule="exact"/>
        <w:rPr>
          <w:color w:val="auto"/>
          <w:sz w:val="24"/>
          <w:szCs w:val="24"/>
        </w:rPr>
      </w:pPr>
    </w:p>
    <w:p w14:paraId="458962DF">
      <w:pPr>
        <w:spacing w:line="200" w:lineRule="exact"/>
        <w:rPr>
          <w:color w:val="auto"/>
          <w:sz w:val="24"/>
          <w:szCs w:val="24"/>
        </w:rPr>
      </w:pPr>
    </w:p>
    <w:p w14:paraId="53FE39FC">
      <w:pPr>
        <w:spacing w:line="200" w:lineRule="exact"/>
        <w:rPr>
          <w:color w:val="auto"/>
          <w:sz w:val="24"/>
          <w:szCs w:val="24"/>
        </w:rPr>
      </w:pPr>
    </w:p>
    <w:p w14:paraId="2046EDAA">
      <w:pPr>
        <w:spacing w:line="200" w:lineRule="exact"/>
        <w:rPr>
          <w:color w:val="auto"/>
          <w:sz w:val="24"/>
          <w:szCs w:val="24"/>
        </w:rPr>
      </w:pPr>
    </w:p>
    <w:p w14:paraId="79DC27F5">
      <w:pPr>
        <w:spacing w:line="200" w:lineRule="exact"/>
        <w:rPr>
          <w:color w:val="auto"/>
          <w:sz w:val="24"/>
          <w:szCs w:val="24"/>
        </w:rPr>
      </w:pPr>
    </w:p>
    <w:p w14:paraId="11ABF0F1">
      <w:pPr>
        <w:spacing w:line="200" w:lineRule="exact"/>
        <w:rPr>
          <w:color w:val="auto"/>
          <w:sz w:val="24"/>
          <w:szCs w:val="24"/>
        </w:rPr>
      </w:pPr>
    </w:p>
    <w:p w14:paraId="08127F80">
      <w:pPr>
        <w:spacing w:line="200" w:lineRule="exact"/>
        <w:rPr>
          <w:color w:val="auto"/>
          <w:sz w:val="24"/>
          <w:szCs w:val="24"/>
        </w:rPr>
      </w:pPr>
    </w:p>
    <w:p w14:paraId="70ACCF4B">
      <w:pPr>
        <w:spacing w:line="200" w:lineRule="exact"/>
        <w:rPr>
          <w:color w:val="auto"/>
          <w:sz w:val="24"/>
          <w:szCs w:val="24"/>
        </w:rPr>
      </w:pPr>
    </w:p>
    <w:p w14:paraId="3044FB70">
      <w:pPr>
        <w:spacing w:line="200" w:lineRule="exact"/>
        <w:rPr>
          <w:color w:val="auto"/>
          <w:sz w:val="24"/>
          <w:szCs w:val="24"/>
        </w:rPr>
      </w:pPr>
    </w:p>
    <w:p w14:paraId="6E12D79C">
      <w:pPr>
        <w:spacing w:line="200" w:lineRule="exact"/>
        <w:rPr>
          <w:color w:val="auto"/>
          <w:sz w:val="24"/>
          <w:szCs w:val="24"/>
        </w:rPr>
      </w:pPr>
    </w:p>
    <w:p w14:paraId="4A000D3E">
      <w:pPr>
        <w:spacing w:line="200" w:lineRule="exact"/>
        <w:rPr>
          <w:color w:val="auto"/>
          <w:sz w:val="24"/>
          <w:szCs w:val="24"/>
        </w:rPr>
      </w:pPr>
    </w:p>
    <w:p w14:paraId="63048BA2">
      <w:pPr>
        <w:spacing w:line="200" w:lineRule="exact"/>
        <w:rPr>
          <w:color w:val="auto"/>
          <w:sz w:val="24"/>
          <w:szCs w:val="24"/>
        </w:rPr>
      </w:pPr>
    </w:p>
    <w:p w14:paraId="6776B4B1">
      <w:pPr>
        <w:spacing w:line="200" w:lineRule="exact"/>
        <w:rPr>
          <w:color w:val="auto"/>
          <w:sz w:val="24"/>
          <w:szCs w:val="24"/>
        </w:rPr>
      </w:pPr>
    </w:p>
    <w:p w14:paraId="2909B1E5">
      <w:pPr>
        <w:spacing w:line="386" w:lineRule="exact"/>
        <w:rPr>
          <w:color w:val="auto"/>
          <w:sz w:val="24"/>
          <w:szCs w:val="24"/>
        </w:rPr>
      </w:pPr>
    </w:p>
    <w:p w14:paraId="1E0FE36A">
      <w:pPr>
        <w:tabs>
          <w:tab w:val="left" w:pos="7620"/>
        </w:tabs>
        <w:jc w:val="both"/>
        <w:rPr>
          <w:color w:val="auto"/>
          <w:sz w:val="20"/>
          <w:szCs w:val="20"/>
          <w:u w:val="single"/>
        </w:rPr>
      </w:pPr>
      <w:r>
        <w:rPr>
          <w:rFonts w:ascii="黑体" w:hAnsi="黑体" w:eastAsia="黑体" w:cs="黑体"/>
          <w:color w:val="auto"/>
          <w:sz w:val="28"/>
          <w:szCs w:val="28"/>
          <w:u w:val="single"/>
        </w:rPr>
        <w:t>202</w:t>
      </w:r>
      <w:r>
        <w:rPr>
          <w:rFonts w:hint="eastAsia" w:ascii="黑体" w:hAnsi="黑体" w:eastAsia="黑体" w:cs="黑体"/>
          <w:color w:val="auto"/>
          <w:sz w:val="28"/>
          <w:szCs w:val="28"/>
          <w:u w:val="single"/>
          <w:lang w:val="en-US" w:eastAsia="zh-CN"/>
        </w:rPr>
        <w:t>4</w:t>
      </w:r>
      <w:r>
        <w:rPr>
          <w:rFonts w:ascii="黑体" w:hAnsi="黑体" w:eastAsia="黑体" w:cs="黑体"/>
          <w:color w:val="auto"/>
          <w:sz w:val="28"/>
          <w:szCs w:val="28"/>
          <w:u w:val="single"/>
        </w:rPr>
        <w:t>-</w:t>
      </w:r>
      <w:r>
        <w:rPr>
          <w:rFonts w:hint="eastAsia" w:ascii="黑体" w:hAnsi="黑体" w:eastAsia="黑体" w:cs="黑体"/>
          <w:color w:val="auto"/>
          <w:sz w:val="28"/>
          <w:szCs w:val="28"/>
          <w:u w:val="single"/>
        </w:rPr>
        <w:t>**</w:t>
      </w:r>
      <w:r>
        <w:rPr>
          <w:rFonts w:ascii="黑体" w:hAnsi="黑体" w:eastAsia="黑体" w:cs="黑体"/>
          <w:color w:val="auto"/>
          <w:sz w:val="28"/>
          <w:szCs w:val="28"/>
          <w:u w:val="single"/>
        </w:rPr>
        <w:t>-</w:t>
      </w:r>
      <w:r>
        <w:rPr>
          <w:rFonts w:hint="eastAsia" w:ascii="黑体" w:hAnsi="黑体" w:eastAsia="黑体" w:cs="黑体"/>
          <w:color w:val="auto"/>
          <w:sz w:val="28"/>
          <w:szCs w:val="28"/>
          <w:u w:val="single"/>
        </w:rPr>
        <w:t>**</w:t>
      </w:r>
      <w:r>
        <w:rPr>
          <w:rFonts w:ascii="黑体" w:hAnsi="黑体" w:eastAsia="黑体" w:cs="黑体"/>
          <w:color w:val="auto"/>
          <w:sz w:val="28"/>
          <w:szCs w:val="28"/>
          <w:u w:val="single"/>
        </w:rPr>
        <w:t xml:space="preserve"> 发布</w:t>
      </w:r>
      <w:r>
        <w:rPr>
          <w:rFonts w:hint="eastAsia" w:ascii="黑体" w:hAnsi="黑体" w:eastAsia="黑体" w:cs="黑体"/>
          <w:color w:val="auto"/>
          <w:sz w:val="28"/>
          <w:szCs w:val="28"/>
          <w:u w:val="single"/>
          <w:lang w:val="en-US" w:eastAsia="zh-CN"/>
        </w:rPr>
        <w:t xml:space="preserve">                                    </w:t>
      </w:r>
      <w:r>
        <w:rPr>
          <w:rFonts w:ascii="黑体" w:hAnsi="黑体" w:eastAsia="黑体" w:cs="黑体"/>
          <w:color w:val="auto"/>
          <w:sz w:val="28"/>
          <w:szCs w:val="28"/>
          <w:u w:val="single"/>
        </w:rPr>
        <w:t>202</w:t>
      </w:r>
      <w:r>
        <w:rPr>
          <w:rFonts w:hint="eastAsia" w:ascii="黑体" w:hAnsi="黑体" w:eastAsia="黑体" w:cs="黑体"/>
          <w:color w:val="auto"/>
          <w:sz w:val="28"/>
          <w:szCs w:val="28"/>
          <w:u w:val="single"/>
          <w:lang w:val="en-US" w:eastAsia="zh-CN"/>
        </w:rPr>
        <w:t>4</w:t>
      </w:r>
      <w:r>
        <w:rPr>
          <w:rFonts w:ascii="黑体" w:hAnsi="黑体" w:eastAsia="黑体" w:cs="黑体"/>
          <w:color w:val="auto"/>
          <w:sz w:val="28"/>
          <w:szCs w:val="28"/>
          <w:u w:val="single"/>
        </w:rPr>
        <w:t>-</w:t>
      </w:r>
      <w:r>
        <w:rPr>
          <w:rFonts w:hint="eastAsia" w:ascii="黑体" w:hAnsi="黑体" w:eastAsia="黑体" w:cs="黑体"/>
          <w:color w:val="auto"/>
          <w:sz w:val="28"/>
          <w:szCs w:val="28"/>
          <w:u w:val="single"/>
        </w:rPr>
        <w:t>**</w:t>
      </w:r>
      <w:r>
        <w:rPr>
          <w:rFonts w:ascii="黑体" w:hAnsi="黑体" w:eastAsia="黑体" w:cs="黑体"/>
          <w:color w:val="auto"/>
          <w:sz w:val="28"/>
          <w:szCs w:val="28"/>
          <w:u w:val="single"/>
        </w:rPr>
        <w:t>-</w:t>
      </w:r>
      <w:r>
        <w:rPr>
          <w:rFonts w:hint="eastAsia" w:ascii="黑体" w:hAnsi="黑体" w:eastAsia="黑体" w:cs="黑体"/>
          <w:color w:val="auto"/>
          <w:sz w:val="28"/>
          <w:szCs w:val="28"/>
          <w:u w:val="single"/>
        </w:rPr>
        <w:t>**</w:t>
      </w:r>
      <w:r>
        <w:rPr>
          <w:rFonts w:ascii="黑体" w:hAnsi="黑体" w:eastAsia="黑体" w:cs="黑体"/>
          <w:color w:val="auto"/>
          <w:sz w:val="28"/>
          <w:szCs w:val="28"/>
          <w:u w:val="single"/>
        </w:rPr>
        <w:t xml:space="preserve"> 实施</w:t>
      </w:r>
    </w:p>
    <w:p w14:paraId="476E29BA">
      <w:pPr>
        <w:rPr>
          <w:color w:val="auto"/>
          <w:u w:val="single"/>
        </w:rPr>
        <w:sectPr>
          <w:headerReference r:id="rId3" w:type="default"/>
          <w:pgSz w:w="11900" w:h="16838"/>
          <w:pgMar w:top="1417" w:right="1134" w:bottom="1134" w:left="1420" w:header="0" w:footer="0" w:gutter="0"/>
          <w:cols w:equalWidth="0" w:num="1">
            <w:col w:w="9660"/>
          </w:cols>
        </w:sectPr>
      </w:pPr>
    </w:p>
    <w:p w14:paraId="04D9A5FA">
      <w:pPr>
        <w:spacing w:line="200" w:lineRule="exact"/>
        <w:rPr>
          <w:color w:val="auto"/>
          <w:sz w:val="24"/>
          <w:szCs w:val="24"/>
        </w:rPr>
      </w:pPr>
    </w:p>
    <w:p w14:paraId="7924B258">
      <w:pPr>
        <w:spacing w:line="200" w:lineRule="exact"/>
        <w:rPr>
          <w:color w:val="auto"/>
          <w:sz w:val="24"/>
          <w:szCs w:val="24"/>
        </w:rPr>
      </w:pPr>
    </w:p>
    <w:p w14:paraId="4D540306">
      <w:pPr>
        <w:pStyle w:val="13"/>
        <w:rPr>
          <w:rFonts w:hint="eastAsia" w:hAnsi="黑体" w:eastAsia="黑体"/>
          <w:highlight w:val="none"/>
        </w:rPr>
      </w:pPr>
      <w:r>
        <w:rPr>
          <w:rFonts w:hint="eastAsia" w:hAnsi="黑体" w:eastAsia="黑体"/>
          <w:highlight w:val="none"/>
        </w:rPr>
        <w:t>揭阳市市场监督管理局</w:t>
      </w:r>
      <w:r>
        <w:rPr>
          <w:rFonts w:hint="eastAsia" w:hAnsi="黑体" w:eastAsia="黑体"/>
          <w:highlight w:val="none"/>
        </w:rPr>
        <w:tab/>
      </w:r>
      <w:r>
        <w:rPr>
          <w:rFonts w:hint="eastAsia" w:hAnsi="黑体" w:eastAsia="黑体"/>
          <w:highlight w:val="none"/>
        </w:rPr>
        <w:t>发 布</w:t>
      </w:r>
    </w:p>
    <w:p w14:paraId="25C5CF91">
      <w:pPr>
        <w:rPr>
          <w:color w:val="auto"/>
        </w:rPr>
        <w:sectPr>
          <w:footerReference r:id="rId4" w:type="default"/>
          <w:type w:val="continuous"/>
          <w:pgSz w:w="11900" w:h="16838"/>
          <w:pgMar w:top="590" w:right="3080" w:bottom="928" w:left="3240" w:header="0" w:footer="0" w:gutter="0"/>
          <w:cols w:equalWidth="0" w:num="1">
            <w:col w:w="5580"/>
          </w:cols>
        </w:sectPr>
      </w:pPr>
    </w:p>
    <w:p w14:paraId="1C839242">
      <w:pPr>
        <w:spacing w:line="200" w:lineRule="exact"/>
        <w:rPr>
          <w:color w:val="auto"/>
          <w:sz w:val="20"/>
          <w:szCs w:val="20"/>
        </w:rPr>
      </w:pPr>
      <w:bookmarkStart w:id="0" w:name="page2"/>
      <w:bookmarkEnd w:id="0"/>
      <w:bookmarkStart w:id="1" w:name="page3"/>
      <w:bookmarkEnd w:id="1"/>
    </w:p>
    <w:p w14:paraId="1EE85530">
      <w:pPr>
        <w:spacing w:line="200" w:lineRule="exact"/>
        <w:rPr>
          <w:color w:val="auto"/>
          <w:sz w:val="20"/>
          <w:szCs w:val="20"/>
        </w:rPr>
      </w:pPr>
    </w:p>
    <w:p w14:paraId="33327D2C">
      <w:pPr>
        <w:spacing w:line="200" w:lineRule="exact"/>
        <w:rPr>
          <w:color w:val="auto"/>
          <w:sz w:val="20"/>
          <w:szCs w:val="20"/>
        </w:rPr>
      </w:pPr>
    </w:p>
    <w:p w14:paraId="033C169A">
      <w:pPr>
        <w:spacing w:line="337" w:lineRule="exact"/>
        <w:rPr>
          <w:color w:val="auto"/>
          <w:sz w:val="20"/>
          <w:szCs w:val="20"/>
        </w:rPr>
      </w:pPr>
    </w:p>
    <w:p w14:paraId="0EEE3C18">
      <w:pPr>
        <w:ind w:left="4040"/>
        <w:rPr>
          <w:rFonts w:eastAsia="宋体"/>
          <w:color w:val="auto"/>
          <w:sz w:val="20"/>
          <w:szCs w:val="20"/>
        </w:rPr>
      </w:pPr>
      <w:r>
        <w:rPr>
          <w:rFonts w:ascii="黑体" w:hAnsi="黑体" w:eastAsia="黑体" w:cs="黑体"/>
          <w:color w:val="auto"/>
          <w:sz w:val="32"/>
          <w:szCs w:val="32"/>
        </w:rPr>
        <w:t>目</w:t>
      </w:r>
      <w:r>
        <w:rPr>
          <w:rFonts w:ascii="Arial" w:hAnsi="Arial" w:eastAsia="Arial" w:cs="Arial"/>
          <w:color w:val="auto"/>
          <w:sz w:val="32"/>
          <w:szCs w:val="32"/>
        </w:rPr>
        <w:t>  </w:t>
      </w:r>
      <w:r>
        <w:rPr>
          <w:rFonts w:hint="eastAsia" w:ascii="Arial" w:hAnsi="Arial" w:eastAsia="宋体" w:cs="Arial"/>
          <w:b/>
          <w:bCs/>
          <w:color w:val="auto"/>
          <w:sz w:val="32"/>
          <w:szCs w:val="32"/>
        </w:rPr>
        <w:t>录</w:t>
      </w:r>
    </w:p>
    <w:p w14:paraId="5CC0150C">
      <w:pPr>
        <w:spacing w:line="200" w:lineRule="exact"/>
        <w:rPr>
          <w:color w:val="auto"/>
          <w:sz w:val="20"/>
          <w:szCs w:val="20"/>
        </w:rPr>
      </w:pPr>
    </w:p>
    <w:p w14:paraId="79E90E83">
      <w:pPr>
        <w:spacing w:line="361" w:lineRule="exact"/>
        <w:rPr>
          <w:color w:val="auto"/>
          <w:sz w:val="20"/>
          <w:szCs w:val="20"/>
        </w:rPr>
      </w:pPr>
    </w:p>
    <w:p w14:paraId="0850C940">
      <w:pPr>
        <w:spacing w:line="150" w:lineRule="exact"/>
        <w:rPr>
          <w:color w:val="auto"/>
          <w:sz w:val="20"/>
          <w:szCs w:val="20"/>
        </w:rPr>
      </w:pPr>
    </w:p>
    <w:p w14:paraId="62C15B9C">
      <w:pPr>
        <w:tabs>
          <w:tab w:val="left" w:pos="300"/>
          <w:tab w:val="left" w:leader="dot" w:pos="9120"/>
        </w:tabs>
        <w:spacing w:line="239"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前言</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"page7"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rPr>
        <w:fldChar w:fldCharType="end"/>
      </w:r>
    </w:p>
    <w:p w14:paraId="645086A3">
      <w:pPr>
        <w:spacing w:line="150" w:lineRule="exact"/>
        <w:rPr>
          <w:rFonts w:hint="eastAsia" w:asciiTheme="minorEastAsia" w:hAnsiTheme="minorEastAsia" w:eastAsiaTheme="minorEastAsia" w:cstheme="minorEastAsia"/>
          <w:color w:val="auto"/>
          <w:sz w:val="21"/>
          <w:szCs w:val="21"/>
        </w:rPr>
      </w:pPr>
    </w:p>
    <w:p w14:paraId="4F2CC6B7">
      <w:pPr>
        <w:tabs>
          <w:tab w:val="left" w:pos="300"/>
          <w:tab w:val="left" w:leader="dot" w:pos="9120"/>
        </w:tabs>
        <w:spacing w:line="239"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适用</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"page7"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范围</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2</w:t>
      </w:r>
    </w:p>
    <w:p w14:paraId="172DD20C">
      <w:pPr>
        <w:spacing w:line="153" w:lineRule="exact"/>
        <w:rPr>
          <w:rFonts w:hint="eastAsia" w:asciiTheme="minorEastAsia" w:hAnsiTheme="minorEastAsia" w:eastAsiaTheme="minorEastAsia" w:cstheme="minorEastAsia"/>
          <w:color w:val="auto"/>
          <w:sz w:val="21"/>
          <w:szCs w:val="21"/>
        </w:rPr>
      </w:pPr>
    </w:p>
    <w:p w14:paraId="04109848">
      <w:pPr>
        <w:tabs>
          <w:tab w:val="left" w:pos="300"/>
          <w:tab w:val="left" w:leader="dot" w:pos="9120"/>
        </w:tabs>
        <w:spacing w:line="239"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"page7"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规范性引用文件</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2</w:t>
      </w:r>
    </w:p>
    <w:p w14:paraId="08BFEA42">
      <w:pPr>
        <w:spacing w:line="150" w:lineRule="exact"/>
        <w:rPr>
          <w:rFonts w:hint="eastAsia" w:asciiTheme="minorEastAsia" w:hAnsiTheme="minorEastAsia" w:eastAsiaTheme="minorEastAsia" w:cstheme="minorEastAsia"/>
          <w:color w:val="auto"/>
          <w:sz w:val="21"/>
          <w:szCs w:val="21"/>
        </w:rPr>
      </w:pPr>
    </w:p>
    <w:p w14:paraId="3A701E8E">
      <w:pPr>
        <w:tabs>
          <w:tab w:val="left" w:pos="300"/>
          <w:tab w:val="left" w:leader="dot" w:pos="9120"/>
        </w:tabs>
        <w:spacing w:line="239"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"page7"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术语、定义</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2</w:t>
      </w:r>
    </w:p>
    <w:p w14:paraId="2EF15E30">
      <w:pPr>
        <w:spacing w:line="153" w:lineRule="exact"/>
        <w:rPr>
          <w:rFonts w:hint="eastAsia" w:asciiTheme="minorEastAsia" w:hAnsiTheme="minorEastAsia" w:eastAsiaTheme="minorEastAsia" w:cstheme="minorEastAsia"/>
          <w:color w:val="auto"/>
          <w:sz w:val="21"/>
          <w:szCs w:val="21"/>
        </w:rPr>
      </w:pPr>
    </w:p>
    <w:p w14:paraId="02D872D1">
      <w:pPr>
        <w:tabs>
          <w:tab w:val="left" w:pos="300"/>
          <w:tab w:val="left" w:leader="dot" w:pos="9120"/>
        </w:tabs>
        <w:spacing w:line="239"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建筑</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"page9"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总平面布局</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4</w:t>
      </w:r>
    </w:p>
    <w:p w14:paraId="02A87176">
      <w:pPr>
        <w:spacing w:line="150" w:lineRule="exact"/>
        <w:rPr>
          <w:rFonts w:hint="eastAsia" w:asciiTheme="minorEastAsia" w:hAnsiTheme="minorEastAsia" w:eastAsiaTheme="minorEastAsia" w:cstheme="minorEastAsia"/>
          <w:color w:val="auto"/>
          <w:sz w:val="21"/>
          <w:szCs w:val="21"/>
        </w:rPr>
      </w:pPr>
    </w:p>
    <w:p w14:paraId="4120F423">
      <w:pPr>
        <w:tabs>
          <w:tab w:val="left" w:pos="300"/>
          <w:tab w:val="left" w:leader="dot" w:pos="9120"/>
        </w:tabs>
        <w:spacing w:line="239"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5</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建筑</w:t>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"page9"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平面布置</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与防火分隔</w:t>
      </w:r>
      <w:r>
        <w:rPr>
          <w:rFonts w:hint="eastAsia" w:asciiTheme="minorEastAsia" w:hAnsiTheme="minorEastAsia" w:eastAsiaTheme="minorEastAsia" w:cstheme="minorEastAsia"/>
          <w:color w:val="auto"/>
          <w:sz w:val="21"/>
          <w:szCs w:val="21"/>
        </w:rPr>
        <w:tab/>
      </w:r>
      <w:r>
        <w:rPr>
          <w:rFonts w:hint="eastAsia" w:asciiTheme="minorEastAsia" w:hAnsiTheme="minorEastAsia" w:cstheme="minorEastAsia"/>
          <w:color w:val="auto"/>
          <w:sz w:val="21"/>
          <w:szCs w:val="21"/>
          <w:lang w:val="en-US" w:eastAsia="zh-CN"/>
        </w:rPr>
        <w:t>5</w:t>
      </w:r>
    </w:p>
    <w:p w14:paraId="1676C09E">
      <w:pPr>
        <w:spacing w:line="153" w:lineRule="exact"/>
        <w:rPr>
          <w:rFonts w:hint="eastAsia" w:asciiTheme="minorEastAsia" w:hAnsiTheme="minorEastAsia" w:eastAsiaTheme="minorEastAsia" w:cstheme="minorEastAsia"/>
          <w:color w:val="auto"/>
          <w:sz w:val="21"/>
          <w:szCs w:val="21"/>
        </w:rPr>
      </w:pPr>
    </w:p>
    <w:p w14:paraId="65A7586C">
      <w:pPr>
        <w:tabs>
          <w:tab w:val="left" w:pos="300"/>
          <w:tab w:val="left" w:leader="dot" w:pos="9120"/>
        </w:tabs>
        <w:spacing w:line="239"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6</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"page10"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建筑构造</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与装修</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5</w:t>
      </w:r>
    </w:p>
    <w:p w14:paraId="22887890">
      <w:pPr>
        <w:spacing w:line="150" w:lineRule="exact"/>
        <w:rPr>
          <w:rFonts w:hint="eastAsia" w:asciiTheme="minorEastAsia" w:hAnsiTheme="minorEastAsia" w:eastAsiaTheme="minorEastAsia" w:cstheme="minorEastAsia"/>
          <w:color w:val="auto"/>
          <w:sz w:val="21"/>
          <w:szCs w:val="21"/>
        </w:rPr>
      </w:pPr>
    </w:p>
    <w:p w14:paraId="4E5104FF">
      <w:pPr>
        <w:tabs>
          <w:tab w:val="left" w:pos="300"/>
          <w:tab w:val="left" w:leader="dot" w:pos="9120"/>
        </w:tabs>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"page10"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安全疏散</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6</w:t>
      </w:r>
    </w:p>
    <w:p w14:paraId="68BD0D58">
      <w:pPr>
        <w:spacing w:line="152" w:lineRule="exact"/>
        <w:rPr>
          <w:rFonts w:hint="eastAsia" w:asciiTheme="minorEastAsia" w:hAnsiTheme="minorEastAsia" w:eastAsiaTheme="minorEastAsia" w:cstheme="minorEastAsia"/>
          <w:color w:val="auto"/>
          <w:sz w:val="21"/>
          <w:szCs w:val="21"/>
        </w:rPr>
      </w:pPr>
    </w:p>
    <w:p w14:paraId="2236C578">
      <w:pPr>
        <w:tabs>
          <w:tab w:val="left" w:pos="300"/>
          <w:tab w:val="left" w:leader="dot" w:pos="9120"/>
        </w:tabs>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8</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"page11"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消防设施和器材要求</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6</w:t>
      </w:r>
    </w:p>
    <w:p w14:paraId="3D4EBF5F">
      <w:pPr>
        <w:spacing w:line="149" w:lineRule="exact"/>
        <w:rPr>
          <w:rFonts w:hint="eastAsia" w:asciiTheme="minorEastAsia" w:hAnsiTheme="minorEastAsia" w:eastAsiaTheme="minorEastAsia" w:cstheme="minorEastAsia"/>
          <w:color w:val="auto"/>
          <w:sz w:val="21"/>
          <w:szCs w:val="21"/>
        </w:rPr>
      </w:pPr>
    </w:p>
    <w:p w14:paraId="18D883A1">
      <w:pPr>
        <w:tabs>
          <w:tab w:val="left" w:pos="300"/>
          <w:tab w:val="left" w:leader="dot" w:pos="9120"/>
        </w:tabs>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9</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fldChar w:fldCharType="begin"/>
      </w:r>
      <w:r>
        <w:rPr>
          <w:rFonts w:hint="eastAsia" w:asciiTheme="minorEastAsia" w:hAnsiTheme="minorEastAsia" w:eastAsiaTheme="minorEastAsia" w:cstheme="minorEastAsia"/>
          <w:color w:val="auto"/>
          <w:sz w:val="21"/>
          <w:szCs w:val="21"/>
        </w:rPr>
        <w:instrText xml:space="preserve"> HYPERLINK \l "page12" \h </w:instrText>
      </w:r>
      <w:r>
        <w:rPr>
          <w:rFonts w:hint="eastAsia" w:asciiTheme="minorEastAsia" w:hAnsiTheme="minorEastAsia" w:eastAsiaTheme="minorEastAsia" w:cstheme="minorEastAsia"/>
          <w:color w:val="auto"/>
          <w:sz w:val="21"/>
          <w:szCs w:val="21"/>
        </w:rPr>
        <w:fldChar w:fldCharType="separate"/>
      </w:r>
      <w:r>
        <w:rPr>
          <w:rFonts w:hint="eastAsia" w:asciiTheme="minorEastAsia" w:hAnsiTheme="minorEastAsia" w:eastAsiaTheme="minorEastAsia" w:cstheme="minorEastAsia"/>
          <w:color w:val="auto"/>
          <w:sz w:val="21"/>
          <w:szCs w:val="21"/>
        </w:rPr>
        <w:t>电气要求</w:t>
      </w:r>
      <w:r>
        <w:rPr>
          <w:rFonts w:hint="eastAsia" w:asciiTheme="minorEastAsia" w:hAnsiTheme="minorEastAsia" w:eastAsiaTheme="minorEastAsia" w:cstheme="minorEastAsia"/>
          <w:color w:val="auto"/>
          <w:sz w:val="21"/>
          <w:szCs w:val="21"/>
        </w:rPr>
        <w:fldChar w:fldCharType="end"/>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7</w:t>
      </w:r>
    </w:p>
    <w:p w14:paraId="647D7AC8">
      <w:pPr>
        <w:spacing w:line="152" w:lineRule="exact"/>
        <w:rPr>
          <w:rFonts w:hint="eastAsia" w:asciiTheme="minorEastAsia" w:hAnsiTheme="minorEastAsia" w:eastAsiaTheme="minorEastAsia" w:cstheme="minorEastAsia"/>
          <w:color w:val="auto"/>
          <w:sz w:val="21"/>
          <w:szCs w:val="21"/>
        </w:rPr>
      </w:pPr>
    </w:p>
    <w:p w14:paraId="4EA7339C">
      <w:pPr>
        <w:tabs>
          <w:tab w:val="left" w:pos="400"/>
          <w:tab w:val="left" w:leader="dot" w:pos="9120"/>
        </w:tabs>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10</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消防应急照明和疏散指示标志</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8</w:t>
      </w:r>
    </w:p>
    <w:p w14:paraId="6F33F75A">
      <w:pPr>
        <w:spacing w:line="152" w:lineRule="exact"/>
        <w:rPr>
          <w:rFonts w:hint="eastAsia" w:asciiTheme="minorEastAsia" w:hAnsiTheme="minorEastAsia" w:eastAsiaTheme="minorEastAsia" w:cstheme="minorEastAsia"/>
          <w:color w:val="auto"/>
          <w:sz w:val="21"/>
          <w:szCs w:val="21"/>
        </w:rPr>
      </w:pPr>
    </w:p>
    <w:p w14:paraId="26F97449">
      <w:pPr>
        <w:tabs>
          <w:tab w:val="left" w:pos="400"/>
          <w:tab w:val="left" w:leader="dot" w:pos="9120"/>
        </w:tabs>
        <w:rPr>
          <w:rFonts w:hint="eastAsia" w:ascii="宋体" w:hAnsi="宋体" w:cs="宋体" w:eastAsiaTheme="minorEastAsia"/>
          <w:color w:val="auto"/>
          <w:sz w:val="19"/>
          <w:szCs w:val="19"/>
          <w:lang w:eastAsia="zh-CN"/>
        </w:rPr>
      </w:pPr>
      <w:r>
        <w:rPr>
          <w:rFonts w:hint="eastAsia" w:asciiTheme="minorEastAsia" w:hAnsiTheme="minorEastAsia" w:eastAsiaTheme="minorEastAsia" w:cstheme="minorEastAsia"/>
          <w:color w:val="auto"/>
          <w:sz w:val="21"/>
          <w:szCs w:val="21"/>
        </w:rPr>
        <w:t>11</w:t>
      </w:r>
      <w:r>
        <w:rPr>
          <w:rFonts w:hint="eastAsia" w:asciiTheme="minorEastAsia" w:hAnsiTheme="minorEastAsia" w:eastAsiaTheme="minorEastAsia" w:cstheme="minorEastAsia"/>
          <w:color w:val="auto"/>
          <w:sz w:val="21"/>
          <w:szCs w:val="21"/>
        </w:rPr>
        <w:tab/>
      </w:r>
      <w:r>
        <w:rPr>
          <w:rFonts w:hint="eastAsia" w:asciiTheme="minorEastAsia" w:hAnsiTheme="minorEastAsia" w:eastAsiaTheme="minorEastAsia" w:cstheme="minorEastAsia"/>
          <w:color w:val="auto"/>
          <w:sz w:val="21"/>
          <w:szCs w:val="21"/>
        </w:rPr>
        <w:t>消防安全管理</w:t>
      </w:r>
      <w:r>
        <w:rPr>
          <w:rFonts w:hint="eastAsia" w:asciiTheme="minorEastAsia" w:hAnsiTheme="minorEastAsia" w:eastAsiaTheme="minorEastAsia" w:cstheme="minorEastAsia"/>
          <w:color w:val="auto"/>
          <w:sz w:val="21"/>
          <w:szCs w:val="21"/>
        </w:rPr>
        <w:tab/>
      </w:r>
      <w:r>
        <w:rPr>
          <w:rFonts w:hint="eastAsia" w:asciiTheme="minorEastAsia" w:hAnsiTheme="minorEastAsia" w:cstheme="minorEastAsia"/>
          <w:color w:val="auto"/>
          <w:sz w:val="21"/>
          <w:szCs w:val="21"/>
          <w:lang w:val="en-US" w:eastAsia="zh-CN"/>
        </w:rPr>
        <w:t>8</w:t>
      </w:r>
    </w:p>
    <w:p w14:paraId="1783EC8F">
      <w:pPr>
        <w:tabs>
          <w:tab w:val="left" w:pos="400"/>
          <w:tab w:val="left" w:leader="dot" w:pos="9120"/>
        </w:tabs>
        <w:rPr>
          <w:rFonts w:ascii="宋体" w:hAnsi="宋体" w:eastAsia="宋体" w:cs="宋体"/>
          <w:color w:val="auto"/>
          <w:sz w:val="19"/>
          <w:szCs w:val="19"/>
        </w:rPr>
      </w:pPr>
    </w:p>
    <w:p w14:paraId="5C38506E">
      <w:pPr>
        <w:spacing w:line="149" w:lineRule="exact"/>
        <w:rPr>
          <w:color w:val="auto"/>
          <w:sz w:val="20"/>
          <w:szCs w:val="20"/>
        </w:rPr>
      </w:pPr>
    </w:p>
    <w:p w14:paraId="576AFD5C">
      <w:pPr>
        <w:tabs>
          <w:tab w:val="left" w:leader="dot" w:pos="9120"/>
        </w:tabs>
        <w:rPr>
          <w:rFonts w:ascii="宋体" w:hAnsi="宋体" w:eastAsia="宋体" w:cs="宋体"/>
          <w:color w:val="auto"/>
          <w:sz w:val="19"/>
          <w:szCs w:val="19"/>
        </w:rPr>
      </w:pPr>
    </w:p>
    <w:p w14:paraId="2D506EA0">
      <w:pPr>
        <w:tabs>
          <w:tab w:val="left" w:leader="dot" w:pos="9120"/>
        </w:tabs>
        <w:rPr>
          <w:rFonts w:ascii="宋体" w:hAnsi="宋体" w:eastAsia="宋体" w:cs="宋体"/>
          <w:color w:val="auto"/>
          <w:sz w:val="19"/>
          <w:szCs w:val="19"/>
        </w:rPr>
      </w:pPr>
    </w:p>
    <w:p w14:paraId="1F55875D">
      <w:pPr>
        <w:tabs>
          <w:tab w:val="left" w:leader="dot" w:pos="9120"/>
        </w:tabs>
        <w:rPr>
          <w:rFonts w:ascii="宋体" w:hAnsi="宋体" w:eastAsia="宋体" w:cs="宋体"/>
          <w:color w:val="auto"/>
          <w:sz w:val="19"/>
          <w:szCs w:val="19"/>
        </w:rPr>
      </w:pPr>
    </w:p>
    <w:p w14:paraId="6C5D4CA4">
      <w:pPr>
        <w:tabs>
          <w:tab w:val="left" w:leader="dot" w:pos="9120"/>
        </w:tabs>
        <w:rPr>
          <w:rFonts w:ascii="宋体" w:hAnsi="宋体" w:eastAsia="宋体" w:cs="宋体"/>
          <w:color w:val="auto"/>
          <w:sz w:val="19"/>
          <w:szCs w:val="19"/>
        </w:rPr>
      </w:pPr>
    </w:p>
    <w:p w14:paraId="2161CE00">
      <w:pPr>
        <w:tabs>
          <w:tab w:val="left" w:leader="dot" w:pos="9120"/>
        </w:tabs>
        <w:rPr>
          <w:rFonts w:ascii="宋体" w:hAnsi="宋体" w:eastAsia="宋体" w:cs="宋体"/>
          <w:color w:val="auto"/>
          <w:sz w:val="19"/>
          <w:szCs w:val="19"/>
        </w:rPr>
      </w:pPr>
    </w:p>
    <w:p w14:paraId="570CEAE9">
      <w:pPr>
        <w:tabs>
          <w:tab w:val="left" w:leader="dot" w:pos="9120"/>
        </w:tabs>
        <w:rPr>
          <w:rFonts w:ascii="宋体" w:hAnsi="宋体" w:eastAsia="宋体" w:cs="宋体"/>
          <w:color w:val="auto"/>
          <w:sz w:val="19"/>
          <w:szCs w:val="19"/>
        </w:rPr>
      </w:pPr>
    </w:p>
    <w:p w14:paraId="5B9C722F">
      <w:pPr>
        <w:tabs>
          <w:tab w:val="left" w:leader="dot" w:pos="9120"/>
        </w:tabs>
        <w:rPr>
          <w:rFonts w:ascii="宋体" w:hAnsi="宋体" w:eastAsia="宋体" w:cs="宋体"/>
          <w:color w:val="auto"/>
          <w:sz w:val="19"/>
          <w:szCs w:val="19"/>
        </w:rPr>
      </w:pPr>
    </w:p>
    <w:p w14:paraId="1567F1F4">
      <w:pPr>
        <w:tabs>
          <w:tab w:val="left" w:leader="dot" w:pos="9120"/>
        </w:tabs>
        <w:rPr>
          <w:rFonts w:ascii="宋体" w:hAnsi="宋体" w:eastAsia="宋体" w:cs="宋体"/>
          <w:color w:val="auto"/>
          <w:sz w:val="19"/>
          <w:szCs w:val="19"/>
        </w:rPr>
      </w:pPr>
    </w:p>
    <w:p w14:paraId="283EFDE6">
      <w:pPr>
        <w:tabs>
          <w:tab w:val="left" w:leader="dot" w:pos="9120"/>
        </w:tabs>
        <w:rPr>
          <w:rFonts w:ascii="宋体" w:hAnsi="宋体" w:eastAsia="宋体" w:cs="宋体"/>
          <w:color w:val="auto"/>
          <w:sz w:val="19"/>
          <w:szCs w:val="19"/>
        </w:rPr>
      </w:pPr>
    </w:p>
    <w:p w14:paraId="3510B387">
      <w:pPr>
        <w:tabs>
          <w:tab w:val="left" w:leader="dot" w:pos="9120"/>
        </w:tabs>
        <w:rPr>
          <w:rFonts w:ascii="宋体" w:hAnsi="宋体" w:eastAsia="宋体" w:cs="宋体"/>
          <w:color w:val="auto"/>
          <w:sz w:val="19"/>
          <w:szCs w:val="19"/>
        </w:rPr>
      </w:pPr>
    </w:p>
    <w:p w14:paraId="46648056">
      <w:pPr>
        <w:tabs>
          <w:tab w:val="left" w:leader="dot" w:pos="9120"/>
        </w:tabs>
        <w:rPr>
          <w:rFonts w:ascii="宋体" w:hAnsi="宋体" w:eastAsia="宋体" w:cs="宋体"/>
          <w:color w:val="auto"/>
          <w:sz w:val="19"/>
          <w:szCs w:val="19"/>
        </w:rPr>
      </w:pPr>
    </w:p>
    <w:p w14:paraId="13B3700B">
      <w:pPr>
        <w:tabs>
          <w:tab w:val="left" w:leader="dot" w:pos="9120"/>
        </w:tabs>
        <w:rPr>
          <w:rFonts w:ascii="宋体" w:hAnsi="宋体" w:eastAsia="宋体" w:cs="宋体"/>
          <w:color w:val="auto"/>
          <w:sz w:val="19"/>
          <w:szCs w:val="19"/>
        </w:rPr>
      </w:pPr>
    </w:p>
    <w:p w14:paraId="07ACA815">
      <w:pPr>
        <w:tabs>
          <w:tab w:val="left" w:leader="dot" w:pos="9120"/>
        </w:tabs>
        <w:rPr>
          <w:rFonts w:ascii="宋体" w:hAnsi="宋体" w:eastAsia="宋体" w:cs="宋体"/>
          <w:color w:val="auto"/>
          <w:sz w:val="19"/>
          <w:szCs w:val="19"/>
        </w:rPr>
      </w:pPr>
    </w:p>
    <w:p w14:paraId="05799533">
      <w:pPr>
        <w:tabs>
          <w:tab w:val="left" w:leader="dot" w:pos="9120"/>
        </w:tabs>
        <w:rPr>
          <w:rFonts w:ascii="宋体" w:hAnsi="宋体" w:eastAsia="宋体" w:cs="宋体"/>
          <w:color w:val="auto"/>
          <w:sz w:val="19"/>
          <w:szCs w:val="19"/>
        </w:rPr>
      </w:pPr>
    </w:p>
    <w:p w14:paraId="4FBB3A6F">
      <w:pPr>
        <w:tabs>
          <w:tab w:val="left" w:leader="dot" w:pos="9120"/>
        </w:tabs>
        <w:rPr>
          <w:rFonts w:ascii="宋体" w:hAnsi="宋体" w:eastAsia="宋体" w:cs="宋体"/>
          <w:color w:val="auto"/>
          <w:sz w:val="19"/>
          <w:szCs w:val="19"/>
        </w:rPr>
      </w:pPr>
    </w:p>
    <w:p w14:paraId="6CBF0148">
      <w:pPr>
        <w:tabs>
          <w:tab w:val="left" w:leader="dot" w:pos="9120"/>
        </w:tabs>
        <w:rPr>
          <w:rFonts w:ascii="宋体" w:hAnsi="宋体" w:eastAsia="宋体" w:cs="宋体"/>
          <w:color w:val="auto"/>
          <w:sz w:val="19"/>
          <w:szCs w:val="19"/>
        </w:rPr>
      </w:pPr>
    </w:p>
    <w:p w14:paraId="384E0A6D">
      <w:pPr>
        <w:tabs>
          <w:tab w:val="left" w:leader="dot" w:pos="9120"/>
        </w:tabs>
        <w:rPr>
          <w:rFonts w:ascii="宋体" w:hAnsi="宋体" w:eastAsia="宋体" w:cs="宋体"/>
          <w:color w:val="auto"/>
          <w:sz w:val="19"/>
          <w:szCs w:val="19"/>
        </w:rPr>
      </w:pPr>
    </w:p>
    <w:p w14:paraId="6F70CC1A">
      <w:pPr>
        <w:tabs>
          <w:tab w:val="left" w:leader="dot" w:pos="9120"/>
        </w:tabs>
        <w:rPr>
          <w:rFonts w:ascii="宋体" w:hAnsi="宋体" w:eastAsia="宋体" w:cs="宋体"/>
          <w:color w:val="auto"/>
          <w:sz w:val="19"/>
          <w:szCs w:val="19"/>
        </w:rPr>
      </w:pPr>
    </w:p>
    <w:p w14:paraId="392DBF22">
      <w:pPr>
        <w:tabs>
          <w:tab w:val="left" w:leader="dot" w:pos="9120"/>
        </w:tabs>
        <w:rPr>
          <w:rFonts w:ascii="宋体" w:hAnsi="宋体" w:eastAsia="宋体" w:cs="宋体"/>
          <w:color w:val="auto"/>
          <w:sz w:val="19"/>
          <w:szCs w:val="19"/>
        </w:rPr>
      </w:pPr>
    </w:p>
    <w:p w14:paraId="2BFC8FBA">
      <w:pPr>
        <w:tabs>
          <w:tab w:val="left" w:leader="dot" w:pos="9120"/>
        </w:tabs>
        <w:rPr>
          <w:rFonts w:ascii="宋体" w:hAnsi="宋体" w:eastAsia="宋体" w:cs="宋体"/>
          <w:color w:val="auto"/>
          <w:sz w:val="19"/>
          <w:szCs w:val="19"/>
        </w:rPr>
      </w:pPr>
    </w:p>
    <w:p w14:paraId="52363395">
      <w:pPr>
        <w:tabs>
          <w:tab w:val="left" w:leader="dot" w:pos="9120"/>
        </w:tabs>
        <w:rPr>
          <w:rFonts w:ascii="宋体" w:hAnsi="宋体" w:eastAsia="宋体" w:cs="宋体"/>
          <w:color w:val="auto"/>
          <w:sz w:val="19"/>
          <w:szCs w:val="19"/>
        </w:rPr>
      </w:pPr>
    </w:p>
    <w:p w14:paraId="08C92271">
      <w:pPr>
        <w:tabs>
          <w:tab w:val="left" w:leader="dot" w:pos="9120"/>
        </w:tabs>
        <w:rPr>
          <w:rFonts w:ascii="宋体" w:hAnsi="宋体" w:eastAsia="宋体" w:cs="宋体"/>
          <w:color w:val="auto"/>
          <w:sz w:val="19"/>
          <w:szCs w:val="19"/>
        </w:rPr>
      </w:pPr>
    </w:p>
    <w:p w14:paraId="201715F0">
      <w:pPr>
        <w:tabs>
          <w:tab w:val="left" w:leader="dot" w:pos="9120"/>
        </w:tabs>
        <w:rPr>
          <w:rFonts w:ascii="宋体" w:hAnsi="宋体" w:eastAsia="宋体" w:cs="宋体"/>
          <w:color w:val="auto"/>
          <w:sz w:val="19"/>
          <w:szCs w:val="19"/>
        </w:rPr>
      </w:pPr>
    </w:p>
    <w:p w14:paraId="38CA872E">
      <w:pPr>
        <w:tabs>
          <w:tab w:val="left" w:leader="dot" w:pos="9120"/>
        </w:tabs>
        <w:jc w:val="right"/>
        <w:rPr>
          <w:rFonts w:ascii="宋体" w:hAnsi="宋体" w:eastAsia="宋体" w:cs="宋体"/>
          <w:color w:val="auto"/>
          <w:sz w:val="19"/>
          <w:szCs w:val="19"/>
        </w:rPr>
      </w:pPr>
    </w:p>
    <w:p w14:paraId="5D23B90D">
      <w:pPr>
        <w:tabs>
          <w:tab w:val="left" w:leader="dot" w:pos="9120"/>
        </w:tabs>
        <w:jc w:val="right"/>
        <w:rPr>
          <w:color w:val="auto"/>
          <w:sz w:val="20"/>
          <w:szCs w:val="20"/>
        </w:rPr>
        <w:sectPr>
          <w:footerReference r:id="rId5" w:type="default"/>
          <w:pgSz w:w="11900" w:h="16838"/>
          <w:pgMar w:top="1420" w:right="1120" w:bottom="886" w:left="1420" w:header="1417" w:footer="0" w:gutter="0"/>
          <w:pgNumType w:start="1"/>
          <w:cols w:equalWidth="0" w:num="1">
            <w:col w:w="9360"/>
          </w:cols>
        </w:sectPr>
      </w:pPr>
    </w:p>
    <w:p w14:paraId="52CA059A">
      <w:pPr>
        <w:spacing w:line="200" w:lineRule="exact"/>
        <w:rPr>
          <w:color w:val="auto"/>
          <w:sz w:val="20"/>
          <w:szCs w:val="20"/>
        </w:rPr>
      </w:pPr>
    </w:p>
    <w:p w14:paraId="0D4B477C">
      <w:pPr>
        <w:spacing w:line="200" w:lineRule="exact"/>
        <w:rPr>
          <w:color w:val="auto"/>
          <w:sz w:val="20"/>
          <w:szCs w:val="20"/>
        </w:rPr>
      </w:pPr>
    </w:p>
    <w:p w14:paraId="03E8A4F7">
      <w:pPr>
        <w:ind w:left="4040"/>
        <w:rPr>
          <w:color w:val="auto"/>
          <w:sz w:val="20"/>
          <w:szCs w:val="20"/>
        </w:rPr>
      </w:pPr>
      <w:bookmarkStart w:id="2" w:name="page4"/>
      <w:bookmarkEnd w:id="2"/>
      <w:r>
        <w:rPr>
          <w:rFonts w:ascii="黑体" w:hAnsi="黑体" w:eastAsia="黑体" w:cs="黑体"/>
          <w:color w:val="auto"/>
          <w:sz w:val="32"/>
          <w:szCs w:val="32"/>
        </w:rPr>
        <w:t>前</w:t>
      </w:r>
      <w:r>
        <w:rPr>
          <w:rFonts w:ascii="Arial" w:hAnsi="Arial" w:eastAsia="Arial" w:cs="Arial"/>
          <w:color w:val="auto"/>
          <w:sz w:val="32"/>
          <w:szCs w:val="32"/>
        </w:rPr>
        <w:t>  </w:t>
      </w:r>
      <w:r>
        <w:rPr>
          <w:rFonts w:ascii="黑体" w:hAnsi="黑体" w:eastAsia="黑体" w:cs="黑体"/>
          <w:color w:val="auto"/>
          <w:sz w:val="32"/>
          <w:szCs w:val="32"/>
        </w:rPr>
        <w:t>言</w:t>
      </w:r>
    </w:p>
    <w:p w14:paraId="3E23D382">
      <w:pPr>
        <w:spacing w:line="200" w:lineRule="exact"/>
        <w:rPr>
          <w:color w:val="auto"/>
          <w:sz w:val="20"/>
          <w:szCs w:val="20"/>
        </w:rPr>
      </w:pPr>
    </w:p>
    <w:p w14:paraId="63F34740">
      <w:pPr>
        <w:spacing w:line="200" w:lineRule="exact"/>
        <w:rPr>
          <w:color w:val="auto"/>
          <w:sz w:val="20"/>
          <w:szCs w:val="20"/>
        </w:rPr>
      </w:pPr>
    </w:p>
    <w:p w14:paraId="641870E0">
      <w:pPr>
        <w:spacing w:line="342" w:lineRule="exact"/>
        <w:rPr>
          <w:color w:val="auto"/>
          <w:sz w:val="20"/>
          <w:szCs w:val="20"/>
        </w:rPr>
      </w:pPr>
    </w:p>
    <w:p w14:paraId="71691FCF">
      <w:pPr>
        <w:spacing w:line="282" w:lineRule="auto"/>
        <w:ind w:right="20" w:firstLine="420"/>
        <w:jc w:val="both"/>
        <w:rPr>
          <w:rFonts w:hint="eastAsia" w:ascii="宋体" w:hAnsi="宋体" w:eastAsia="宋体" w:cs="宋体"/>
          <w:color w:val="auto"/>
          <w:sz w:val="21"/>
          <w:szCs w:val="21"/>
        </w:rPr>
      </w:pPr>
      <w:r>
        <w:rPr>
          <w:rFonts w:hint="eastAsia" w:ascii="宋体" w:hAnsi="宋体" w:eastAsia="宋体" w:cs="宋体"/>
          <w:color w:val="auto"/>
          <w:sz w:val="21"/>
          <w:szCs w:val="21"/>
        </w:rPr>
        <w:t>本标准按照</w:t>
      </w:r>
      <w:bookmarkStart w:id="3" w:name="OLE_LINK1"/>
      <w:r>
        <w:rPr>
          <w:rFonts w:hint="eastAsia" w:ascii="宋体" w:hAnsi="宋体" w:eastAsia="宋体" w:cs="宋体"/>
          <w:color w:val="auto"/>
          <w:sz w:val="21"/>
          <w:szCs w:val="21"/>
        </w:rPr>
        <w:t>GB/T 1.1—2020《标准化工作导则</w:t>
      </w:r>
      <w:bookmarkEnd w:id="3"/>
      <w:r>
        <w:rPr>
          <w:rFonts w:hint="eastAsia" w:ascii="宋体" w:hAnsi="宋体" w:eastAsia="宋体" w:cs="宋体"/>
          <w:color w:val="auto"/>
          <w:sz w:val="21"/>
          <w:szCs w:val="21"/>
        </w:rPr>
        <w:t>》 第1部分：“标准化文件的结构和起草规则”的规定起草。</w:t>
      </w:r>
    </w:p>
    <w:p w14:paraId="7F0774C1">
      <w:pPr>
        <w:spacing w:line="282" w:lineRule="auto"/>
        <w:ind w:right="20" w:firstLine="420"/>
        <w:jc w:val="both"/>
        <w:rPr>
          <w:rFonts w:hint="eastAsia" w:ascii="宋体" w:hAnsi="宋体" w:eastAsia="宋体" w:cs="宋体"/>
          <w:color w:val="auto"/>
          <w:sz w:val="21"/>
          <w:szCs w:val="21"/>
        </w:rPr>
      </w:pPr>
      <w:r>
        <w:rPr>
          <w:rFonts w:hint="eastAsia" w:ascii="宋体" w:hAnsi="宋体" w:eastAsia="宋体" w:cs="宋体"/>
          <w:color w:val="auto"/>
          <w:sz w:val="21"/>
          <w:szCs w:val="21"/>
        </w:rPr>
        <w:t>本标准由揭阳市消防救援支队提出。</w:t>
      </w:r>
    </w:p>
    <w:p w14:paraId="00221607">
      <w:pPr>
        <w:spacing w:line="282" w:lineRule="auto"/>
        <w:ind w:right="20" w:firstLine="42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本标准由</w:t>
      </w:r>
      <w:r>
        <w:rPr>
          <w:rFonts w:hint="eastAsia" w:ascii="宋体" w:hAnsi="宋体" w:eastAsia="宋体" w:cs="宋体"/>
          <w:color w:val="auto"/>
          <w:sz w:val="21"/>
          <w:szCs w:val="21"/>
        </w:rPr>
        <w:t>揭阳市消防救援支队</w:t>
      </w:r>
      <w:r>
        <w:rPr>
          <w:rFonts w:hint="eastAsia" w:ascii="宋体" w:hAnsi="宋体" w:eastAsia="宋体" w:cs="宋体"/>
          <w:color w:val="auto"/>
          <w:sz w:val="21"/>
          <w:szCs w:val="21"/>
          <w:lang w:val="en-US" w:eastAsia="zh-CN"/>
        </w:rPr>
        <w:t>归口</w:t>
      </w:r>
      <w:r>
        <w:rPr>
          <w:rFonts w:hint="eastAsia" w:ascii="宋体" w:hAnsi="宋体" w:eastAsia="宋体" w:cs="宋体"/>
          <w:color w:val="auto"/>
          <w:sz w:val="21"/>
          <w:szCs w:val="21"/>
          <w:lang w:eastAsia="zh-CN"/>
        </w:rPr>
        <w:t>并</w:t>
      </w:r>
      <w:r>
        <w:rPr>
          <w:rFonts w:hint="eastAsia" w:ascii="宋体" w:hAnsi="宋体" w:eastAsia="宋体" w:cs="宋体"/>
          <w:color w:val="auto"/>
          <w:sz w:val="21"/>
          <w:szCs w:val="21"/>
        </w:rPr>
        <w:t>组织实施。</w:t>
      </w:r>
    </w:p>
    <w:p w14:paraId="76D18300">
      <w:pPr>
        <w:spacing w:line="282" w:lineRule="auto"/>
        <w:ind w:right="20" w:firstLine="420"/>
        <w:jc w:val="both"/>
        <w:rPr>
          <w:rFonts w:hint="eastAsia" w:ascii="宋体" w:hAnsi="宋体" w:eastAsia="宋体" w:cs="宋体"/>
          <w:color w:val="auto"/>
          <w:sz w:val="21"/>
          <w:szCs w:val="21"/>
        </w:rPr>
      </w:pPr>
      <w:r>
        <w:rPr>
          <w:rFonts w:hint="eastAsia" w:ascii="宋体" w:hAnsi="宋体" w:eastAsia="宋体" w:cs="宋体"/>
          <w:color w:val="auto"/>
          <w:sz w:val="21"/>
          <w:szCs w:val="21"/>
        </w:rPr>
        <w:t>本标准起草单位：揭阳市消防行业协会、广东恒防消防工程有限公司、</w:t>
      </w:r>
      <w:r>
        <w:rPr>
          <w:rFonts w:hint="eastAsia" w:ascii="宋体" w:hAnsi="宋体" w:eastAsia="宋体" w:cs="宋体"/>
          <w:color w:val="auto"/>
          <w:sz w:val="21"/>
          <w:szCs w:val="21"/>
          <w:lang w:val="en-US" w:eastAsia="zh-CN"/>
        </w:rPr>
        <w:t>广东</w:t>
      </w:r>
      <w:r>
        <w:rPr>
          <w:rFonts w:hint="eastAsia" w:ascii="宋体" w:hAnsi="宋体" w:eastAsia="宋体" w:cs="宋体"/>
          <w:color w:val="auto"/>
          <w:sz w:val="21"/>
          <w:szCs w:val="21"/>
        </w:rPr>
        <w:t>顺安</w:t>
      </w:r>
      <w:r>
        <w:rPr>
          <w:rFonts w:hint="eastAsia" w:ascii="宋体" w:hAnsi="宋体" w:eastAsia="宋体" w:cs="宋体"/>
          <w:color w:val="auto"/>
          <w:sz w:val="21"/>
          <w:szCs w:val="21"/>
          <w:lang w:eastAsia="zh-CN"/>
        </w:rPr>
        <w:t>建设</w:t>
      </w:r>
      <w:r>
        <w:rPr>
          <w:rFonts w:hint="eastAsia" w:ascii="宋体" w:hAnsi="宋体" w:eastAsia="宋体" w:cs="宋体"/>
          <w:color w:val="auto"/>
          <w:sz w:val="21"/>
          <w:szCs w:val="21"/>
        </w:rPr>
        <w:t>工程有限公司</w:t>
      </w:r>
      <w:r>
        <w:rPr>
          <w:rFonts w:hint="eastAsia" w:ascii="宋体" w:hAnsi="宋体" w:eastAsia="宋体" w:cs="宋体"/>
          <w:color w:val="auto"/>
          <w:sz w:val="21"/>
          <w:szCs w:val="21"/>
          <w:lang w:eastAsia="zh-CN"/>
        </w:rPr>
        <w:t>、揭阳职业技术学院</w:t>
      </w:r>
      <w:r>
        <w:rPr>
          <w:rFonts w:hint="eastAsia" w:ascii="宋体" w:hAnsi="宋体" w:eastAsia="宋体" w:cs="宋体"/>
          <w:color w:val="auto"/>
          <w:sz w:val="21"/>
          <w:szCs w:val="21"/>
        </w:rPr>
        <w:t>。</w:t>
      </w:r>
    </w:p>
    <w:p w14:paraId="39862B5A">
      <w:pPr>
        <w:spacing w:line="282" w:lineRule="auto"/>
        <w:ind w:right="20" w:firstLine="420"/>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本标准主要起</w:t>
      </w:r>
      <w:r>
        <w:rPr>
          <w:rFonts w:hint="eastAsia" w:ascii="宋体" w:hAnsi="宋体" w:eastAsia="宋体" w:cs="宋体"/>
          <w:color w:val="auto"/>
          <w:sz w:val="21"/>
          <w:szCs w:val="21"/>
          <w:lang w:eastAsia="zh-CN"/>
        </w:rPr>
        <w:t>草</w:t>
      </w:r>
      <w:r>
        <w:rPr>
          <w:rFonts w:hint="eastAsia" w:ascii="宋体" w:hAnsi="宋体" w:eastAsia="宋体" w:cs="宋体"/>
          <w:color w:val="auto"/>
          <w:sz w:val="21"/>
          <w:szCs w:val="21"/>
        </w:rPr>
        <w:t>人：</w:t>
      </w:r>
      <w:r>
        <w:rPr>
          <w:rFonts w:hint="eastAsia" w:ascii="宋体" w:hAnsi="宋体" w:eastAsia="宋体" w:cs="宋体"/>
          <w:color w:val="auto"/>
          <w:sz w:val="21"/>
          <w:szCs w:val="21"/>
          <w:lang w:eastAsia="zh-CN"/>
        </w:rPr>
        <w:t>黄晓东、杨天佑、</w:t>
      </w:r>
      <w:r>
        <w:rPr>
          <w:rFonts w:hint="eastAsia" w:ascii="宋体" w:hAnsi="宋体" w:eastAsia="宋体" w:cs="宋体"/>
          <w:color w:val="auto"/>
          <w:sz w:val="21"/>
          <w:szCs w:val="21"/>
        </w:rPr>
        <w:t>罗剑丹、李国芝、郭伟、黄宏德、孙育凯</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江少平、</w:t>
      </w:r>
      <w:r>
        <w:rPr>
          <w:rFonts w:hint="eastAsia" w:ascii="宋体" w:hAnsi="宋体" w:eastAsia="宋体" w:cs="宋体"/>
          <w:color w:val="auto"/>
          <w:sz w:val="21"/>
          <w:szCs w:val="21"/>
          <w:lang w:eastAsia="zh-CN"/>
        </w:rPr>
        <w:t>孙凯然、林灿春、周伟杰、黄荣填、黄晓文、孙婉仪、王东涛、陈志钦、廖志豪</w:t>
      </w:r>
      <w:r>
        <w:rPr>
          <w:rFonts w:hint="eastAsia" w:ascii="宋体" w:hAnsi="宋体" w:eastAsia="宋体" w:cs="宋体"/>
          <w:color w:val="auto"/>
          <w:sz w:val="21"/>
          <w:szCs w:val="21"/>
          <w:lang w:val="en-US" w:eastAsia="zh-CN"/>
        </w:rPr>
        <w:t>。</w:t>
      </w:r>
    </w:p>
    <w:p w14:paraId="44E62EA8">
      <w:pPr>
        <w:spacing w:line="200" w:lineRule="exact"/>
        <w:rPr>
          <w:color w:val="auto"/>
          <w:sz w:val="20"/>
          <w:szCs w:val="20"/>
        </w:rPr>
      </w:pPr>
    </w:p>
    <w:p w14:paraId="1E309CAA">
      <w:pPr>
        <w:spacing w:line="200" w:lineRule="exact"/>
        <w:rPr>
          <w:color w:val="auto"/>
          <w:sz w:val="20"/>
          <w:szCs w:val="20"/>
        </w:rPr>
      </w:pPr>
    </w:p>
    <w:p w14:paraId="1759DE00">
      <w:pPr>
        <w:spacing w:line="200" w:lineRule="exact"/>
        <w:rPr>
          <w:color w:val="auto"/>
          <w:sz w:val="20"/>
          <w:szCs w:val="20"/>
        </w:rPr>
      </w:pPr>
    </w:p>
    <w:p w14:paraId="3B5E5494">
      <w:pPr>
        <w:spacing w:line="200" w:lineRule="exact"/>
        <w:rPr>
          <w:color w:val="auto"/>
          <w:sz w:val="20"/>
          <w:szCs w:val="20"/>
        </w:rPr>
      </w:pPr>
    </w:p>
    <w:p w14:paraId="523C5654">
      <w:pPr>
        <w:spacing w:line="200" w:lineRule="exact"/>
        <w:rPr>
          <w:color w:val="auto"/>
          <w:sz w:val="20"/>
          <w:szCs w:val="20"/>
        </w:rPr>
      </w:pPr>
    </w:p>
    <w:p w14:paraId="411ACE61">
      <w:pPr>
        <w:spacing w:line="200" w:lineRule="exact"/>
        <w:rPr>
          <w:color w:val="auto"/>
          <w:sz w:val="20"/>
          <w:szCs w:val="20"/>
        </w:rPr>
      </w:pPr>
    </w:p>
    <w:p w14:paraId="3B00FFBE">
      <w:pPr>
        <w:spacing w:line="200" w:lineRule="exact"/>
        <w:rPr>
          <w:color w:val="auto"/>
          <w:sz w:val="20"/>
          <w:szCs w:val="20"/>
        </w:rPr>
      </w:pPr>
    </w:p>
    <w:p w14:paraId="428CB760">
      <w:pPr>
        <w:jc w:val="right"/>
        <w:rPr>
          <w:color w:val="auto"/>
        </w:rPr>
      </w:pPr>
      <w:bookmarkStart w:id="4" w:name="page5"/>
      <w:bookmarkEnd w:id="4"/>
    </w:p>
    <w:p w14:paraId="6A276D50">
      <w:pPr>
        <w:jc w:val="right"/>
        <w:rPr>
          <w:color w:val="auto"/>
        </w:rPr>
        <w:sectPr>
          <w:footerReference r:id="rId6" w:type="default"/>
          <w:pgSz w:w="11900" w:h="16838"/>
          <w:pgMar w:top="1420" w:right="1020" w:bottom="1451" w:left="1420" w:header="1417" w:footer="1417" w:gutter="0"/>
          <w:pgNumType w:start="1"/>
          <w:cols w:equalWidth="0" w:num="1">
            <w:col w:w="9460"/>
          </w:cols>
        </w:sectPr>
      </w:pPr>
    </w:p>
    <w:p w14:paraId="16E2CAB2">
      <w:pPr>
        <w:jc w:val="right"/>
        <w:rPr>
          <w:color w:val="auto"/>
        </w:rPr>
      </w:pPr>
    </w:p>
    <w:p w14:paraId="7C3B1CD2">
      <w:pPr>
        <w:spacing w:line="200" w:lineRule="exact"/>
        <w:rPr>
          <w:color w:val="auto"/>
          <w:sz w:val="20"/>
          <w:szCs w:val="20"/>
        </w:rPr>
      </w:pPr>
      <w:bookmarkStart w:id="5" w:name="page6"/>
      <w:bookmarkEnd w:id="5"/>
      <w:bookmarkStart w:id="6" w:name="page7"/>
      <w:bookmarkEnd w:id="6"/>
    </w:p>
    <w:p w14:paraId="37E300C2">
      <w:pPr>
        <w:spacing w:line="200" w:lineRule="exact"/>
        <w:rPr>
          <w:color w:val="auto"/>
          <w:sz w:val="20"/>
          <w:szCs w:val="20"/>
        </w:rPr>
      </w:pPr>
    </w:p>
    <w:p w14:paraId="380340E8">
      <w:pPr>
        <w:ind w:firstLine="1920" w:firstLineChars="600"/>
        <w:jc w:val="both"/>
        <w:rPr>
          <w:rFonts w:hint="eastAsia" w:eastAsia="黑体"/>
          <w:color w:val="auto"/>
          <w:sz w:val="20"/>
          <w:szCs w:val="20"/>
          <w:lang w:eastAsia="zh-CN"/>
        </w:rPr>
      </w:pPr>
      <w:r>
        <w:rPr>
          <w:rFonts w:hint="eastAsia" w:ascii="黑体" w:hAnsi="黑体" w:eastAsia="黑体" w:cs="黑体"/>
          <w:color w:val="auto"/>
          <w:sz w:val="32"/>
          <w:szCs w:val="32"/>
        </w:rPr>
        <w:t>电动自行车停放充电场所消防安全</w:t>
      </w:r>
      <w:r>
        <w:rPr>
          <w:rFonts w:hint="eastAsia" w:ascii="黑体" w:hAnsi="黑体" w:eastAsia="黑体" w:cs="黑体"/>
          <w:color w:val="auto"/>
          <w:sz w:val="32"/>
          <w:szCs w:val="32"/>
          <w:lang w:eastAsia="zh-CN"/>
        </w:rPr>
        <w:t>规范</w:t>
      </w:r>
    </w:p>
    <w:p w14:paraId="06AE3550">
      <w:pPr>
        <w:spacing w:line="200" w:lineRule="exact"/>
        <w:jc w:val="both"/>
        <w:rPr>
          <w:color w:val="auto"/>
          <w:sz w:val="20"/>
          <w:szCs w:val="20"/>
        </w:rPr>
      </w:pPr>
    </w:p>
    <w:p w14:paraId="34AD1834">
      <w:pPr>
        <w:spacing w:line="200" w:lineRule="exact"/>
        <w:jc w:val="both"/>
        <w:rPr>
          <w:color w:val="auto"/>
          <w:sz w:val="20"/>
          <w:szCs w:val="20"/>
        </w:rPr>
      </w:pPr>
    </w:p>
    <w:p w14:paraId="5CC95859">
      <w:pPr>
        <w:spacing w:line="225" w:lineRule="exact"/>
        <w:jc w:val="both"/>
        <w:rPr>
          <w:color w:val="auto"/>
          <w:sz w:val="20"/>
          <w:szCs w:val="20"/>
        </w:rPr>
      </w:pPr>
    </w:p>
    <w:p w14:paraId="194710DB">
      <w:pPr>
        <w:tabs>
          <w:tab w:val="left" w:pos="300"/>
        </w:tabs>
        <w:spacing w:line="239" w:lineRule="auto"/>
        <w:jc w:val="both"/>
        <w:rPr>
          <w:color w:val="auto"/>
          <w:sz w:val="20"/>
          <w:szCs w:val="20"/>
        </w:rPr>
      </w:pPr>
      <w:r>
        <w:rPr>
          <w:rFonts w:ascii="黑体" w:hAnsi="黑体" w:eastAsia="黑体" w:cs="黑体"/>
          <w:color w:val="auto"/>
          <w:sz w:val="21"/>
          <w:szCs w:val="21"/>
        </w:rPr>
        <w:t>1</w:t>
      </w:r>
      <w:r>
        <w:rPr>
          <w:color w:val="auto"/>
          <w:sz w:val="20"/>
          <w:szCs w:val="20"/>
        </w:rPr>
        <w:tab/>
      </w:r>
      <w:r>
        <w:rPr>
          <w:rFonts w:hint="eastAsia" w:ascii="黑体" w:hAnsi="黑体" w:eastAsia="黑体" w:cs="黑体"/>
          <w:color w:val="auto"/>
          <w:sz w:val="21"/>
          <w:szCs w:val="21"/>
        </w:rPr>
        <w:t>适用</w:t>
      </w:r>
      <w:r>
        <w:rPr>
          <w:rFonts w:ascii="黑体" w:hAnsi="黑体" w:eastAsia="黑体" w:cs="黑体"/>
          <w:color w:val="auto"/>
          <w:sz w:val="21"/>
          <w:szCs w:val="21"/>
        </w:rPr>
        <w:t>范围</w:t>
      </w:r>
    </w:p>
    <w:p w14:paraId="29AD2686">
      <w:pPr>
        <w:spacing w:line="200" w:lineRule="exact"/>
        <w:jc w:val="both"/>
        <w:rPr>
          <w:color w:val="auto"/>
          <w:sz w:val="20"/>
          <w:szCs w:val="20"/>
        </w:rPr>
      </w:pPr>
    </w:p>
    <w:p w14:paraId="30E7BFBF">
      <w:pPr>
        <w:spacing w:line="213" w:lineRule="exact"/>
        <w:jc w:val="both"/>
        <w:rPr>
          <w:color w:val="auto"/>
          <w:sz w:val="20"/>
          <w:szCs w:val="20"/>
        </w:rPr>
      </w:pPr>
    </w:p>
    <w:p w14:paraId="067E1469">
      <w:pPr>
        <w:spacing w:line="282" w:lineRule="auto"/>
        <w:ind w:firstLine="420"/>
        <w:jc w:val="both"/>
        <w:rPr>
          <w:color w:val="auto"/>
          <w:sz w:val="20"/>
          <w:szCs w:val="20"/>
        </w:rPr>
      </w:pPr>
      <w:r>
        <w:rPr>
          <w:rFonts w:hint="eastAsia" w:ascii="宋体" w:hAnsi="宋体" w:eastAsia="宋体" w:cs="宋体"/>
          <w:color w:val="auto"/>
          <w:sz w:val="21"/>
          <w:szCs w:val="21"/>
        </w:rPr>
        <w:t>本标准</w:t>
      </w:r>
      <w:r>
        <w:rPr>
          <w:rFonts w:ascii="宋体" w:hAnsi="宋体" w:eastAsia="宋体" w:cs="宋体"/>
          <w:color w:val="auto"/>
          <w:sz w:val="21"/>
          <w:szCs w:val="21"/>
        </w:rPr>
        <w:t>规定了电动自行车停放充电场所的</w:t>
      </w:r>
      <w:r>
        <w:rPr>
          <w:rFonts w:hint="eastAsia" w:ascii="宋体" w:hAnsi="宋体" w:eastAsia="宋体" w:cs="宋体"/>
          <w:color w:val="auto"/>
          <w:sz w:val="21"/>
          <w:szCs w:val="21"/>
        </w:rPr>
        <w:t>建筑</w:t>
      </w:r>
      <w:r>
        <w:rPr>
          <w:rFonts w:ascii="宋体" w:hAnsi="宋体" w:eastAsia="宋体" w:cs="宋体"/>
          <w:color w:val="auto"/>
          <w:sz w:val="21"/>
          <w:szCs w:val="21"/>
        </w:rPr>
        <w:t>总平面布局、</w:t>
      </w:r>
      <w:r>
        <w:rPr>
          <w:rFonts w:hint="eastAsia" w:ascii="宋体" w:hAnsi="宋体" w:eastAsia="宋体" w:cs="宋体"/>
          <w:color w:val="auto"/>
          <w:sz w:val="21"/>
          <w:szCs w:val="21"/>
        </w:rPr>
        <w:t>建筑</w:t>
      </w:r>
      <w:r>
        <w:rPr>
          <w:rFonts w:ascii="宋体" w:hAnsi="宋体" w:eastAsia="宋体" w:cs="宋体"/>
          <w:color w:val="auto"/>
          <w:sz w:val="21"/>
          <w:szCs w:val="21"/>
        </w:rPr>
        <w:t>平面布置</w:t>
      </w:r>
      <w:r>
        <w:rPr>
          <w:rFonts w:hint="eastAsia" w:ascii="宋体" w:hAnsi="宋体" w:eastAsia="宋体" w:cs="宋体"/>
          <w:color w:val="auto"/>
          <w:sz w:val="21"/>
          <w:szCs w:val="21"/>
        </w:rPr>
        <w:t>与</w:t>
      </w:r>
      <w:r>
        <w:rPr>
          <w:rFonts w:ascii="宋体" w:hAnsi="宋体" w:eastAsia="宋体" w:cs="宋体"/>
          <w:color w:val="auto"/>
          <w:sz w:val="21"/>
          <w:szCs w:val="21"/>
        </w:rPr>
        <w:t>防火分隔</w:t>
      </w:r>
      <w:r>
        <w:rPr>
          <w:rFonts w:hint="eastAsia" w:ascii="宋体" w:hAnsi="宋体" w:eastAsia="宋体" w:cs="宋体"/>
          <w:color w:val="auto"/>
          <w:sz w:val="21"/>
          <w:szCs w:val="21"/>
        </w:rPr>
        <w:t>、</w:t>
      </w:r>
      <w:r>
        <w:rPr>
          <w:rFonts w:ascii="宋体" w:hAnsi="宋体" w:eastAsia="宋体" w:cs="宋体"/>
          <w:color w:val="auto"/>
          <w:sz w:val="21"/>
          <w:szCs w:val="21"/>
        </w:rPr>
        <w:t>建筑构造</w:t>
      </w:r>
      <w:r>
        <w:rPr>
          <w:rFonts w:hint="eastAsia" w:ascii="宋体" w:hAnsi="宋体" w:eastAsia="宋体" w:cs="宋体"/>
          <w:color w:val="auto"/>
          <w:sz w:val="21"/>
          <w:szCs w:val="21"/>
        </w:rPr>
        <w:t>与装修、</w:t>
      </w:r>
      <w:r>
        <w:rPr>
          <w:rFonts w:ascii="宋体" w:hAnsi="宋体" w:eastAsia="宋体" w:cs="宋体"/>
          <w:color w:val="auto"/>
          <w:sz w:val="21"/>
          <w:szCs w:val="21"/>
        </w:rPr>
        <w:t>安全疏散、消防设施和器材</w:t>
      </w:r>
      <w:r>
        <w:rPr>
          <w:rFonts w:hint="eastAsia" w:ascii="宋体" w:hAnsi="宋体" w:eastAsia="宋体" w:cs="宋体"/>
          <w:color w:val="auto"/>
          <w:sz w:val="21"/>
          <w:szCs w:val="21"/>
        </w:rPr>
        <w:t>要求</w:t>
      </w:r>
      <w:r>
        <w:rPr>
          <w:rFonts w:ascii="宋体" w:hAnsi="宋体" w:eastAsia="宋体" w:cs="宋体"/>
          <w:color w:val="auto"/>
          <w:sz w:val="21"/>
          <w:szCs w:val="21"/>
        </w:rPr>
        <w:t>、电气</w:t>
      </w:r>
      <w:r>
        <w:rPr>
          <w:rFonts w:hint="eastAsia" w:ascii="宋体" w:hAnsi="宋体" w:eastAsia="宋体" w:cs="宋体"/>
          <w:color w:val="auto"/>
          <w:sz w:val="21"/>
          <w:szCs w:val="21"/>
        </w:rPr>
        <w:t>要求</w:t>
      </w:r>
      <w:r>
        <w:rPr>
          <w:rFonts w:ascii="宋体" w:hAnsi="宋体" w:eastAsia="宋体" w:cs="宋体"/>
          <w:color w:val="auto"/>
          <w:sz w:val="21"/>
          <w:szCs w:val="21"/>
        </w:rPr>
        <w:t>、</w:t>
      </w:r>
      <w:r>
        <w:rPr>
          <w:rFonts w:hint="eastAsia" w:ascii="宋体" w:hAnsi="宋体" w:eastAsia="宋体" w:cs="宋体"/>
          <w:color w:val="auto"/>
          <w:sz w:val="21"/>
          <w:szCs w:val="21"/>
        </w:rPr>
        <w:t>消防应急照明和疏散指示标志、消防安全管理</w:t>
      </w:r>
      <w:r>
        <w:rPr>
          <w:rFonts w:ascii="宋体" w:hAnsi="宋体" w:eastAsia="宋体" w:cs="宋体"/>
          <w:color w:val="auto"/>
          <w:sz w:val="21"/>
          <w:szCs w:val="21"/>
        </w:rPr>
        <w:t>等要求。</w:t>
      </w:r>
    </w:p>
    <w:p w14:paraId="2FE4E81D">
      <w:pPr>
        <w:spacing w:line="61" w:lineRule="exact"/>
        <w:jc w:val="both"/>
        <w:rPr>
          <w:color w:val="auto"/>
          <w:sz w:val="20"/>
          <w:szCs w:val="20"/>
        </w:rPr>
      </w:pPr>
    </w:p>
    <w:p w14:paraId="008CD3AD">
      <w:pPr>
        <w:spacing w:line="282" w:lineRule="auto"/>
        <w:ind w:firstLine="420"/>
        <w:jc w:val="both"/>
        <w:rPr>
          <w:color w:val="auto"/>
          <w:sz w:val="20"/>
          <w:szCs w:val="20"/>
        </w:rPr>
      </w:pPr>
      <w:r>
        <w:rPr>
          <w:rFonts w:hint="eastAsia" w:ascii="宋体" w:hAnsi="宋体" w:eastAsia="宋体" w:cs="宋体"/>
          <w:color w:val="auto"/>
          <w:sz w:val="21"/>
          <w:szCs w:val="21"/>
        </w:rPr>
        <w:t>本标准</w:t>
      </w:r>
      <w:r>
        <w:rPr>
          <w:rFonts w:ascii="宋体" w:hAnsi="宋体" w:eastAsia="宋体" w:cs="宋体"/>
          <w:color w:val="auto"/>
          <w:sz w:val="21"/>
          <w:szCs w:val="21"/>
        </w:rPr>
        <w:t>适用于</w:t>
      </w:r>
      <w:r>
        <w:rPr>
          <w:rFonts w:hint="eastAsia" w:ascii="宋体" w:hAnsi="宋体" w:eastAsia="宋体" w:cs="宋体"/>
          <w:color w:val="auto"/>
          <w:sz w:val="21"/>
          <w:szCs w:val="21"/>
        </w:rPr>
        <w:t>揭阳市</w:t>
      </w:r>
      <w:r>
        <w:rPr>
          <w:rFonts w:ascii="宋体" w:hAnsi="宋体" w:eastAsia="宋体" w:cs="宋体"/>
          <w:color w:val="auto"/>
          <w:sz w:val="21"/>
          <w:szCs w:val="21"/>
        </w:rPr>
        <w:t>内新建、改建</w:t>
      </w:r>
      <w:r>
        <w:rPr>
          <w:rFonts w:hint="eastAsia" w:ascii="宋体" w:hAnsi="宋体" w:eastAsia="宋体" w:cs="宋体"/>
          <w:color w:val="auto"/>
          <w:sz w:val="21"/>
          <w:szCs w:val="21"/>
        </w:rPr>
        <w:t>和</w:t>
      </w:r>
      <w:r>
        <w:rPr>
          <w:rFonts w:ascii="宋体" w:hAnsi="宋体" w:eastAsia="宋体" w:cs="宋体"/>
          <w:color w:val="auto"/>
          <w:sz w:val="21"/>
          <w:szCs w:val="21"/>
        </w:rPr>
        <w:t>扩建的电动自行车停放充电场所的消防安全设计、施工、验收</w:t>
      </w:r>
      <w:r>
        <w:rPr>
          <w:rFonts w:hint="eastAsia" w:ascii="宋体" w:hAnsi="宋体" w:eastAsia="宋体" w:cs="宋体"/>
          <w:color w:val="auto"/>
          <w:sz w:val="21"/>
          <w:szCs w:val="21"/>
          <w:lang w:eastAsia="zh-CN"/>
        </w:rPr>
        <w:t>、消防安全管理</w:t>
      </w:r>
      <w:r>
        <w:rPr>
          <w:rFonts w:ascii="宋体" w:hAnsi="宋体" w:eastAsia="宋体" w:cs="宋体"/>
          <w:color w:val="auto"/>
          <w:sz w:val="21"/>
          <w:szCs w:val="21"/>
        </w:rPr>
        <w:t>，</w:t>
      </w:r>
      <w:r>
        <w:rPr>
          <w:rFonts w:hint="eastAsia" w:ascii="宋体" w:hAnsi="宋体" w:eastAsia="宋体" w:cs="宋体"/>
          <w:color w:val="auto"/>
          <w:sz w:val="21"/>
          <w:szCs w:val="21"/>
        </w:rPr>
        <w:t>已</w:t>
      </w:r>
      <w:r>
        <w:rPr>
          <w:rFonts w:ascii="宋体" w:hAnsi="宋体" w:eastAsia="宋体" w:cs="宋体"/>
          <w:color w:val="auto"/>
          <w:sz w:val="21"/>
          <w:szCs w:val="21"/>
        </w:rPr>
        <w:t>投入使用的电动自行车停放充电场所按照</w:t>
      </w:r>
      <w:r>
        <w:rPr>
          <w:rFonts w:hint="eastAsia" w:ascii="宋体" w:hAnsi="宋体" w:eastAsia="宋体" w:cs="宋体"/>
          <w:color w:val="auto"/>
          <w:sz w:val="21"/>
          <w:szCs w:val="21"/>
        </w:rPr>
        <w:t>本标准</w:t>
      </w:r>
      <w:r>
        <w:rPr>
          <w:rFonts w:ascii="宋体" w:hAnsi="宋体" w:eastAsia="宋体" w:cs="宋体"/>
          <w:color w:val="auto"/>
          <w:sz w:val="21"/>
          <w:szCs w:val="21"/>
        </w:rPr>
        <w:t>执行。</w:t>
      </w:r>
    </w:p>
    <w:p w14:paraId="65DA7729">
      <w:pPr>
        <w:spacing w:line="61" w:lineRule="exact"/>
        <w:jc w:val="both"/>
        <w:rPr>
          <w:color w:val="auto"/>
          <w:sz w:val="20"/>
          <w:szCs w:val="20"/>
        </w:rPr>
      </w:pPr>
    </w:p>
    <w:p w14:paraId="3753C036">
      <w:pPr>
        <w:spacing w:line="282" w:lineRule="auto"/>
        <w:ind w:firstLine="420"/>
        <w:jc w:val="both"/>
        <w:rPr>
          <w:rFonts w:hint="eastAsia" w:ascii="宋体" w:hAnsi="宋体" w:eastAsia="宋体" w:cs="宋体"/>
          <w:color w:val="auto"/>
          <w:sz w:val="21"/>
          <w:szCs w:val="21"/>
        </w:rPr>
      </w:pPr>
      <w:r>
        <w:rPr>
          <w:rFonts w:hint="eastAsia" w:ascii="宋体" w:hAnsi="宋体" w:eastAsia="宋体" w:cs="宋体"/>
          <w:color w:val="auto"/>
          <w:sz w:val="21"/>
          <w:szCs w:val="21"/>
        </w:rPr>
        <w:t>电动三轮车、电动摩托车、共享电动</w:t>
      </w:r>
      <w:r>
        <w:rPr>
          <w:rFonts w:hint="eastAsia" w:ascii="宋体" w:hAnsi="宋体" w:eastAsia="宋体" w:cs="宋体"/>
          <w:color w:val="auto"/>
          <w:sz w:val="21"/>
          <w:szCs w:val="21"/>
          <w:lang w:eastAsia="zh-CN"/>
        </w:rPr>
        <w:t>自行</w:t>
      </w:r>
      <w:r>
        <w:rPr>
          <w:rFonts w:hint="eastAsia" w:ascii="宋体" w:hAnsi="宋体" w:eastAsia="宋体" w:cs="宋体"/>
          <w:color w:val="auto"/>
          <w:sz w:val="21"/>
          <w:szCs w:val="21"/>
        </w:rPr>
        <w:t>车运营企业及其他车</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电</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分离停放充电场所可参考</w:t>
      </w:r>
      <w:r>
        <w:rPr>
          <w:rFonts w:hint="eastAsia" w:ascii="宋体" w:hAnsi="宋体" w:eastAsia="宋体" w:cs="宋体"/>
          <w:color w:val="auto"/>
          <w:sz w:val="21"/>
          <w:szCs w:val="21"/>
          <w:lang w:eastAsia="zh-CN"/>
        </w:rPr>
        <w:t>本</w:t>
      </w:r>
      <w:r>
        <w:rPr>
          <w:rFonts w:hint="eastAsia" w:ascii="宋体" w:hAnsi="宋体" w:eastAsia="宋体" w:cs="宋体"/>
          <w:color w:val="auto"/>
          <w:sz w:val="21"/>
          <w:szCs w:val="21"/>
        </w:rPr>
        <w:t>标准。</w:t>
      </w:r>
    </w:p>
    <w:p w14:paraId="1D165004">
      <w:pPr>
        <w:spacing w:line="345" w:lineRule="exact"/>
        <w:jc w:val="both"/>
        <w:rPr>
          <w:color w:val="auto"/>
          <w:sz w:val="20"/>
          <w:szCs w:val="20"/>
        </w:rPr>
      </w:pPr>
    </w:p>
    <w:p w14:paraId="25A58D50">
      <w:pPr>
        <w:tabs>
          <w:tab w:val="left" w:pos="300"/>
        </w:tabs>
        <w:spacing w:line="239" w:lineRule="auto"/>
        <w:jc w:val="both"/>
        <w:rPr>
          <w:color w:val="auto"/>
          <w:sz w:val="20"/>
          <w:szCs w:val="20"/>
        </w:rPr>
      </w:pPr>
      <w:r>
        <w:rPr>
          <w:rFonts w:ascii="黑体" w:hAnsi="黑体" w:eastAsia="黑体" w:cs="黑体"/>
          <w:color w:val="auto"/>
          <w:sz w:val="21"/>
          <w:szCs w:val="21"/>
        </w:rPr>
        <w:t>2</w:t>
      </w:r>
      <w:r>
        <w:rPr>
          <w:color w:val="auto"/>
          <w:sz w:val="20"/>
          <w:szCs w:val="20"/>
        </w:rPr>
        <w:tab/>
      </w:r>
      <w:r>
        <w:rPr>
          <w:rFonts w:ascii="黑体" w:hAnsi="黑体" w:eastAsia="黑体" w:cs="黑体"/>
          <w:color w:val="auto"/>
          <w:sz w:val="21"/>
          <w:szCs w:val="21"/>
        </w:rPr>
        <w:t>规范性引用文件</w:t>
      </w:r>
    </w:p>
    <w:p w14:paraId="6D7FC711">
      <w:pPr>
        <w:spacing w:line="200" w:lineRule="exact"/>
        <w:jc w:val="both"/>
        <w:rPr>
          <w:color w:val="auto"/>
          <w:sz w:val="20"/>
          <w:szCs w:val="20"/>
        </w:rPr>
      </w:pPr>
    </w:p>
    <w:p w14:paraId="1A08A94B">
      <w:pPr>
        <w:spacing w:line="213" w:lineRule="exact"/>
        <w:jc w:val="both"/>
        <w:rPr>
          <w:color w:val="auto"/>
          <w:sz w:val="20"/>
          <w:szCs w:val="20"/>
        </w:rPr>
      </w:pPr>
    </w:p>
    <w:p w14:paraId="44D83197">
      <w:pPr>
        <w:spacing w:line="297" w:lineRule="auto"/>
        <w:ind w:firstLine="420"/>
        <w:jc w:val="both"/>
        <w:rPr>
          <w:color w:val="auto"/>
          <w:sz w:val="20"/>
          <w:szCs w:val="20"/>
        </w:rPr>
      </w:pPr>
      <w:r>
        <w:rPr>
          <w:rFonts w:ascii="宋体" w:hAnsi="宋体" w:eastAsia="宋体" w:cs="宋体"/>
          <w:color w:val="auto"/>
          <w:sz w:val="21"/>
          <w:szCs w:val="21"/>
        </w:rPr>
        <w:t>下列文件中的内容通过文中的规范性引用而构成</w:t>
      </w:r>
      <w:r>
        <w:rPr>
          <w:rFonts w:hint="eastAsia" w:ascii="宋体" w:hAnsi="宋体" w:eastAsia="宋体" w:cs="宋体"/>
          <w:color w:val="auto"/>
          <w:sz w:val="21"/>
          <w:szCs w:val="21"/>
        </w:rPr>
        <w:t>本标准</w:t>
      </w:r>
      <w:r>
        <w:rPr>
          <w:rFonts w:ascii="宋体" w:hAnsi="宋体" w:eastAsia="宋体" w:cs="宋体"/>
          <w:color w:val="auto"/>
          <w:sz w:val="21"/>
          <w:szCs w:val="21"/>
        </w:rPr>
        <w:t>必不可少的条款。其最新版本（包括</w:t>
      </w:r>
      <w:r>
        <w:rPr>
          <w:rFonts w:hint="eastAsia" w:ascii="宋体" w:hAnsi="宋体" w:eastAsia="宋体" w:cs="宋体"/>
          <w:color w:val="auto"/>
          <w:sz w:val="21"/>
          <w:szCs w:val="21"/>
        </w:rPr>
        <w:t>合并版本</w:t>
      </w:r>
      <w:r>
        <w:rPr>
          <w:rFonts w:ascii="宋体" w:hAnsi="宋体" w:eastAsia="宋体" w:cs="宋体"/>
          <w:color w:val="auto"/>
          <w:sz w:val="21"/>
          <w:szCs w:val="21"/>
        </w:rPr>
        <w:t>）适用于</w:t>
      </w:r>
      <w:r>
        <w:rPr>
          <w:rFonts w:hint="eastAsia" w:ascii="宋体" w:hAnsi="宋体" w:eastAsia="宋体" w:cs="宋体"/>
          <w:color w:val="auto"/>
          <w:sz w:val="21"/>
          <w:szCs w:val="21"/>
        </w:rPr>
        <w:t>本标准</w:t>
      </w:r>
      <w:r>
        <w:rPr>
          <w:rFonts w:ascii="宋体" w:hAnsi="宋体" w:eastAsia="宋体" w:cs="宋体"/>
          <w:color w:val="auto"/>
          <w:sz w:val="21"/>
          <w:szCs w:val="21"/>
        </w:rPr>
        <w:t>。</w:t>
      </w:r>
    </w:p>
    <w:p w14:paraId="288A330F">
      <w:pPr>
        <w:spacing w:line="17" w:lineRule="exact"/>
        <w:jc w:val="both"/>
        <w:rPr>
          <w:color w:val="auto"/>
          <w:sz w:val="20"/>
          <w:szCs w:val="20"/>
        </w:rPr>
      </w:pPr>
    </w:p>
    <w:p w14:paraId="54393C48">
      <w:pPr>
        <w:tabs>
          <w:tab w:val="left" w:pos="2280"/>
          <w:tab w:val="left" w:pos="3760"/>
        </w:tabs>
        <w:ind w:left="420"/>
        <w:jc w:val="both"/>
        <w:rPr>
          <w:rFonts w:ascii="宋体" w:hAnsi="宋体" w:eastAsia="宋体" w:cs="宋体"/>
          <w:color w:val="auto"/>
          <w:sz w:val="21"/>
          <w:szCs w:val="21"/>
        </w:rPr>
      </w:pPr>
    </w:p>
    <w:tbl>
      <w:tblPr>
        <w:tblStyle w:val="7"/>
        <w:tblW w:w="0" w:type="auto"/>
        <w:tblInd w:w="0" w:type="dxa"/>
        <w:tblLayout w:type="fixed"/>
        <w:tblCellMar>
          <w:top w:w="0" w:type="dxa"/>
          <w:left w:w="0" w:type="dxa"/>
          <w:bottom w:w="0" w:type="dxa"/>
          <w:right w:w="0" w:type="dxa"/>
        </w:tblCellMar>
      </w:tblPr>
      <w:tblGrid>
        <w:gridCol w:w="1880"/>
        <w:gridCol w:w="4620"/>
      </w:tblGrid>
      <w:tr w14:paraId="58699158">
        <w:tblPrEx>
          <w:tblCellMar>
            <w:top w:w="0" w:type="dxa"/>
            <w:left w:w="0" w:type="dxa"/>
            <w:bottom w:w="0" w:type="dxa"/>
            <w:right w:w="0" w:type="dxa"/>
          </w:tblCellMar>
        </w:tblPrEx>
        <w:trPr>
          <w:trHeight w:val="312" w:hRule="atLeast"/>
        </w:trPr>
        <w:tc>
          <w:tcPr>
            <w:tcW w:w="6500" w:type="dxa"/>
            <w:gridSpan w:val="2"/>
            <w:vAlign w:val="bottom"/>
          </w:tcPr>
          <w:p w14:paraId="6637CF25">
            <w:pPr>
              <w:tabs>
                <w:tab w:val="left" w:pos="2280"/>
                <w:tab w:val="left" w:pos="3760"/>
              </w:tabs>
              <w:ind w:left="420"/>
              <w:jc w:val="both"/>
              <w:rPr>
                <w:rFonts w:ascii="宋体" w:hAnsi="宋体" w:eastAsia="宋体" w:cs="宋体"/>
                <w:color w:val="auto"/>
                <w:sz w:val="21"/>
                <w:szCs w:val="21"/>
              </w:rPr>
            </w:pPr>
            <w:r>
              <w:rPr>
                <w:rFonts w:hint="eastAsia" w:ascii="宋体" w:hAnsi="宋体" w:eastAsia="宋体" w:cs="宋体"/>
                <w:color w:val="auto"/>
                <w:sz w:val="21"/>
                <w:szCs w:val="21"/>
              </w:rPr>
              <w:t>GB</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55037          建筑防火通用规范 </w:t>
            </w:r>
          </w:p>
        </w:tc>
      </w:tr>
      <w:tr w14:paraId="5C9D80FE">
        <w:tblPrEx>
          <w:tblCellMar>
            <w:top w:w="0" w:type="dxa"/>
            <w:left w:w="0" w:type="dxa"/>
            <w:bottom w:w="0" w:type="dxa"/>
            <w:right w:w="0" w:type="dxa"/>
          </w:tblCellMar>
        </w:tblPrEx>
        <w:trPr>
          <w:trHeight w:val="312" w:hRule="atLeast"/>
        </w:trPr>
        <w:tc>
          <w:tcPr>
            <w:tcW w:w="6500" w:type="dxa"/>
            <w:gridSpan w:val="2"/>
            <w:vAlign w:val="bottom"/>
          </w:tcPr>
          <w:p w14:paraId="27A268E9">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 xml:space="preserve">50016 </w:t>
            </w:r>
            <w:r>
              <w:rPr>
                <w:rFonts w:hint="eastAsia" w:ascii="宋体" w:hAnsi="宋体" w:eastAsia="宋体" w:cs="宋体"/>
                <w:color w:val="auto"/>
                <w:sz w:val="21"/>
                <w:szCs w:val="21"/>
              </w:rPr>
              <w:t xml:space="preserve">         </w:t>
            </w:r>
            <w:r>
              <w:rPr>
                <w:rFonts w:ascii="宋体" w:hAnsi="宋体" w:eastAsia="宋体" w:cs="宋体"/>
                <w:color w:val="auto"/>
                <w:sz w:val="21"/>
                <w:szCs w:val="21"/>
              </w:rPr>
              <w:t>建筑设计防火规范</w:t>
            </w:r>
          </w:p>
        </w:tc>
      </w:tr>
      <w:tr w14:paraId="4C5159F8">
        <w:tblPrEx>
          <w:tblCellMar>
            <w:top w:w="0" w:type="dxa"/>
            <w:left w:w="0" w:type="dxa"/>
            <w:bottom w:w="0" w:type="dxa"/>
            <w:right w:w="0" w:type="dxa"/>
          </w:tblCellMar>
        </w:tblPrEx>
        <w:trPr>
          <w:trHeight w:val="312" w:hRule="atLeast"/>
        </w:trPr>
        <w:tc>
          <w:tcPr>
            <w:tcW w:w="6500" w:type="dxa"/>
            <w:gridSpan w:val="2"/>
            <w:vAlign w:val="bottom"/>
          </w:tcPr>
          <w:p w14:paraId="31DB8903">
            <w:pPr>
              <w:tabs>
                <w:tab w:val="left" w:pos="2280"/>
                <w:tab w:val="left" w:pos="3760"/>
              </w:tabs>
              <w:ind w:left="420"/>
              <w:jc w:val="both"/>
              <w:rPr>
                <w:rFonts w:ascii="宋体" w:hAnsi="宋体" w:eastAsia="宋体" w:cs="宋体"/>
                <w:color w:val="auto"/>
                <w:sz w:val="21"/>
                <w:szCs w:val="21"/>
              </w:rPr>
            </w:pPr>
            <w:r>
              <w:rPr>
                <w:rFonts w:hint="eastAsia" w:ascii="宋体" w:hAnsi="宋体" w:eastAsia="宋体" w:cs="宋体"/>
                <w:color w:val="auto"/>
                <w:sz w:val="21"/>
                <w:szCs w:val="21"/>
              </w:rPr>
              <w:t>GB</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 xml:space="preserve">55036          消防设施通用规范 </w:t>
            </w:r>
          </w:p>
        </w:tc>
      </w:tr>
      <w:tr w14:paraId="28EB8F5E">
        <w:tblPrEx>
          <w:tblCellMar>
            <w:top w:w="0" w:type="dxa"/>
            <w:left w:w="0" w:type="dxa"/>
            <w:bottom w:w="0" w:type="dxa"/>
            <w:right w:w="0" w:type="dxa"/>
          </w:tblCellMar>
        </w:tblPrEx>
        <w:trPr>
          <w:trHeight w:val="312" w:hRule="atLeast"/>
        </w:trPr>
        <w:tc>
          <w:tcPr>
            <w:tcW w:w="1880" w:type="dxa"/>
            <w:vAlign w:val="bottom"/>
          </w:tcPr>
          <w:p w14:paraId="490BA4EA">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50067</w:t>
            </w:r>
          </w:p>
        </w:tc>
        <w:tc>
          <w:tcPr>
            <w:tcW w:w="4620" w:type="dxa"/>
            <w:vAlign w:val="bottom"/>
          </w:tcPr>
          <w:p w14:paraId="5A4175E3">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汽车库、修车库、停车场设计防火规范</w:t>
            </w:r>
          </w:p>
        </w:tc>
      </w:tr>
      <w:tr w14:paraId="5A27B5CC">
        <w:tblPrEx>
          <w:tblCellMar>
            <w:top w:w="0" w:type="dxa"/>
            <w:left w:w="0" w:type="dxa"/>
            <w:bottom w:w="0" w:type="dxa"/>
            <w:right w:w="0" w:type="dxa"/>
          </w:tblCellMar>
        </w:tblPrEx>
        <w:trPr>
          <w:trHeight w:val="312" w:hRule="atLeast"/>
        </w:trPr>
        <w:tc>
          <w:tcPr>
            <w:tcW w:w="1880" w:type="dxa"/>
            <w:vAlign w:val="bottom"/>
          </w:tcPr>
          <w:p w14:paraId="49DBA2DB">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50974</w:t>
            </w:r>
          </w:p>
        </w:tc>
        <w:tc>
          <w:tcPr>
            <w:tcW w:w="4620" w:type="dxa"/>
            <w:vAlign w:val="bottom"/>
          </w:tcPr>
          <w:p w14:paraId="3D2E6B73">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消防给水及消火栓系统技术规范</w:t>
            </w:r>
          </w:p>
        </w:tc>
      </w:tr>
      <w:tr w14:paraId="5AD354C9">
        <w:tblPrEx>
          <w:tblCellMar>
            <w:top w:w="0" w:type="dxa"/>
            <w:left w:w="0" w:type="dxa"/>
            <w:bottom w:w="0" w:type="dxa"/>
            <w:right w:w="0" w:type="dxa"/>
          </w:tblCellMar>
        </w:tblPrEx>
        <w:trPr>
          <w:trHeight w:val="312" w:hRule="atLeast"/>
        </w:trPr>
        <w:tc>
          <w:tcPr>
            <w:tcW w:w="1880" w:type="dxa"/>
            <w:vAlign w:val="bottom"/>
          </w:tcPr>
          <w:p w14:paraId="5E28B253">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50116</w:t>
            </w:r>
          </w:p>
        </w:tc>
        <w:tc>
          <w:tcPr>
            <w:tcW w:w="4620" w:type="dxa"/>
            <w:vAlign w:val="bottom"/>
          </w:tcPr>
          <w:p w14:paraId="436EE03B">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火灾自动报警系统设计规范</w:t>
            </w:r>
          </w:p>
        </w:tc>
      </w:tr>
      <w:tr w14:paraId="6F7051D3">
        <w:tblPrEx>
          <w:tblCellMar>
            <w:top w:w="0" w:type="dxa"/>
            <w:left w:w="0" w:type="dxa"/>
            <w:bottom w:w="0" w:type="dxa"/>
            <w:right w:w="0" w:type="dxa"/>
          </w:tblCellMar>
        </w:tblPrEx>
        <w:trPr>
          <w:trHeight w:val="312" w:hRule="atLeast"/>
        </w:trPr>
        <w:tc>
          <w:tcPr>
            <w:tcW w:w="1880" w:type="dxa"/>
            <w:vAlign w:val="bottom"/>
          </w:tcPr>
          <w:p w14:paraId="6A0EFC91">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50084</w:t>
            </w:r>
          </w:p>
        </w:tc>
        <w:tc>
          <w:tcPr>
            <w:tcW w:w="4620" w:type="dxa"/>
            <w:vAlign w:val="bottom"/>
          </w:tcPr>
          <w:p w14:paraId="60627F7C">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自动喷水灭火系统设计规范</w:t>
            </w:r>
          </w:p>
        </w:tc>
      </w:tr>
      <w:tr w14:paraId="6F93DF3D">
        <w:tblPrEx>
          <w:tblCellMar>
            <w:top w:w="0" w:type="dxa"/>
            <w:left w:w="0" w:type="dxa"/>
            <w:bottom w:w="0" w:type="dxa"/>
            <w:right w:w="0" w:type="dxa"/>
          </w:tblCellMar>
        </w:tblPrEx>
        <w:trPr>
          <w:trHeight w:val="240" w:hRule="atLeast"/>
        </w:trPr>
        <w:tc>
          <w:tcPr>
            <w:tcW w:w="1880" w:type="dxa"/>
            <w:vAlign w:val="bottom"/>
          </w:tcPr>
          <w:p w14:paraId="3CC5A087">
            <w:pPr>
              <w:tabs>
                <w:tab w:val="left" w:pos="2280"/>
                <w:tab w:val="left" w:pos="3760"/>
              </w:tabs>
              <w:ind w:left="420"/>
              <w:jc w:val="both"/>
              <w:rPr>
                <w:rFonts w:ascii="宋体" w:hAnsi="宋体" w:eastAsia="宋体" w:cs="宋体"/>
                <w:color w:val="auto"/>
                <w:sz w:val="21"/>
                <w:szCs w:val="21"/>
              </w:rPr>
            </w:pPr>
            <w:r>
              <w:rPr>
                <w:rFonts w:hint="eastAsia" w:ascii="宋体" w:hAnsi="宋体" w:eastAsia="宋体" w:cs="宋体"/>
                <w:color w:val="auto"/>
                <w:sz w:val="21"/>
                <w:szCs w:val="21"/>
              </w:rPr>
              <w:t>GB</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51251</w:t>
            </w:r>
          </w:p>
        </w:tc>
        <w:tc>
          <w:tcPr>
            <w:tcW w:w="4620" w:type="dxa"/>
            <w:vAlign w:val="bottom"/>
          </w:tcPr>
          <w:p w14:paraId="775ED312">
            <w:pPr>
              <w:tabs>
                <w:tab w:val="left" w:pos="2280"/>
                <w:tab w:val="left" w:pos="3760"/>
              </w:tabs>
              <w:ind w:left="420"/>
              <w:jc w:val="both"/>
              <w:rPr>
                <w:rFonts w:ascii="宋体" w:hAnsi="宋体" w:eastAsia="宋体" w:cs="宋体"/>
                <w:color w:val="auto"/>
                <w:sz w:val="21"/>
                <w:szCs w:val="21"/>
              </w:rPr>
            </w:pPr>
            <w:bookmarkStart w:id="7" w:name="OLE_LINK2"/>
            <w:r>
              <w:rPr>
                <w:rFonts w:hint="eastAsia" w:ascii="宋体" w:hAnsi="宋体" w:eastAsia="宋体" w:cs="宋体"/>
                <w:color w:val="auto"/>
                <w:sz w:val="21"/>
                <w:szCs w:val="21"/>
              </w:rPr>
              <w:t>建筑防烟排烟系统技术标准</w:t>
            </w:r>
            <w:bookmarkEnd w:id="7"/>
          </w:p>
        </w:tc>
      </w:tr>
      <w:tr w14:paraId="4690B537">
        <w:tblPrEx>
          <w:tblCellMar>
            <w:top w:w="0" w:type="dxa"/>
            <w:left w:w="0" w:type="dxa"/>
            <w:bottom w:w="0" w:type="dxa"/>
            <w:right w:w="0" w:type="dxa"/>
          </w:tblCellMar>
        </w:tblPrEx>
        <w:trPr>
          <w:trHeight w:val="240" w:hRule="atLeast"/>
        </w:trPr>
        <w:tc>
          <w:tcPr>
            <w:tcW w:w="1880" w:type="dxa"/>
            <w:vAlign w:val="bottom"/>
          </w:tcPr>
          <w:p w14:paraId="2775E803">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13495.1</w:t>
            </w:r>
          </w:p>
        </w:tc>
        <w:tc>
          <w:tcPr>
            <w:tcW w:w="4620" w:type="dxa"/>
            <w:vAlign w:val="bottom"/>
          </w:tcPr>
          <w:p w14:paraId="5F162D6B">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消防安全标志</w:t>
            </w:r>
          </w:p>
        </w:tc>
      </w:tr>
      <w:tr w14:paraId="449CD654">
        <w:tblPrEx>
          <w:tblCellMar>
            <w:top w:w="0" w:type="dxa"/>
            <w:left w:w="0" w:type="dxa"/>
            <w:bottom w:w="0" w:type="dxa"/>
            <w:right w:w="0" w:type="dxa"/>
          </w:tblCellMar>
        </w:tblPrEx>
        <w:trPr>
          <w:trHeight w:val="240" w:hRule="atLeast"/>
        </w:trPr>
        <w:tc>
          <w:tcPr>
            <w:tcW w:w="1880" w:type="dxa"/>
            <w:vAlign w:val="bottom"/>
          </w:tcPr>
          <w:p w14:paraId="4AF14CDC">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14287</w:t>
            </w:r>
          </w:p>
        </w:tc>
        <w:tc>
          <w:tcPr>
            <w:tcW w:w="4620" w:type="dxa"/>
            <w:vAlign w:val="bottom"/>
          </w:tcPr>
          <w:p w14:paraId="29010960">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电气火灾监控系统</w:t>
            </w:r>
          </w:p>
        </w:tc>
      </w:tr>
      <w:tr w14:paraId="6AA50D92">
        <w:tblPrEx>
          <w:tblCellMar>
            <w:top w:w="0" w:type="dxa"/>
            <w:left w:w="0" w:type="dxa"/>
            <w:bottom w:w="0" w:type="dxa"/>
            <w:right w:w="0" w:type="dxa"/>
          </w:tblCellMar>
        </w:tblPrEx>
        <w:trPr>
          <w:trHeight w:val="240" w:hRule="atLeast"/>
        </w:trPr>
        <w:tc>
          <w:tcPr>
            <w:tcW w:w="1880" w:type="dxa"/>
            <w:vAlign w:val="bottom"/>
          </w:tcPr>
          <w:p w14:paraId="6880F2DA">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17945</w:t>
            </w:r>
          </w:p>
        </w:tc>
        <w:tc>
          <w:tcPr>
            <w:tcW w:w="4620" w:type="dxa"/>
            <w:vAlign w:val="bottom"/>
          </w:tcPr>
          <w:p w14:paraId="48E7CB26">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消防应急照明和疏散指示系统</w:t>
            </w:r>
          </w:p>
        </w:tc>
      </w:tr>
      <w:tr w14:paraId="20EB9F67">
        <w:tblPrEx>
          <w:tblCellMar>
            <w:top w:w="0" w:type="dxa"/>
            <w:left w:w="0" w:type="dxa"/>
            <w:bottom w:w="0" w:type="dxa"/>
            <w:right w:w="0" w:type="dxa"/>
          </w:tblCellMar>
        </w:tblPrEx>
        <w:trPr>
          <w:trHeight w:val="312" w:hRule="atLeast"/>
        </w:trPr>
        <w:tc>
          <w:tcPr>
            <w:tcW w:w="1880" w:type="dxa"/>
            <w:vAlign w:val="bottom"/>
          </w:tcPr>
          <w:p w14:paraId="7794A995">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20517</w:t>
            </w:r>
          </w:p>
        </w:tc>
        <w:tc>
          <w:tcPr>
            <w:tcW w:w="4620" w:type="dxa"/>
            <w:vAlign w:val="bottom"/>
          </w:tcPr>
          <w:p w14:paraId="5FC2CB5B">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独立式感烟火灾探测报警器</w:t>
            </w:r>
          </w:p>
        </w:tc>
      </w:tr>
      <w:tr w14:paraId="796969BD">
        <w:tblPrEx>
          <w:tblCellMar>
            <w:top w:w="0" w:type="dxa"/>
            <w:left w:w="0" w:type="dxa"/>
            <w:bottom w:w="0" w:type="dxa"/>
            <w:right w:w="0" w:type="dxa"/>
          </w:tblCellMar>
        </w:tblPrEx>
        <w:trPr>
          <w:trHeight w:val="312" w:hRule="atLeast"/>
        </w:trPr>
        <w:tc>
          <w:tcPr>
            <w:tcW w:w="1880" w:type="dxa"/>
            <w:vAlign w:val="bottom"/>
          </w:tcPr>
          <w:p w14:paraId="3D1F25B3">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31247</w:t>
            </w:r>
          </w:p>
        </w:tc>
        <w:tc>
          <w:tcPr>
            <w:tcW w:w="4620" w:type="dxa"/>
            <w:vAlign w:val="bottom"/>
          </w:tcPr>
          <w:p w14:paraId="46A373E9">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电缆及光缆燃烧性能分级</w:t>
            </w:r>
          </w:p>
        </w:tc>
      </w:tr>
      <w:tr w14:paraId="58C929EF">
        <w:tblPrEx>
          <w:tblCellMar>
            <w:top w:w="0" w:type="dxa"/>
            <w:left w:w="0" w:type="dxa"/>
            <w:bottom w:w="0" w:type="dxa"/>
            <w:right w:w="0" w:type="dxa"/>
          </w:tblCellMar>
        </w:tblPrEx>
        <w:trPr>
          <w:trHeight w:val="312" w:hRule="atLeast"/>
        </w:trPr>
        <w:tc>
          <w:tcPr>
            <w:tcW w:w="1880" w:type="dxa"/>
            <w:vAlign w:val="bottom"/>
          </w:tcPr>
          <w:p w14:paraId="31826C6B">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50058</w:t>
            </w:r>
          </w:p>
        </w:tc>
        <w:tc>
          <w:tcPr>
            <w:tcW w:w="4620" w:type="dxa"/>
            <w:vAlign w:val="bottom"/>
          </w:tcPr>
          <w:p w14:paraId="066B8814">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爆炸危险环境电力装置设计规范</w:t>
            </w:r>
          </w:p>
        </w:tc>
      </w:tr>
      <w:tr w14:paraId="28B47DAA">
        <w:tblPrEx>
          <w:tblCellMar>
            <w:top w:w="0" w:type="dxa"/>
            <w:left w:w="0" w:type="dxa"/>
            <w:bottom w:w="0" w:type="dxa"/>
            <w:right w:w="0" w:type="dxa"/>
          </w:tblCellMar>
        </w:tblPrEx>
        <w:trPr>
          <w:trHeight w:val="312" w:hRule="atLeast"/>
        </w:trPr>
        <w:tc>
          <w:tcPr>
            <w:tcW w:w="1880" w:type="dxa"/>
            <w:vAlign w:val="bottom"/>
          </w:tcPr>
          <w:p w14:paraId="105732A1">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50140</w:t>
            </w:r>
          </w:p>
        </w:tc>
        <w:tc>
          <w:tcPr>
            <w:tcW w:w="4620" w:type="dxa"/>
            <w:vAlign w:val="bottom"/>
          </w:tcPr>
          <w:p w14:paraId="5412CF0E">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建筑灭火器配置设计规范</w:t>
            </w:r>
          </w:p>
        </w:tc>
      </w:tr>
      <w:tr w14:paraId="588C9A98">
        <w:tblPrEx>
          <w:tblCellMar>
            <w:top w:w="0" w:type="dxa"/>
            <w:left w:w="0" w:type="dxa"/>
            <w:bottom w:w="0" w:type="dxa"/>
            <w:right w:w="0" w:type="dxa"/>
          </w:tblCellMar>
        </w:tblPrEx>
        <w:trPr>
          <w:trHeight w:val="312" w:hRule="atLeast"/>
        </w:trPr>
        <w:tc>
          <w:tcPr>
            <w:tcW w:w="1880" w:type="dxa"/>
            <w:vAlign w:val="bottom"/>
          </w:tcPr>
          <w:p w14:paraId="7D647F1B">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50217</w:t>
            </w:r>
          </w:p>
        </w:tc>
        <w:tc>
          <w:tcPr>
            <w:tcW w:w="4620" w:type="dxa"/>
            <w:vAlign w:val="bottom"/>
          </w:tcPr>
          <w:p w14:paraId="2BBC578C">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电力工程电缆设计标准</w:t>
            </w:r>
          </w:p>
        </w:tc>
      </w:tr>
      <w:tr w14:paraId="73474801">
        <w:tblPrEx>
          <w:tblCellMar>
            <w:top w:w="0" w:type="dxa"/>
            <w:left w:w="0" w:type="dxa"/>
            <w:bottom w:w="0" w:type="dxa"/>
            <w:right w:w="0" w:type="dxa"/>
          </w:tblCellMar>
        </w:tblPrEx>
        <w:trPr>
          <w:trHeight w:val="312" w:hRule="atLeast"/>
        </w:trPr>
        <w:tc>
          <w:tcPr>
            <w:tcW w:w="1880" w:type="dxa"/>
            <w:vAlign w:val="bottom"/>
          </w:tcPr>
          <w:p w14:paraId="6DAE089F">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GB 51348</w:t>
            </w:r>
          </w:p>
        </w:tc>
        <w:tc>
          <w:tcPr>
            <w:tcW w:w="4620" w:type="dxa"/>
            <w:vAlign w:val="bottom"/>
          </w:tcPr>
          <w:p w14:paraId="1B61DF4D">
            <w:pPr>
              <w:tabs>
                <w:tab w:val="left" w:pos="2280"/>
                <w:tab w:val="left" w:pos="3760"/>
              </w:tabs>
              <w:ind w:left="420"/>
              <w:jc w:val="both"/>
              <w:rPr>
                <w:rFonts w:ascii="宋体" w:hAnsi="宋体" w:eastAsia="宋体" w:cs="宋体"/>
                <w:color w:val="auto"/>
                <w:sz w:val="21"/>
                <w:szCs w:val="21"/>
              </w:rPr>
            </w:pPr>
            <w:r>
              <w:rPr>
                <w:rFonts w:ascii="宋体" w:hAnsi="宋体" w:eastAsia="宋体" w:cs="宋体"/>
                <w:color w:val="auto"/>
                <w:sz w:val="21"/>
                <w:szCs w:val="21"/>
              </w:rPr>
              <w:t>民用建筑电气设计标准</w:t>
            </w:r>
          </w:p>
        </w:tc>
      </w:tr>
      <w:tr w14:paraId="5DD1F0C9">
        <w:tblPrEx>
          <w:tblCellMar>
            <w:top w:w="0" w:type="dxa"/>
            <w:left w:w="0" w:type="dxa"/>
            <w:bottom w:w="0" w:type="dxa"/>
            <w:right w:w="0" w:type="dxa"/>
          </w:tblCellMar>
        </w:tblPrEx>
        <w:trPr>
          <w:trHeight w:val="312" w:hRule="atLeast"/>
        </w:trPr>
        <w:tc>
          <w:tcPr>
            <w:tcW w:w="1880" w:type="dxa"/>
            <w:vAlign w:val="bottom"/>
          </w:tcPr>
          <w:p w14:paraId="67FE5CCE">
            <w:pPr>
              <w:tabs>
                <w:tab w:val="left" w:pos="2280"/>
                <w:tab w:val="left" w:pos="3760"/>
              </w:tabs>
              <w:ind w:left="420"/>
              <w:jc w:val="both"/>
              <w:rPr>
                <w:rFonts w:ascii="宋体" w:hAnsi="宋体" w:eastAsia="宋体" w:cs="宋体"/>
                <w:color w:val="auto"/>
                <w:sz w:val="21"/>
                <w:szCs w:val="21"/>
              </w:rPr>
            </w:pPr>
            <w:r>
              <w:rPr>
                <w:rFonts w:hint="eastAsia" w:ascii="宋体" w:hAnsi="宋体" w:eastAsia="宋体" w:cs="宋体"/>
                <w:color w:val="auto"/>
                <w:sz w:val="21"/>
                <w:szCs w:val="21"/>
              </w:rPr>
              <w:t>DBJ/T15-110-2015</w:t>
            </w:r>
          </w:p>
        </w:tc>
        <w:tc>
          <w:tcPr>
            <w:tcW w:w="4620" w:type="dxa"/>
            <w:vAlign w:val="bottom"/>
          </w:tcPr>
          <w:p w14:paraId="39733D04">
            <w:pPr>
              <w:tabs>
                <w:tab w:val="left" w:pos="2280"/>
                <w:tab w:val="left" w:pos="3760"/>
              </w:tabs>
              <w:ind w:left="420"/>
              <w:jc w:val="both"/>
              <w:rPr>
                <w:rFonts w:ascii="宋体" w:hAnsi="宋体" w:eastAsia="宋体" w:cs="宋体"/>
                <w:color w:val="auto"/>
                <w:sz w:val="21"/>
                <w:szCs w:val="21"/>
              </w:rPr>
            </w:pPr>
            <w:r>
              <w:rPr>
                <w:rFonts w:hint="eastAsia" w:ascii="宋体" w:hAnsi="宋体" w:eastAsia="宋体" w:cs="宋体"/>
                <w:color w:val="auto"/>
                <w:sz w:val="21"/>
                <w:szCs w:val="21"/>
              </w:rPr>
              <w:t xml:space="preserve">广东建筑防火及消防设施检测技术规程 </w:t>
            </w:r>
          </w:p>
        </w:tc>
      </w:tr>
      <w:tr w14:paraId="4A2075F3">
        <w:tblPrEx>
          <w:tblCellMar>
            <w:top w:w="0" w:type="dxa"/>
            <w:left w:w="0" w:type="dxa"/>
            <w:bottom w:w="0" w:type="dxa"/>
            <w:right w:w="0" w:type="dxa"/>
          </w:tblCellMar>
        </w:tblPrEx>
        <w:trPr>
          <w:trHeight w:val="626" w:hRule="atLeast"/>
        </w:trPr>
        <w:tc>
          <w:tcPr>
            <w:tcW w:w="1880" w:type="dxa"/>
            <w:vAlign w:val="bottom"/>
          </w:tcPr>
          <w:p w14:paraId="41087A79">
            <w:pPr>
              <w:jc w:val="both"/>
              <w:rPr>
                <w:color w:val="auto"/>
                <w:sz w:val="20"/>
                <w:szCs w:val="20"/>
              </w:rPr>
            </w:pPr>
            <w:r>
              <w:rPr>
                <w:rFonts w:ascii="黑体" w:hAnsi="黑体" w:eastAsia="黑体" w:cs="黑体"/>
                <w:color w:val="auto"/>
                <w:sz w:val="21"/>
                <w:szCs w:val="21"/>
              </w:rPr>
              <w:t>3  术语</w:t>
            </w:r>
            <w:r>
              <w:rPr>
                <w:rFonts w:hint="eastAsia" w:ascii="黑体" w:hAnsi="黑体" w:eastAsia="黑体" w:cs="黑体"/>
                <w:color w:val="auto"/>
                <w:sz w:val="21"/>
                <w:szCs w:val="21"/>
              </w:rPr>
              <w:t>、</w:t>
            </w:r>
            <w:r>
              <w:rPr>
                <w:rFonts w:ascii="黑体" w:hAnsi="黑体" w:eastAsia="黑体" w:cs="黑体"/>
                <w:color w:val="auto"/>
                <w:sz w:val="21"/>
                <w:szCs w:val="21"/>
              </w:rPr>
              <w:t>定义</w:t>
            </w:r>
          </w:p>
        </w:tc>
        <w:tc>
          <w:tcPr>
            <w:tcW w:w="4620" w:type="dxa"/>
            <w:vAlign w:val="bottom"/>
          </w:tcPr>
          <w:p w14:paraId="0A245776">
            <w:pPr>
              <w:jc w:val="both"/>
              <w:rPr>
                <w:color w:val="auto"/>
                <w:sz w:val="24"/>
                <w:szCs w:val="24"/>
              </w:rPr>
            </w:pPr>
          </w:p>
        </w:tc>
      </w:tr>
    </w:tbl>
    <w:p w14:paraId="228DD227">
      <w:pPr>
        <w:spacing w:line="382" w:lineRule="exact"/>
        <w:jc w:val="both"/>
        <w:rPr>
          <w:color w:val="auto"/>
          <w:sz w:val="20"/>
          <w:szCs w:val="20"/>
        </w:rPr>
      </w:pPr>
    </w:p>
    <w:p w14:paraId="0C3321E3">
      <w:pPr>
        <w:ind w:left="420"/>
        <w:jc w:val="both"/>
        <w:rPr>
          <w:rFonts w:ascii="宋体" w:hAnsi="宋体" w:eastAsia="宋体" w:cs="宋体"/>
          <w:color w:val="auto"/>
          <w:sz w:val="21"/>
          <w:szCs w:val="21"/>
        </w:rPr>
      </w:pPr>
      <w:r>
        <w:rPr>
          <w:rFonts w:ascii="宋体" w:hAnsi="宋体" w:eastAsia="宋体" w:cs="宋体"/>
          <w:color w:val="auto"/>
          <w:sz w:val="21"/>
          <w:szCs w:val="21"/>
        </w:rPr>
        <w:t>下列术语和定义适用于</w:t>
      </w:r>
      <w:r>
        <w:rPr>
          <w:rFonts w:hint="eastAsia" w:ascii="宋体" w:hAnsi="宋体" w:eastAsia="宋体" w:cs="宋体"/>
          <w:color w:val="auto"/>
          <w:sz w:val="21"/>
          <w:szCs w:val="21"/>
        </w:rPr>
        <w:t>本标准</w:t>
      </w:r>
      <w:r>
        <w:rPr>
          <w:rFonts w:ascii="宋体" w:hAnsi="宋体" w:eastAsia="宋体" w:cs="宋体"/>
          <w:color w:val="auto"/>
          <w:sz w:val="21"/>
          <w:szCs w:val="21"/>
        </w:rPr>
        <w:t>。</w:t>
      </w:r>
    </w:p>
    <w:p w14:paraId="7F68B662">
      <w:pPr>
        <w:ind w:left="420"/>
        <w:jc w:val="both"/>
        <w:rPr>
          <w:rFonts w:ascii="宋体" w:hAnsi="宋体" w:eastAsia="宋体" w:cs="宋体"/>
          <w:color w:val="auto"/>
          <w:sz w:val="21"/>
          <w:szCs w:val="21"/>
        </w:rPr>
      </w:pPr>
    </w:p>
    <w:p w14:paraId="20E6DD6B">
      <w:pPr>
        <w:ind w:left="420"/>
        <w:jc w:val="both"/>
        <w:rPr>
          <w:rFonts w:ascii="宋体" w:hAnsi="宋体" w:eastAsia="宋体" w:cs="宋体"/>
          <w:color w:val="auto"/>
          <w:sz w:val="21"/>
          <w:szCs w:val="21"/>
        </w:rPr>
      </w:pPr>
    </w:p>
    <w:p w14:paraId="03C0A4EC">
      <w:pPr>
        <w:spacing w:line="74" w:lineRule="exact"/>
        <w:jc w:val="both"/>
        <w:rPr>
          <w:color w:val="auto"/>
          <w:sz w:val="20"/>
          <w:szCs w:val="20"/>
        </w:rPr>
      </w:pPr>
    </w:p>
    <w:p w14:paraId="0FF7672D">
      <w:pPr>
        <w:spacing w:line="239" w:lineRule="auto"/>
        <w:jc w:val="both"/>
        <w:rPr>
          <w:color w:val="auto"/>
          <w:sz w:val="20"/>
          <w:szCs w:val="20"/>
        </w:rPr>
      </w:pPr>
      <w:r>
        <w:rPr>
          <w:rFonts w:ascii="黑体" w:hAnsi="黑体" w:eastAsia="黑体" w:cs="黑体"/>
          <w:color w:val="auto"/>
          <w:sz w:val="21"/>
          <w:szCs w:val="21"/>
        </w:rPr>
        <w:t>3.1</w:t>
      </w:r>
    </w:p>
    <w:p w14:paraId="514EFDE1">
      <w:pPr>
        <w:spacing w:line="73" w:lineRule="exact"/>
        <w:jc w:val="both"/>
        <w:rPr>
          <w:color w:val="auto"/>
          <w:sz w:val="20"/>
          <w:szCs w:val="20"/>
        </w:rPr>
      </w:pPr>
    </w:p>
    <w:p w14:paraId="5754F9C4">
      <w:pPr>
        <w:tabs>
          <w:tab w:val="left" w:pos="1660"/>
        </w:tabs>
        <w:ind w:left="420"/>
        <w:jc w:val="both"/>
        <w:rPr>
          <w:color w:val="auto"/>
          <w:sz w:val="20"/>
          <w:szCs w:val="20"/>
        </w:rPr>
      </w:pPr>
      <w:r>
        <w:rPr>
          <w:rFonts w:ascii="黑体" w:hAnsi="黑体" w:eastAsia="黑体" w:cs="黑体"/>
          <w:color w:val="auto"/>
          <w:sz w:val="21"/>
          <w:szCs w:val="21"/>
        </w:rPr>
        <w:t>电动自行车</w:t>
      </w:r>
      <w:r>
        <w:rPr>
          <w:color w:val="auto"/>
          <w:sz w:val="20"/>
          <w:szCs w:val="20"/>
        </w:rPr>
        <w:tab/>
      </w:r>
      <w:r>
        <w:rPr>
          <w:rFonts w:ascii="黑体" w:hAnsi="黑体" w:eastAsia="黑体" w:cs="黑体"/>
          <w:color w:val="auto"/>
          <w:sz w:val="21"/>
          <w:szCs w:val="21"/>
        </w:rPr>
        <w:t>electric bicycle</w:t>
      </w:r>
    </w:p>
    <w:p w14:paraId="24ACA111">
      <w:pPr>
        <w:spacing w:line="70" w:lineRule="exact"/>
        <w:jc w:val="both"/>
        <w:rPr>
          <w:color w:val="auto"/>
          <w:sz w:val="20"/>
          <w:szCs w:val="20"/>
        </w:rPr>
      </w:pPr>
    </w:p>
    <w:p w14:paraId="589DAFB9">
      <w:pPr>
        <w:ind w:left="420"/>
        <w:jc w:val="both"/>
        <w:rPr>
          <w:rFonts w:ascii="宋体" w:hAnsi="宋体" w:eastAsia="宋体" w:cs="宋体"/>
          <w:color w:val="auto"/>
          <w:sz w:val="21"/>
          <w:szCs w:val="21"/>
        </w:rPr>
      </w:pPr>
      <w:r>
        <w:rPr>
          <w:rFonts w:ascii="宋体" w:hAnsi="宋体" w:eastAsia="宋体" w:cs="宋体"/>
          <w:color w:val="auto"/>
          <w:sz w:val="21"/>
          <w:szCs w:val="21"/>
        </w:rPr>
        <w:t>以车载蓄电池作为</w:t>
      </w:r>
      <w:r>
        <w:rPr>
          <w:rFonts w:hint="eastAsia" w:ascii="宋体" w:hAnsi="宋体" w:eastAsia="宋体" w:cs="宋体"/>
          <w:color w:val="auto"/>
          <w:sz w:val="21"/>
          <w:szCs w:val="21"/>
        </w:rPr>
        <w:t>动力来源</w:t>
      </w:r>
      <w:r>
        <w:rPr>
          <w:rFonts w:ascii="宋体" w:hAnsi="宋体" w:eastAsia="宋体" w:cs="宋体"/>
          <w:color w:val="auto"/>
          <w:sz w:val="21"/>
          <w:szCs w:val="21"/>
        </w:rPr>
        <w:t>，具有脚踏骑行能力，能实现</w:t>
      </w:r>
      <w:r>
        <w:rPr>
          <w:rFonts w:hint="eastAsia" w:ascii="宋体" w:hAnsi="宋体" w:eastAsia="宋体" w:cs="宋体"/>
          <w:color w:val="auto"/>
          <w:sz w:val="21"/>
          <w:szCs w:val="21"/>
        </w:rPr>
        <w:t>电力</w:t>
      </w:r>
      <w:r>
        <w:rPr>
          <w:rFonts w:ascii="宋体" w:hAnsi="宋体" w:eastAsia="宋体" w:cs="宋体"/>
          <w:color w:val="auto"/>
          <w:sz w:val="21"/>
          <w:szCs w:val="21"/>
        </w:rPr>
        <w:t>助动和</w:t>
      </w:r>
      <w:r>
        <w:rPr>
          <w:rFonts w:hint="eastAsia" w:ascii="宋体" w:hAnsi="宋体" w:eastAsia="宋体" w:cs="宋体"/>
          <w:color w:val="auto"/>
          <w:sz w:val="21"/>
          <w:szCs w:val="21"/>
        </w:rPr>
        <w:t>电力</w:t>
      </w:r>
      <w:r>
        <w:rPr>
          <w:rFonts w:ascii="宋体" w:hAnsi="宋体" w:eastAsia="宋体" w:cs="宋体"/>
          <w:color w:val="auto"/>
          <w:sz w:val="21"/>
          <w:szCs w:val="21"/>
        </w:rPr>
        <w:t>驱动功能的两轮自行车。</w:t>
      </w:r>
    </w:p>
    <w:p w14:paraId="3FBC1BB7">
      <w:pPr>
        <w:spacing w:line="239" w:lineRule="auto"/>
        <w:jc w:val="both"/>
        <w:rPr>
          <w:rFonts w:ascii="黑体" w:hAnsi="黑体" w:eastAsia="黑体" w:cs="黑体"/>
          <w:color w:val="auto"/>
          <w:sz w:val="21"/>
          <w:szCs w:val="21"/>
        </w:rPr>
      </w:pPr>
      <w:bookmarkStart w:id="8" w:name="page8"/>
      <w:bookmarkEnd w:id="8"/>
    </w:p>
    <w:p w14:paraId="3E1434F2">
      <w:pPr>
        <w:spacing w:line="239" w:lineRule="auto"/>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2</w:t>
      </w:r>
    </w:p>
    <w:p w14:paraId="309DCD14">
      <w:pPr>
        <w:spacing w:line="73" w:lineRule="exact"/>
        <w:jc w:val="both"/>
        <w:rPr>
          <w:color w:val="auto"/>
          <w:sz w:val="20"/>
          <w:szCs w:val="20"/>
        </w:rPr>
      </w:pPr>
    </w:p>
    <w:p w14:paraId="03D48C21">
      <w:pPr>
        <w:tabs>
          <w:tab w:val="left" w:pos="2920"/>
        </w:tabs>
        <w:spacing w:line="239" w:lineRule="auto"/>
        <w:ind w:left="420"/>
        <w:jc w:val="both"/>
        <w:rPr>
          <w:color w:val="auto"/>
          <w:sz w:val="20"/>
          <w:szCs w:val="20"/>
        </w:rPr>
      </w:pPr>
      <w:r>
        <w:rPr>
          <w:rFonts w:ascii="黑体" w:hAnsi="黑体" w:eastAsia="黑体" w:cs="黑体"/>
          <w:color w:val="auto"/>
          <w:sz w:val="21"/>
          <w:szCs w:val="21"/>
        </w:rPr>
        <w:t>电动自行车停放充电场所</w:t>
      </w:r>
      <w:r>
        <w:rPr>
          <w:color w:val="auto"/>
          <w:sz w:val="20"/>
          <w:szCs w:val="20"/>
        </w:rPr>
        <w:tab/>
      </w:r>
      <w:r>
        <w:rPr>
          <w:rFonts w:ascii="黑体" w:hAnsi="黑体" w:eastAsia="黑体" w:cs="黑体"/>
          <w:color w:val="auto"/>
          <w:sz w:val="21"/>
          <w:szCs w:val="21"/>
        </w:rPr>
        <w:t>electric bicycle parking and charging place</w:t>
      </w:r>
    </w:p>
    <w:p w14:paraId="79950976">
      <w:pPr>
        <w:spacing w:line="71" w:lineRule="exact"/>
        <w:jc w:val="both"/>
        <w:rPr>
          <w:color w:val="auto"/>
          <w:sz w:val="20"/>
          <w:szCs w:val="20"/>
        </w:rPr>
      </w:pPr>
    </w:p>
    <w:p w14:paraId="7A8B016A">
      <w:pPr>
        <w:spacing w:line="239" w:lineRule="auto"/>
        <w:ind w:left="420"/>
        <w:jc w:val="both"/>
        <w:rPr>
          <w:color w:val="auto"/>
          <w:sz w:val="20"/>
          <w:szCs w:val="20"/>
        </w:rPr>
      </w:pPr>
      <w:r>
        <w:rPr>
          <w:rFonts w:ascii="宋体" w:hAnsi="宋体" w:eastAsia="宋体" w:cs="宋体"/>
          <w:color w:val="auto"/>
          <w:sz w:val="21"/>
          <w:szCs w:val="21"/>
        </w:rPr>
        <w:t>电动自行车停放场所和电动自行车充电场所的统称，具备其中一种或两种使用功能的场所。</w:t>
      </w:r>
    </w:p>
    <w:p w14:paraId="754A50D6">
      <w:pPr>
        <w:spacing w:line="116" w:lineRule="exact"/>
        <w:jc w:val="both"/>
        <w:rPr>
          <w:color w:val="auto"/>
          <w:sz w:val="20"/>
          <w:szCs w:val="20"/>
        </w:rPr>
      </w:pPr>
    </w:p>
    <w:p w14:paraId="6D4A7BF7">
      <w:pPr>
        <w:spacing w:line="333" w:lineRule="auto"/>
        <w:ind w:left="720" w:right="100" w:hanging="361"/>
        <w:jc w:val="both"/>
        <w:rPr>
          <w:color w:val="auto"/>
          <w:sz w:val="20"/>
          <w:szCs w:val="20"/>
        </w:rPr>
      </w:pPr>
      <w:r>
        <w:rPr>
          <w:rFonts w:ascii="黑体" w:hAnsi="黑体" w:eastAsia="黑体" w:cs="黑体"/>
          <w:color w:val="auto"/>
          <w:sz w:val="18"/>
          <w:szCs w:val="18"/>
        </w:rPr>
        <w:t>注：</w:t>
      </w:r>
      <w:r>
        <w:rPr>
          <w:rFonts w:ascii="宋体" w:hAnsi="宋体" w:eastAsia="宋体" w:cs="宋体"/>
          <w:color w:val="auto"/>
          <w:sz w:val="18"/>
          <w:szCs w:val="18"/>
        </w:rPr>
        <w:t>电动自行车停放充电场所按停放区域分为建筑外场所和建筑内场所，按建（构）筑物种类分为电动自行车停放充电车场和电动自行车停放充电车库。</w:t>
      </w:r>
    </w:p>
    <w:p w14:paraId="4D45FFC0">
      <w:pPr>
        <w:spacing w:line="13" w:lineRule="exact"/>
        <w:jc w:val="both"/>
        <w:rPr>
          <w:color w:val="auto"/>
          <w:sz w:val="20"/>
          <w:szCs w:val="20"/>
        </w:rPr>
      </w:pPr>
    </w:p>
    <w:p w14:paraId="446E4158">
      <w:pPr>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3</w:t>
      </w:r>
    </w:p>
    <w:p w14:paraId="2039ABD2">
      <w:pPr>
        <w:spacing w:line="72" w:lineRule="exact"/>
        <w:jc w:val="both"/>
        <w:rPr>
          <w:color w:val="auto"/>
          <w:sz w:val="20"/>
          <w:szCs w:val="20"/>
        </w:rPr>
      </w:pPr>
    </w:p>
    <w:p w14:paraId="16A70C38">
      <w:pPr>
        <w:tabs>
          <w:tab w:val="left" w:pos="3540"/>
        </w:tabs>
        <w:spacing w:line="239" w:lineRule="auto"/>
        <w:ind w:left="420"/>
        <w:jc w:val="both"/>
        <w:rPr>
          <w:color w:val="auto"/>
          <w:sz w:val="20"/>
          <w:szCs w:val="20"/>
        </w:rPr>
      </w:pPr>
      <w:r>
        <w:rPr>
          <w:rFonts w:ascii="黑体" w:hAnsi="黑体" w:eastAsia="黑体" w:cs="黑体"/>
          <w:color w:val="auto"/>
          <w:sz w:val="21"/>
          <w:szCs w:val="21"/>
        </w:rPr>
        <w:t>附建式电动自行车停放充电车库</w:t>
      </w:r>
      <w:r>
        <w:rPr>
          <w:color w:val="auto"/>
          <w:sz w:val="20"/>
          <w:szCs w:val="20"/>
        </w:rPr>
        <w:tab/>
      </w:r>
      <w:r>
        <w:rPr>
          <w:rFonts w:ascii="黑体" w:hAnsi="黑体" w:eastAsia="黑体" w:cs="黑体"/>
          <w:color w:val="auto"/>
          <w:sz w:val="21"/>
          <w:szCs w:val="21"/>
        </w:rPr>
        <w:t>attached electric bicycle parking and charging garage</w:t>
      </w:r>
    </w:p>
    <w:p w14:paraId="2F43EEA2">
      <w:pPr>
        <w:spacing w:line="71" w:lineRule="exact"/>
        <w:jc w:val="both"/>
        <w:rPr>
          <w:color w:val="auto"/>
          <w:sz w:val="20"/>
          <w:szCs w:val="20"/>
        </w:rPr>
      </w:pPr>
    </w:p>
    <w:p w14:paraId="3C7ABAF8">
      <w:pPr>
        <w:spacing w:line="239" w:lineRule="auto"/>
        <w:ind w:left="420"/>
        <w:jc w:val="both"/>
        <w:rPr>
          <w:color w:val="auto"/>
          <w:sz w:val="20"/>
          <w:szCs w:val="20"/>
        </w:rPr>
      </w:pPr>
      <w:r>
        <w:rPr>
          <w:rFonts w:ascii="宋体" w:hAnsi="宋体" w:eastAsia="宋体" w:cs="宋体"/>
          <w:color w:val="auto"/>
          <w:sz w:val="21"/>
          <w:szCs w:val="21"/>
        </w:rPr>
        <w:t>依附于其他主体建筑建造的电动自行车停放充电</w:t>
      </w:r>
      <w:r>
        <w:rPr>
          <w:rFonts w:hint="eastAsia" w:ascii="宋体" w:hAnsi="宋体" w:eastAsia="宋体" w:cs="宋体"/>
          <w:color w:val="auto"/>
          <w:sz w:val="21"/>
          <w:szCs w:val="21"/>
        </w:rPr>
        <w:t>场所</w:t>
      </w:r>
      <w:r>
        <w:rPr>
          <w:rFonts w:ascii="宋体" w:hAnsi="宋体" w:eastAsia="宋体" w:cs="宋体"/>
          <w:color w:val="auto"/>
          <w:sz w:val="21"/>
          <w:szCs w:val="21"/>
        </w:rPr>
        <w:t>。</w:t>
      </w:r>
    </w:p>
    <w:p w14:paraId="0ABE9990">
      <w:pPr>
        <w:spacing w:line="75" w:lineRule="exact"/>
        <w:jc w:val="both"/>
        <w:rPr>
          <w:color w:val="auto"/>
          <w:sz w:val="20"/>
          <w:szCs w:val="20"/>
        </w:rPr>
      </w:pPr>
    </w:p>
    <w:p w14:paraId="4350E962">
      <w:pPr>
        <w:spacing w:line="239" w:lineRule="auto"/>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4</w:t>
      </w:r>
    </w:p>
    <w:p w14:paraId="698EF274">
      <w:pPr>
        <w:spacing w:line="85" w:lineRule="exact"/>
        <w:jc w:val="both"/>
        <w:rPr>
          <w:color w:val="auto"/>
          <w:sz w:val="20"/>
          <w:szCs w:val="20"/>
        </w:rPr>
      </w:pPr>
    </w:p>
    <w:p w14:paraId="1962B351">
      <w:pPr>
        <w:tabs>
          <w:tab w:val="left" w:pos="3540"/>
        </w:tabs>
        <w:ind w:left="420"/>
        <w:jc w:val="both"/>
        <w:rPr>
          <w:color w:val="auto"/>
          <w:sz w:val="21"/>
          <w:szCs w:val="21"/>
        </w:rPr>
      </w:pPr>
      <w:r>
        <w:rPr>
          <w:rFonts w:ascii="黑体" w:hAnsi="黑体" w:eastAsia="黑体" w:cs="黑体"/>
          <w:color w:val="auto"/>
          <w:sz w:val="21"/>
          <w:szCs w:val="21"/>
        </w:rPr>
        <w:t>独立式电动自行车停放充电车库</w:t>
      </w:r>
      <w:r>
        <w:rPr>
          <w:color w:val="auto"/>
          <w:sz w:val="21"/>
          <w:szCs w:val="21"/>
        </w:rPr>
        <w:tab/>
      </w:r>
      <w:r>
        <w:rPr>
          <w:rFonts w:ascii="黑体" w:hAnsi="黑体" w:eastAsia="黑体" w:cs="黑体"/>
          <w:color w:val="auto"/>
          <w:sz w:val="21"/>
          <w:szCs w:val="21"/>
        </w:rPr>
        <w:t>independent electric</w:t>
      </w:r>
      <w:r>
        <w:rPr>
          <w:rFonts w:hint="eastAsia" w:ascii="黑体" w:hAnsi="黑体" w:eastAsia="黑体" w:cs="黑体"/>
          <w:color w:val="auto"/>
          <w:sz w:val="21"/>
          <w:szCs w:val="21"/>
          <w:lang w:val="en-US" w:eastAsia="zh-CN"/>
        </w:rPr>
        <w:t xml:space="preserve"> </w:t>
      </w:r>
      <w:r>
        <w:rPr>
          <w:rFonts w:ascii="黑体" w:hAnsi="黑体" w:eastAsia="黑体" w:cs="黑体"/>
          <w:color w:val="auto"/>
          <w:sz w:val="21"/>
          <w:szCs w:val="21"/>
        </w:rPr>
        <w:t>bicycle</w:t>
      </w:r>
      <w:r>
        <w:rPr>
          <w:rFonts w:hint="eastAsia" w:ascii="黑体" w:hAnsi="黑体" w:eastAsia="黑体" w:cs="黑体"/>
          <w:color w:val="auto"/>
          <w:sz w:val="21"/>
          <w:szCs w:val="21"/>
          <w:lang w:val="en-US" w:eastAsia="zh-CN"/>
        </w:rPr>
        <w:t xml:space="preserve"> </w:t>
      </w:r>
      <w:r>
        <w:rPr>
          <w:rFonts w:ascii="黑体" w:hAnsi="黑体" w:eastAsia="黑体" w:cs="黑体"/>
          <w:color w:val="auto"/>
          <w:sz w:val="21"/>
          <w:szCs w:val="21"/>
        </w:rPr>
        <w:t>parking</w:t>
      </w:r>
      <w:r>
        <w:rPr>
          <w:rFonts w:hint="eastAsia" w:ascii="黑体" w:hAnsi="黑体" w:eastAsia="黑体" w:cs="黑体"/>
          <w:color w:val="auto"/>
          <w:sz w:val="21"/>
          <w:szCs w:val="21"/>
          <w:lang w:val="en-US" w:eastAsia="zh-CN"/>
        </w:rPr>
        <w:t xml:space="preserve"> </w:t>
      </w:r>
      <w:r>
        <w:rPr>
          <w:rFonts w:ascii="黑体" w:hAnsi="黑体" w:eastAsia="黑体" w:cs="黑体"/>
          <w:color w:val="auto"/>
          <w:sz w:val="21"/>
          <w:szCs w:val="21"/>
        </w:rPr>
        <w:t>and</w:t>
      </w:r>
      <w:r>
        <w:rPr>
          <w:rFonts w:hint="eastAsia" w:ascii="黑体" w:hAnsi="黑体" w:eastAsia="黑体" w:cs="黑体"/>
          <w:color w:val="auto"/>
          <w:sz w:val="21"/>
          <w:szCs w:val="21"/>
          <w:lang w:val="en-US" w:eastAsia="zh-CN"/>
        </w:rPr>
        <w:t xml:space="preserve"> </w:t>
      </w:r>
      <w:r>
        <w:rPr>
          <w:rFonts w:ascii="黑体" w:hAnsi="黑体" w:eastAsia="黑体" w:cs="黑体"/>
          <w:color w:val="auto"/>
          <w:sz w:val="21"/>
          <w:szCs w:val="21"/>
        </w:rPr>
        <w:t>charging</w:t>
      </w:r>
      <w:r>
        <w:rPr>
          <w:rFonts w:hint="eastAsia" w:ascii="黑体" w:hAnsi="黑体" w:eastAsia="黑体" w:cs="黑体"/>
          <w:color w:val="auto"/>
          <w:sz w:val="21"/>
          <w:szCs w:val="21"/>
          <w:lang w:val="en-US" w:eastAsia="zh-CN"/>
        </w:rPr>
        <w:t xml:space="preserve"> </w:t>
      </w:r>
      <w:r>
        <w:rPr>
          <w:rFonts w:ascii="黑体" w:hAnsi="黑体" w:eastAsia="黑体" w:cs="黑体"/>
          <w:color w:val="auto"/>
          <w:sz w:val="21"/>
          <w:szCs w:val="21"/>
        </w:rPr>
        <w:t>garage</w:t>
      </w:r>
    </w:p>
    <w:p w14:paraId="06C7D0B6">
      <w:pPr>
        <w:spacing w:line="82" w:lineRule="exact"/>
        <w:jc w:val="both"/>
        <w:rPr>
          <w:color w:val="auto"/>
          <w:sz w:val="21"/>
          <w:szCs w:val="21"/>
        </w:rPr>
      </w:pPr>
    </w:p>
    <w:p w14:paraId="23C4039F">
      <w:pPr>
        <w:ind w:left="420"/>
        <w:jc w:val="both"/>
        <w:rPr>
          <w:color w:val="auto"/>
          <w:sz w:val="21"/>
          <w:szCs w:val="21"/>
        </w:rPr>
      </w:pPr>
      <w:r>
        <w:rPr>
          <w:rFonts w:ascii="宋体" w:hAnsi="宋体" w:eastAsia="宋体" w:cs="宋体"/>
          <w:color w:val="auto"/>
          <w:sz w:val="21"/>
          <w:szCs w:val="21"/>
        </w:rPr>
        <w:t>单独建造且具有独立完整的建筑主体结构与配套设备系统及充电设施的电动自行车停放充电</w:t>
      </w:r>
      <w:r>
        <w:rPr>
          <w:rFonts w:hint="eastAsia" w:ascii="宋体" w:hAnsi="宋体" w:eastAsia="宋体" w:cs="宋体"/>
          <w:color w:val="auto"/>
          <w:sz w:val="21"/>
          <w:szCs w:val="21"/>
        </w:rPr>
        <w:t>场所</w:t>
      </w:r>
      <w:r>
        <w:rPr>
          <w:rFonts w:ascii="宋体" w:hAnsi="宋体" w:eastAsia="宋体" w:cs="宋体"/>
          <w:color w:val="auto"/>
          <w:sz w:val="21"/>
          <w:szCs w:val="21"/>
        </w:rPr>
        <w:t>。</w:t>
      </w:r>
    </w:p>
    <w:p w14:paraId="3A7D113A">
      <w:pPr>
        <w:spacing w:line="74" w:lineRule="exact"/>
        <w:jc w:val="both"/>
        <w:rPr>
          <w:color w:val="auto"/>
          <w:sz w:val="20"/>
          <w:szCs w:val="20"/>
        </w:rPr>
      </w:pPr>
    </w:p>
    <w:p w14:paraId="77ECABAA">
      <w:pPr>
        <w:spacing w:line="239" w:lineRule="auto"/>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5</w:t>
      </w:r>
    </w:p>
    <w:p w14:paraId="11409AF4">
      <w:pPr>
        <w:spacing w:line="73" w:lineRule="exact"/>
        <w:jc w:val="both"/>
        <w:rPr>
          <w:color w:val="auto"/>
          <w:sz w:val="20"/>
          <w:szCs w:val="20"/>
        </w:rPr>
      </w:pPr>
    </w:p>
    <w:p w14:paraId="3CE553BD">
      <w:pPr>
        <w:tabs>
          <w:tab w:val="left" w:pos="3540"/>
        </w:tabs>
        <w:spacing w:line="239" w:lineRule="auto"/>
        <w:ind w:left="420"/>
        <w:jc w:val="both"/>
        <w:rPr>
          <w:color w:val="auto"/>
          <w:sz w:val="21"/>
          <w:szCs w:val="21"/>
        </w:rPr>
      </w:pPr>
      <w:r>
        <w:rPr>
          <w:rFonts w:ascii="黑体" w:hAnsi="黑体" w:eastAsia="黑体" w:cs="黑体"/>
          <w:color w:val="auto"/>
          <w:sz w:val="21"/>
          <w:szCs w:val="21"/>
        </w:rPr>
        <w:t>敞开式电动自行车停放充电车库</w:t>
      </w:r>
      <w:r>
        <w:rPr>
          <w:color w:val="auto"/>
          <w:sz w:val="21"/>
          <w:szCs w:val="21"/>
        </w:rPr>
        <w:tab/>
      </w:r>
      <w:r>
        <w:rPr>
          <w:rFonts w:ascii="黑体" w:hAnsi="黑体" w:eastAsia="黑体" w:cs="黑体"/>
          <w:color w:val="auto"/>
          <w:sz w:val="21"/>
          <w:szCs w:val="21"/>
        </w:rPr>
        <w:t>open electric bicycle parking and charging garage</w:t>
      </w:r>
    </w:p>
    <w:p w14:paraId="347412A2">
      <w:pPr>
        <w:spacing w:line="101" w:lineRule="exact"/>
        <w:jc w:val="both"/>
        <w:rPr>
          <w:color w:val="auto"/>
          <w:sz w:val="21"/>
          <w:szCs w:val="21"/>
        </w:rPr>
      </w:pPr>
    </w:p>
    <w:p w14:paraId="4B1C4925">
      <w:pPr>
        <w:spacing w:line="297" w:lineRule="auto"/>
        <w:ind w:firstLine="420"/>
        <w:jc w:val="both"/>
        <w:rPr>
          <w:rFonts w:ascii="宋体" w:hAnsi="宋体" w:eastAsia="宋体" w:cs="宋体"/>
          <w:color w:val="auto"/>
          <w:sz w:val="21"/>
          <w:szCs w:val="21"/>
        </w:rPr>
      </w:pPr>
      <w:r>
        <w:rPr>
          <w:rFonts w:ascii="宋体" w:hAnsi="宋体" w:eastAsia="宋体" w:cs="宋体"/>
          <w:color w:val="auto"/>
          <w:sz w:val="21"/>
          <w:szCs w:val="21"/>
        </w:rPr>
        <w:t>任一层车库外墙敞开面积超过该层四周外墙总面积的25%，敞开部分均匀布置在外墙上且其长度不小于此车库周长的50%的电动自行车停放充电</w:t>
      </w:r>
      <w:r>
        <w:rPr>
          <w:rFonts w:hint="eastAsia" w:ascii="宋体" w:hAnsi="宋体" w:eastAsia="宋体" w:cs="宋体"/>
          <w:color w:val="auto"/>
          <w:sz w:val="21"/>
          <w:szCs w:val="21"/>
        </w:rPr>
        <w:t>场所</w:t>
      </w:r>
      <w:r>
        <w:rPr>
          <w:rFonts w:ascii="宋体" w:hAnsi="宋体" w:eastAsia="宋体" w:cs="宋体"/>
          <w:color w:val="auto"/>
          <w:sz w:val="21"/>
          <w:szCs w:val="21"/>
        </w:rPr>
        <w:t>。</w:t>
      </w:r>
    </w:p>
    <w:p w14:paraId="1B616D3A">
      <w:pPr>
        <w:spacing w:line="33" w:lineRule="exact"/>
        <w:jc w:val="both"/>
        <w:rPr>
          <w:color w:val="auto"/>
          <w:sz w:val="20"/>
          <w:szCs w:val="20"/>
        </w:rPr>
      </w:pPr>
    </w:p>
    <w:p w14:paraId="00FE0E69">
      <w:pPr>
        <w:spacing w:line="239" w:lineRule="auto"/>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6</w:t>
      </w:r>
    </w:p>
    <w:p w14:paraId="29180043">
      <w:pPr>
        <w:spacing w:line="73" w:lineRule="exact"/>
        <w:jc w:val="both"/>
        <w:rPr>
          <w:color w:val="auto"/>
          <w:sz w:val="20"/>
          <w:szCs w:val="20"/>
        </w:rPr>
      </w:pPr>
    </w:p>
    <w:p w14:paraId="58DB1588">
      <w:pPr>
        <w:tabs>
          <w:tab w:val="left" w:pos="3340"/>
        </w:tabs>
        <w:spacing w:line="239" w:lineRule="auto"/>
        <w:ind w:left="420"/>
        <w:jc w:val="both"/>
        <w:rPr>
          <w:color w:val="auto"/>
          <w:sz w:val="20"/>
          <w:szCs w:val="20"/>
        </w:rPr>
      </w:pPr>
      <w:r>
        <w:rPr>
          <w:rFonts w:ascii="黑体" w:hAnsi="黑体" w:eastAsia="黑体" w:cs="黑体"/>
          <w:color w:val="auto"/>
          <w:sz w:val="21"/>
          <w:szCs w:val="21"/>
        </w:rPr>
        <w:t>地下电动自行车停放充电车库</w:t>
      </w:r>
      <w:r>
        <w:rPr>
          <w:color w:val="auto"/>
          <w:sz w:val="20"/>
          <w:szCs w:val="20"/>
        </w:rPr>
        <w:tab/>
      </w:r>
      <w:r>
        <w:rPr>
          <w:rFonts w:ascii="黑体" w:hAnsi="黑体" w:eastAsia="黑体" w:cs="黑体"/>
          <w:color w:val="auto"/>
          <w:sz w:val="21"/>
          <w:szCs w:val="21"/>
        </w:rPr>
        <w:t>underground electric bicycle parking and charging garage</w:t>
      </w:r>
    </w:p>
    <w:p w14:paraId="34549B83">
      <w:pPr>
        <w:spacing w:line="71" w:lineRule="exact"/>
        <w:jc w:val="both"/>
        <w:rPr>
          <w:color w:val="auto"/>
          <w:sz w:val="20"/>
          <w:szCs w:val="20"/>
        </w:rPr>
      </w:pPr>
    </w:p>
    <w:p w14:paraId="397EF649">
      <w:pPr>
        <w:spacing w:line="239" w:lineRule="auto"/>
        <w:ind w:left="420"/>
        <w:jc w:val="both"/>
        <w:rPr>
          <w:color w:val="auto"/>
          <w:sz w:val="20"/>
          <w:szCs w:val="20"/>
        </w:rPr>
      </w:pPr>
      <w:r>
        <w:rPr>
          <w:rFonts w:ascii="宋体" w:hAnsi="宋体" w:eastAsia="宋体" w:cs="宋体"/>
          <w:color w:val="auto"/>
          <w:sz w:val="21"/>
          <w:szCs w:val="21"/>
        </w:rPr>
        <w:t>建筑内地坪地面低于室外地坪地面高度超过该层净高1/2的电动自行车停放充电</w:t>
      </w:r>
      <w:r>
        <w:rPr>
          <w:rFonts w:hint="eastAsia" w:ascii="宋体" w:hAnsi="宋体" w:eastAsia="宋体" w:cs="宋体"/>
          <w:color w:val="auto"/>
          <w:sz w:val="21"/>
          <w:szCs w:val="21"/>
        </w:rPr>
        <w:t>场所</w:t>
      </w:r>
      <w:r>
        <w:rPr>
          <w:rFonts w:ascii="宋体" w:hAnsi="宋体" w:eastAsia="宋体" w:cs="宋体"/>
          <w:color w:val="auto"/>
          <w:sz w:val="21"/>
          <w:szCs w:val="21"/>
        </w:rPr>
        <w:t>。</w:t>
      </w:r>
    </w:p>
    <w:p w14:paraId="6CE7FD34">
      <w:pPr>
        <w:spacing w:line="75" w:lineRule="exact"/>
        <w:jc w:val="both"/>
        <w:rPr>
          <w:color w:val="auto"/>
          <w:sz w:val="20"/>
          <w:szCs w:val="20"/>
        </w:rPr>
      </w:pPr>
    </w:p>
    <w:p w14:paraId="3E1C5330">
      <w:pPr>
        <w:spacing w:line="239" w:lineRule="auto"/>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7</w:t>
      </w:r>
    </w:p>
    <w:p w14:paraId="2291D13F">
      <w:pPr>
        <w:spacing w:line="101" w:lineRule="exact"/>
        <w:jc w:val="both"/>
        <w:rPr>
          <w:color w:val="auto"/>
          <w:sz w:val="20"/>
          <w:szCs w:val="20"/>
        </w:rPr>
      </w:pPr>
    </w:p>
    <w:p w14:paraId="2743D74D">
      <w:pPr>
        <w:spacing w:line="284" w:lineRule="auto"/>
        <w:ind w:left="439" w:leftChars="190" w:right="100" w:hanging="21" w:hangingChars="10"/>
        <w:jc w:val="both"/>
        <w:rPr>
          <w:color w:val="auto"/>
          <w:sz w:val="20"/>
          <w:szCs w:val="20"/>
        </w:rPr>
      </w:pPr>
      <w:r>
        <w:rPr>
          <w:rFonts w:ascii="黑体" w:hAnsi="黑体" w:eastAsia="黑体" w:cs="黑体"/>
          <w:color w:val="auto"/>
          <w:sz w:val="21"/>
          <w:szCs w:val="21"/>
        </w:rPr>
        <w:t>半地下电动自行车停放充电车库 semi-underground electric bicycle parking and charging garage</w:t>
      </w:r>
    </w:p>
    <w:p w14:paraId="25C2118C">
      <w:pPr>
        <w:spacing w:line="57" w:lineRule="exact"/>
        <w:jc w:val="both"/>
        <w:rPr>
          <w:color w:val="auto"/>
          <w:sz w:val="20"/>
          <w:szCs w:val="20"/>
        </w:rPr>
      </w:pPr>
    </w:p>
    <w:p w14:paraId="277A784C">
      <w:pPr>
        <w:spacing w:line="297" w:lineRule="auto"/>
        <w:ind w:firstLine="420"/>
        <w:jc w:val="both"/>
        <w:rPr>
          <w:rFonts w:ascii="宋体" w:hAnsi="宋体" w:eastAsia="宋体" w:cs="宋体"/>
          <w:color w:val="auto"/>
          <w:sz w:val="21"/>
          <w:szCs w:val="21"/>
        </w:rPr>
      </w:pPr>
      <w:r>
        <w:rPr>
          <w:rFonts w:ascii="宋体" w:hAnsi="宋体" w:eastAsia="宋体" w:cs="宋体"/>
          <w:color w:val="auto"/>
          <w:sz w:val="21"/>
          <w:szCs w:val="21"/>
        </w:rPr>
        <w:t>地下建筑内地坪面与室外地坪面的高度之差大于该层车库净高1/3且不大于1/2的电动自行车停放充电</w:t>
      </w:r>
      <w:r>
        <w:rPr>
          <w:rFonts w:hint="eastAsia" w:ascii="宋体" w:hAnsi="宋体" w:eastAsia="宋体" w:cs="宋体"/>
          <w:color w:val="auto"/>
          <w:sz w:val="21"/>
          <w:szCs w:val="21"/>
        </w:rPr>
        <w:t>场所</w:t>
      </w:r>
      <w:r>
        <w:rPr>
          <w:rFonts w:ascii="宋体" w:hAnsi="宋体" w:eastAsia="宋体" w:cs="宋体"/>
          <w:color w:val="auto"/>
          <w:sz w:val="21"/>
          <w:szCs w:val="21"/>
        </w:rPr>
        <w:t>。</w:t>
      </w:r>
    </w:p>
    <w:p w14:paraId="66B9154F">
      <w:pPr>
        <w:spacing w:line="33" w:lineRule="exact"/>
        <w:jc w:val="both"/>
        <w:rPr>
          <w:color w:val="auto"/>
          <w:sz w:val="20"/>
          <w:szCs w:val="20"/>
        </w:rPr>
      </w:pPr>
    </w:p>
    <w:p w14:paraId="71985E97">
      <w:pPr>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8</w:t>
      </w:r>
    </w:p>
    <w:p w14:paraId="546E24BB">
      <w:pPr>
        <w:spacing w:line="72" w:lineRule="exact"/>
        <w:jc w:val="both"/>
        <w:rPr>
          <w:color w:val="auto"/>
          <w:sz w:val="20"/>
          <w:szCs w:val="20"/>
        </w:rPr>
      </w:pPr>
    </w:p>
    <w:p w14:paraId="507D1B61">
      <w:pPr>
        <w:tabs>
          <w:tab w:val="left" w:pos="3540"/>
        </w:tabs>
        <w:ind w:left="420"/>
        <w:jc w:val="both"/>
        <w:rPr>
          <w:color w:val="auto"/>
          <w:sz w:val="20"/>
          <w:szCs w:val="20"/>
        </w:rPr>
      </w:pPr>
      <w:r>
        <w:rPr>
          <w:rFonts w:ascii="黑体" w:hAnsi="黑体" w:eastAsia="黑体" w:cs="黑体"/>
          <w:color w:val="auto"/>
          <w:sz w:val="21"/>
          <w:szCs w:val="21"/>
        </w:rPr>
        <w:t>建筑外电动自行车停放充电车场</w:t>
      </w:r>
      <w:r>
        <w:rPr>
          <w:color w:val="auto"/>
          <w:sz w:val="20"/>
          <w:szCs w:val="20"/>
        </w:rPr>
        <w:tab/>
      </w:r>
      <w:r>
        <w:rPr>
          <w:rFonts w:ascii="黑体" w:hAnsi="黑体" w:eastAsia="黑体" w:cs="黑体"/>
          <w:color w:val="auto"/>
          <w:sz w:val="21"/>
          <w:szCs w:val="21"/>
        </w:rPr>
        <w:t>electric bicycle parking and charging lot</w:t>
      </w:r>
    </w:p>
    <w:p w14:paraId="11188D95">
      <w:pPr>
        <w:spacing w:line="70" w:lineRule="exact"/>
        <w:jc w:val="both"/>
        <w:rPr>
          <w:color w:val="auto"/>
          <w:sz w:val="20"/>
          <w:szCs w:val="20"/>
        </w:rPr>
      </w:pPr>
    </w:p>
    <w:p w14:paraId="2F1AF080">
      <w:pPr>
        <w:ind w:left="420"/>
        <w:jc w:val="both"/>
        <w:rPr>
          <w:color w:val="auto"/>
          <w:sz w:val="20"/>
          <w:szCs w:val="20"/>
        </w:rPr>
      </w:pPr>
      <w:r>
        <w:rPr>
          <w:rFonts w:ascii="宋体" w:hAnsi="宋体" w:eastAsia="宋体" w:cs="宋体"/>
          <w:color w:val="auto"/>
          <w:sz w:val="21"/>
          <w:szCs w:val="21"/>
        </w:rPr>
        <w:t>用于停放电动自行车且安装配套充电设施的建筑外的露天场地或</w:t>
      </w:r>
      <w:r>
        <w:rPr>
          <w:rFonts w:hint="eastAsia" w:ascii="宋体" w:hAnsi="宋体" w:eastAsia="宋体" w:cs="宋体"/>
          <w:color w:val="auto"/>
          <w:sz w:val="21"/>
          <w:szCs w:val="21"/>
        </w:rPr>
        <w:t>建/</w:t>
      </w:r>
      <w:r>
        <w:rPr>
          <w:rFonts w:ascii="宋体" w:hAnsi="宋体" w:eastAsia="宋体" w:cs="宋体"/>
          <w:color w:val="auto"/>
          <w:sz w:val="21"/>
          <w:szCs w:val="21"/>
        </w:rPr>
        <w:t>构筑物。</w:t>
      </w:r>
    </w:p>
    <w:p w14:paraId="6934A757">
      <w:pPr>
        <w:spacing w:line="74" w:lineRule="exact"/>
        <w:jc w:val="both"/>
        <w:rPr>
          <w:color w:val="auto"/>
          <w:sz w:val="20"/>
          <w:szCs w:val="20"/>
        </w:rPr>
      </w:pPr>
    </w:p>
    <w:p w14:paraId="6B11BB6D">
      <w:pPr>
        <w:jc w:val="both"/>
        <w:rPr>
          <w:rFonts w:eastAsia="黑体"/>
          <w:color w:val="auto"/>
          <w:sz w:val="20"/>
          <w:szCs w:val="20"/>
        </w:rPr>
      </w:pPr>
      <w:r>
        <w:rPr>
          <w:rFonts w:ascii="黑体" w:hAnsi="黑体" w:eastAsia="黑体" w:cs="黑体"/>
          <w:color w:val="auto"/>
          <w:sz w:val="21"/>
          <w:szCs w:val="21"/>
        </w:rPr>
        <w:t>3.</w:t>
      </w:r>
      <w:r>
        <w:rPr>
          <w:rFonts w:hint="eastAsia" w:ascii="黑体" w:hAnsi="黑体" w:eastAsia="黑体" w:cs="黑体"/>
          <w:color w:val="auto"/>
          <w:sz w:val="21"/>
          <w:szCs w:val="21"/>
        </w:rPr>
        <w:t>9</w:t>
      </w:r>
    </w:p>
    <w:p w14:paraId="50A05D65">
      <w:pPr>
        <w:spacing w:line="72" w:lineRule="exact"/>
        <w:jc w:val="both"/>
        <w:rPr>
          <w:color w:val="auto"/>
          <w:sz w:val="20"/>
          <w:szCs w:val="20"/>
        </w:rPr>
      </w:pPr>
    </w:p>
    <w:p w14:paraId="1F2D43AE">
      <w:pPr>
        <w:tabs>
          <w:tab w:val="left" w:pos="1440"/>
        </w:tabs>
        <w:ind w:left="420"/>
        <w:jc w:val="both"/>
        <w:rPr>
          <w:color w:val="auto"/>
          <w:sz w:val="20"/>
          <w:szCs w:val="20"/>
        </w:rPr>
      </w:pPr>
      <w:r>
        <w:rPr>
          <w:rFonts w:ascii="黑体" w:hAnsi="黑体" w:eastAsia="黑体" w:cs="黑体"/>
          <w:color w:val="auto"/>
          <w:sz w:val="21"/>
          <w:szCs w:val="21"/>
        </w:rPr>
        <w:t>充电设施</w:t>
      </w:r>
      <w:r>
        <w:rPr>
          <w:color w:val="auto"/>
          <w:sz w:val="20"/>
          <w:szCs w:val="20"/>
        </w:rPr>
        <w:tab/>
      </w:r>
      <w:r>
        <w:rPr>
          <w:rFonts w:ascii="黑体" w:hAnsi="黑体" w:eastAsia="黑体" w:cs="黑体"/>
          <w:color w:val="auto"/>
          <w:sz w:val="21"/>
          <w:szCs w:val="21"/>
        </w:rPr>
        <w:t>charging facility</w:t>
      </w:r>
    </w:p>
    <w:p w14:paraId="056643B3">
      <w:pPr>
        <w:spacing w:line="70" w:lineRule="exact"/>
        <w:jc w:val="both"/>
        <w:rPr>
          <w:color w:val="auto"/>
          <w:sz w:val="20"/>
          <w:szCs w:val="20"/>
        </w:rPr>
      </w:pPr>
    </w:p>
    <w:p w14:paraId="3D6AD136">
      <w:pPr>
        <w:ind w:left="420"/>
        <w:jc w:val="both"/>
        <w:rPr>
          <w:color w:val="auto"/>
          <w:sz w:val="20"/>
          <w:szCs w:val="20"/>
        </w:rPr>
      </w:pPr>
      <w:r>
        <w:rPr>
          <w:rFonts w:ascii="宋体" w:hAnsi="宋体" w:eastAsia="宋体" w:cs="宋体"/>
          <w:color w:val="auto"/>
          <w:sz w:val="21"/>
          <w:szCs w:val="21"/>
        </w:rPr>
        <w:t>为电动自行车提供充电服务的相关电气设备及附属设施。</w:t>
      </w:r>
    </w:p>
    <w:p w14:paraId="2F2ED78C">
      <w:pPr>
        <w:spacing w:line="93" w:lineRule="exact"/>
        <w:jc w:val="both"/>
        <w:rPr>
          <w:color w:val="auto"/>
          <w:sz w:val="20"/>
          <w:szCs w:val="20"/>
        </w:rPr>
      </w:pPr>
    </w:p>
    <w:p w14:paraId="26EFAAA9">
      <w:pPr>
        <w:ind w:left="360"/>
        <w:jc w:val="both"/>
        <w:rPr>
          <w:color w:val="auto"/>
          <w:sz w:val="20"/>
          <w:szCs w:val="20"/>
        </w:rPr>
      </w:pPr>
      <w:r>
        <w:rPr>
          <w:rFonts w:ascii="黑体" w:hAnsi="黑体" w:eastAsia="黑体" w:cs="黑体"/>
          <w:color w:val="auto"/>
          <w:sz w:val="18"/>
          <w:szCs w:val="18"/>
        </w:rPr>
        <w:t>注：</w:t>
      </w:r>
      <w:r>
        <w:rPr>
          <w:rFonts w:ascii="宋体" w:hAnsi="宋体" w:eastAsia="宋体" w:cs="宋体"/>
          <w:color w:val="auto"/>
          <w:sz w:val="18"/>
          <w:szCs w:val="18"/>
        </w:rPr>
        <w:t>如低压开关柜</w:t>
      </w:r>
      <w:r>
        <w:rPr>
          <w:rFonts w:hint="eastAsia" w:ascii="宋体" w:hAnsi="宋体" w:eastAsia="宋体" w:cs="宋体"/>
          <w:color w:val="auto"/>
          <w:sz w:val="18"/>
          <w:szCs w:val="18"/>
        </w:rPr>
        <w:t>、</w:t>
      </w:r>
      <w:r>
        <w:rPr>
          <w:rFonts w:ascii="宋体" w:hAnsi="宋体" w:eastAsia="宋体" w:cs="宋体"/>
          <w:color w:val="auto"/>
          <w:sz w:val="18"/>
          <w:szCs w:val="18"/>
        </w:rPr>
        <w:t>箱及其配套的充电配电箱、充电柜、线缆等，包括配电系统、配套设施、充电设备等。</w:t>
      </w:r>
    </w:p>
    <w:p w14:paraId="0BE5B96A">
      <w:pPr>
        <w:spacing w:line="88" w:lineRule="exact"/>
        <w:jc w:val="both"/>
        <w:rPr>
          <w:color w:val="auto"/>
          <w:sz w:val="20"/>
          <w:szCs w:val="20"/>
        </w:rPr>
      </w:pPr>
    </w:p>
    <w:p w14:paraId="13451ECD">
      <w:pPr>
        <w:spacing w:line="239" w:lineRule="auto"/>
        <w:jc w:val="both"/>
        <w:rPr>
          <w:rFonts w:ascii="黑体" w:hAnsi="黑体" w:eastAsia="黑体" w:cs="黑体"/>
          <w:color w:val="auto"/>
          <w:sz w:val="21"/>
          <w:szCs w:val="21"/>
        </w:rPr>
      </w:pPr>
      <w:r>
        <w:rPr>
          <w:rFonts w:ascii="黑体" w:hAnsi="黑体" w:eastAsia="黑体" w:cs="黑体"/>
          <w:color w:val="auto"/>
          <w:sz w:val="21"/>
          <w:szCs w:val="21"/>
        </w:rPr>
        <w:t>3.</w:t>
      </w:r>
      <w:r>
        <w:rPr>
          <w:rFonts w:hint="eastAsia" w:ascii="黑体" w:hAnsi="黑体" w:eastAsia="黑体" w:cs="黑体"/>
          <w:color w:val="auto"/>
          <w:sz w:val="21"/>
          <w:szCs w:val="21"/>
        </w:rPr>
        <w:t>10</w:t>
      </w:r>
    </w:p>
    <w:p w14:paraId="4A2D0297">
      <w:pPr>
        <w:spacing w:line="239" w:lineRule="auto"/>
        <w:ind w:firstLine="420" w:firstLineChars="200"/>
        <w:jc w:val="both"/>
        <w:rPr>
          <w:rFonts w:ascii="黑体" w:hAnsi="黑体" w:eastAsia="黑体" w:cs="黑体"/>
          <w:color w:val="auto"/>
          <w:sz w:val="21"/>
          <w:szCs w:val="21"/>
        </w:rPr>
      </w:pPr>
      <w:r>
        <w:rPr>
          <w:rFonts w:ascii="黑体" w:hAnsi="黑体" w:eastAsia="黑体" w:cs="黑体"/>
          <w:color w:val="auto"/>
          <w:sz w:val="21"/>
          <w:szCs w:val="21"/>
        </w:rPr>
        <w:t>充电柜</w:t>
      </w:r>
      <w:r>
        <w:rPr>
          <w:color w:val="auto"/>
          <w:sz w:val="20"/>
          <w:szCs w:val="20"/>
        </w:rPr>
        <w:tab/>
      </w:r>
      <w:r>
        <w:rPr>
          <w:rFonts w:ascii="黑体" w:hAnsi="黑体" w:eastAsia="黑体" w:cs="黑体"/>
          <w:color w:val="auto"/>
          <w:sz w:val="21"/>
          <w:szCs w:val="21"/>
        </w:rPr>
        <w:t>charging cabinet</w:t>
      </w:r>
      <w:bookmarkStart w:id="9" w:name="page9"/>
      <w:bookmarkEnd w:id="9"/>
    </w:p>
    <w:p w14:paraId="5091C7CE">
      <w:pPr>
        <w:spacing w:line="282" w:lineRule="auto"/>
        <w:ind w:left="443" w:leftChars="192" w:hanging="21" w:hangingChars="10"/>
        <w:jc w:val="both"/>
        <w:rPr>
          <w:rFonts w:ascii="宋体" w:hAnsi="宋体" w:eastAsia="宋体" w:cs="宋体"/>
          <w:color w:val="auto"/>
          <w:sz w:val="21"/>
          <w:szCs w:val="21"/>
        </w:rPr>
      </w:pPr>
    </w:p>
    <w:p w14:paraId="1693E9E8">
      <w:pPr>
        <w:spacing w:line="297" w:lineRule="auto"/>
        <w:ind w:firstLine="420"/>
        <w:jc w:val="both"/>
        <w:rPr>
          <w:rFonts w:ascii="宋体" w:hAnsi="宋体" w:eastAsia="宋体" w:cs="宋体"/>
          <w:color w:val="auto"/>
          <w:sz w:val="21"/>
          <w:szCs w:val="21"/>
        </w:rPr>
      </w:pPr>
      <w:r>
        <w:rPr>
          <w:rFonts w:ascii="宋体" w:hAnsi="宋体" w:eastAsia="宋体" w:cs="宋体"/>
          <w:color w:val="auto"/>
          <w:sz w:val="21"/>
          <w:szCs w:val="21"/>
        </w:rPr>
        <w:t>固定连接至交流或直流电源，并将其转为直流电源，采用传导方式为电动自行车蓄电池充电的集成电动自行车充电器、充电管理系统、通信模块及配套附件的成套电器柜。</w:t>
      </w:r>
    </w:p>
    <w:p w14:paraId="511A45EB">
      <w:pPr>
        <w:spacing w:line="262" w:lineRule="auto"/>
        <w:ind w:left="424" w:right="7360" w:hanging="419"/>
        <w:jc w:val="both"/>
        <w:rPr>
          <w:rFonts w:ascii="黑体" w:hAnsi="黑体" w:eastAsia="黑体" w:cs="黑体"/>
          <w:color w:val="auto"/>
          <w:sz w:val="21"/>
          <w:szCs w:val="21"/>
        </w:rPr>
      </w:pPr>
    </w:p>
    <w:p w14:paraId="47030187">
      <w:pPr>
        <w:spacing w:line="262" w:lineRule="auto"/>
        <w:ind w:left="424" w:right="7360" w:hanging="419"/>
        <w:jc w:val="both"/>
        <w:rPr>
          <w:rFonts w:hint="eastAsia" w:ascii="黑体" w:hAnsi="黑体" w:eastAsia="黑体" w:cs="黑体"/>
          <w:color w:val="auto"/>
          <w:sz w:val="21"/>
          <w:szCs w:val="21"/>
          <w:lang w:val="en-US" w:eastAsia="zh-CN"/>
        </w:rPr>
      </w:pPr>
      <w:r>
        <w:rPr>
          <w:rFonts w:ascii="黑体" w:hAnsi="黑体" w:eastAsia="黑体" w:cs="黑体"/>
          <w:color w:val="auto"/>
          <w:sz w:val="21"/>
          <w:szCs w:val="21"/>
        </w:rPr>
        <w:t>3.1</w:t>
      </w:r>
      <w:r>
        <w:rPr>
          <w:rFonts w:hint="eastAsia" w:ascii="黑体" w:hAnsi="黑体" w:eastAsia="黑体" w:cs="黑体"/>
          <w:color w:val="auto"/>
          <w:sz w:val="21"/>
          <w:szCs w:val="21"/>
        </w:rPr>
        <w:t>1</w:t>
      </w:r>
      <w:r>
        <w:rPr>
          <w:rFonts w:hint="eastAsia" w:ascii="黑体" w:hAnsi="黑体" w:eastAsia="黑体" w:cs="黑体"/>
          <w:color w:val="auto"/>
          <w:sz w:val="21"/>
          <w:szCs w:val="21"/>
          <w:lang w:val="en-US" w:eastAsia="zh-CN"/>
        </w:rPr>
        <w:t xml:space="preserve">  </w:t>
      </w:r>
    </w:p>
    <w:p w14:paraId="125B855B">
      <w:pPr>
        <w:spacing w:line="262" w:lineRule="auto"/>
        <w:ind w:left="442" w:leftChars="201" w:right="7360" w:firstLine="21" w:firstLineChars="10"/>
        <w:jc w:val="both"/>
        <w:rPr>
          <w:color w:val="auto"/>
          <w:sz w:val="20"/>
          <w:szCs w:val="20"/>
        </w:rPr>
      </w:pPr>
      <w:r>
        <w:rPr>
          <w:rFonts w:ascii="黑体" w:hAnsi="黑体" w:eastAsia="黑体" w:cs="黑体"/>
          <w:color w:val="auto"/>
          <w:sz w:val="21"/>
          <w:szCs w:val="21"/>
        </w:rPr>
        <w:t>充电器 charger</w:t>
      </w:r>
    </w:p>
    <w:p w14:paraId="09C549E9">
      <w:pPr>
        <w:spacing w:line="239" w:lineRule="auto"/>
        <w:ind w:firstLine="420" w:firstLineChars="200"/>
        <w:jc w:val="both"/>
        <w:rPr>
          <w:rFonts w:ascii="宋体" w:hAnsi="宋体" w:eastAsia="宋体" w:cs="宋体"/>
          <w:color w:val="auto"/>
          <w:sz w:val="21"/>
          <w:szCs w:val="21"/>
        </w:rPr>
      </w:pPr>
      <w:r>
        <w:rPr>
          <w:rFonts w:ascii="宋体" w:hAnsi="宋体" w:eastAsia="宋体" w:cs="宋体"/>
          <w:color w:val="auto"/>
          <w:sz w:val="21"/>
          <w:szCs w:val="21"/>
        </w:rPr>
        <w:t>专门为电动自行车蓄电池充电</w:t>
      </w:r>
      <w:r>
        <w:rPr>
          <w:rFonts w:hint="eastAsia" w:ascii="宋体" w:hAnsi="宋体" w:eastAsia="宋体" w:cs="宋体"/>
          <w:color w:val="auto"/>
          <w:sz w:val="21"/>
          <w:szCs w:val="21"/>
        </w:rPr>
        <w:t>场所</w:t>
      </w:r>
      <w:r>
        <w:rPr>
          <w:rFonts w:ascii="宋体" w:hAnsi="宋体" w:eastAsia="宋体" w:cs="宋体"/>
          <w:color w:val="auto"/>
          <w:sz w:val="21"/>
          <w:szCs w:val="21"/>
        </w:rPr>
        <w:t>配置的一种充电设备。</w:t>
      </w:r>
    </w:p>
    <w:p w14:paraId="2C21C726">
      <w:pPr>
        <w:spacing w:line="239" w:lineRule="auto"/>
        <w:ind w:left="424"/>
        <w:jc w:val="both"/>
        <w:rPr>
          <w:rFonts w:ascii="宋体" w:hAnsi="宋体" w:eastAsia="宋体" w:cs="宋体"/>
          <w:color w:val="auto"/>
          <w:sz w:val="21"/>
          <w:szCs w:val="21"/>
        </w:rPr>
      </w:pPr>
    </w:p>
    <w:p w14:paraId="2CCC7A96">
      <w:pPr>
        <w:spacing w:line="387" w:lineRule="exact"/>
        <w:jc w:val="both"/>
        <w:rPr>
          <w:color w:val="auto"/>
          <w:sz w:val="20"/>
          <w:szCs w:val="20"/>
        </w:rPr>
      </w:pPr>
    </w:p>
    <w:p w14:paraId="2CE5B905">
      <w:pPr>
        <w:tabs>
          <w:tab w:val="left" w:pos="303"/>
        </w:tabs>
        <w:spacing w:line="239" w:lineRule="auto"/>
        <w:ind w:left="4"/>
        <w:jc w:val="both"/>
        <w:rPr>
          <w:color w:val="auto"/>
          <w:sz w:val="20"/>
          <w:szCs w:val="20"/>
        </w:rPr>
      </w:pPr>
      <w:r>
        <w:rPr>
          <w:rFonts w:ascii="黑体" w:hAnsi="黑体" w:eastAsia="黑体" w:cs="黑体"/>
          <w:color w:val="auto"/>
          <w:sz w:val="21"/>
          <w:szCs w:val="21"/>
        </w:rPr>
        <w:t>4</w:t>
      </w:r>
      <w:r>
        <w:rPr>
          <w:color w:val="auto"/>
          <w:sz w:val="20"/>
          <w:szCs w:val="20"/>
        </w:rPr>
        <w:tab/>
      </w:r>
      <w:r>
        <w:rPr>
          <w:rFonts w:hint="eastAsia" w:ascii="黑体" w:hAnsi="黑体" w:eastAsia="黑体" w:cs="黑体"/>
          <w:color w:val="auto"/>
          <w:sz w:val="21"/>
          <w:szCs w:val="21"/>
        </w:rPr>
        <w:t>建筑</w:t>
      </w:r>
      <w:r>
        <w:rPr>
          <w:rFonts w:ascii="黑体" w:hAnsi="黑体" w:eastAsia="黑体" w:cs="黑体"/>
          <w:color w:val="auto"/>
          <w:sz w:val="21"/>
          <w:szCs w:val="21"/>
        </w:rPr>
        <w:t>总平面布局</w:t>
      </w:r>
    </w:p>
    <w:p w14:paraId="55A02AD5">
      <w:pPr>
        <w:spacing w:line="200" w:lineRule="exact"/>
        <w:jc w:val="both"/>
        <w:rPr>
          <w:color w:val="auto"/>
          <w:sz w:val="20"/>
          <w:szCs w:val="20"/>
        </w:rPr>
      </w:pPr>
    </w:p>
    <w:p w14:paraId="7BB6931D">
      <w:pPr>
        <w:spacing w:line="213" w:lineRule="exact"/>
        <w:jc w:val="both"/>
        <w:rPr>
          <w:color w:val="auto"/>
          <w:sz w:val="20"/>
          <w:szCs w:val="20"/>
        </w:rPr>
      </w:pPr>
    </w:p>
    <w:p w14:paraId="5C7669C4">
      <w:pPr>
        <w:numPr>
          <w:ilvl w:val="0"/>
          <w:numId w:val="1"/>
        </w:numPr>
        <w:tabs>
          <w:tab w:val="left" w:pos="530"/>
        </w:tabs>
        <w:spacing w:line="282" w:lineRule="auto"/>
        <w:ind w:left="4" w:right="20" w:hanging="4"/>
        <w:jc w:val="both"/>
        <w:rPr>
          <w:rFonts w:ascii="黑体" w:hAnsi="黑体" w:eastAsia="黑体" w:cs="黑体"/>
          <w:color w:val="auto"/>
          <w:sz w:val="21"/>
          <w:szCs w:val="21"/>
        </w:rPr>
      </w:pPr>
      <w:r>
        <w:rPr>
          <w:rFonts w:ascii="宋体" w:hAnsi="宋体" w:eastAsia="宋体" w:cs="宋体"/>
          <w:color w:val="auto"/>
          <w:sz w:val="21"/>
          <w:szCs w:val="21"/>
        </w:rPr>
        <w:t>新建</w:t>
      </w:r>
      <w:r>
        <w:rPr>
          <w:rFonts w:hint="eastAsia" w:ascii="宋体" w:hAnsi="宋体" w:eastAsia="宋体" w:cs="宋体"/>
          <w:color w:val="auto"/>
          <w:sz w:val="21"/>
          <w:szCs w:val="21"/>
        </w:rPr>
        <w:t>、改建、扩建</w:t>
      </w:r>
      <w:r>
        <w:rPr>
          <w:rFonts w:ascii="宋体" w:hAnsi="宋体" w:eastAsia="宋体" w:cs="宋体"/>
          <w:color w:val="auto"/>
          <w:sz w:val="21"/>
          <w:szCs w:val="21"/>
        </w:rPr>
        <w:t>的公共建筑、住宅建筑应建设电动自行车停放充电场所；</w:t>
      </w:r>
      <w:r>
        <w:rPr>
          <w:rFonts w:hint="eastAsia" w:ascii="宋体" w:hAnsi="宋体" w:eastAsia="宋体" w:cs="宋体"/>
          <w:color w:val="auto"/>
          <w:sz w:val="21"/>
          <w:szCs w:val="21"/>
        </w:rPr>
        <w:t>已建成投入使用的</w:t>
      </w:r>
      <w:r>
        <w:rPr>
          <w:rFonts w:ascii="宋体" w:hAnsi="宋体" w:eastAsia="宋体" w:cs="宋体"/>
          <w:color w:val="auto"/>
          <w:sz w:val="21"/>
          <w:szCs w:val="21"/>
        </w:rPr>
        <w:t>公共建筑、住宅建筑应根据需要选择合适位置增设电动自行车停放充电场所。</w:t>
      </w:r>
    </w:p>
    <w:p w14:paraId="30E4E533">
      <w:pPr>
        <w:spacing w:line="31" w:lineRule="exact"/>
        <w:jc w:val="both"/>
        <w:rPr>
          <w:rFonts w:ascii="黑体" w:hAnsi="黑体" w:eastAsia="黑体" w:cs="黑体"/>
          <w:color w:val="auto"/>
          <w:sz w:val="21"/>
          <w:szCs w:val="21"/>
        </w:rPr>
      </w:pPr>
    </w:p>
    <w:p w14:paraId="39A56107">
      <w:pPr>
        <w:numPr>
          <w:ilvl w:val="0"/>
          <w:numId w:val="1"/>
        </w:numPr>
        <w:tabs>
          <w:tab w:val="left" w:pos="524"/>
        </w:tabs>
        <w:spacing w:line="239" w:lineRule="auto"/>
        <w:ind w:left="524" w:hanging="524"/>
        <w:jc w:val="both"/>
        <w:rPr>
          <w:rFonts w:ascii="黑体" w:hAnsi="黑体" w:eastAsia="黑体" w:cs="黑体"/>
          <w:color w:val="auto"/>
          <w:sz w:val="21"/>
          <w:szCs w:val="21"/>
        </w:rPr>
      </w:pPr>
      <w:r>
        <w:rPr>
          <w:rFonts w:ascii="宋体" w:hAnsi="宋体" w:eastAsia="宋体" w:cs="宋体"/>
          <w:color w:val="auto"/>
          <w:sz w:val="21"/>
          <w:szCs w:val="21"/>
        </w:rPr>
        <w:t>电动自行车停放充电场所应合理确定位置，并符合以下规定：</w:t>
      </w:r>
    </w:p>
    <w:p w14:paraId="535B1CBB">
      <w:pPr>
        <w:spacing w:line="103" w:lineRule="exact"/>
        <w:jc w:val="both"/>
        <w:rPr>
          <w:rFonts w:ascii="黑体" w:hAnsi="黑体" w:eastAsia="黑体" w:cs="黑体"/>
          <w:color w:val="auto"/>
          <w:sz w:val="21"/>
          <w:szCs w:val="21"/>
        </w:rPr>
      </w:pPr>
    </w:p>
    <w:p w14:paraId="1FB88F5C">
      <w:pPr>
        <w:numPr>
          <w:ilvl w:val="1"/>
          <w:numId w:val="1"/>
        </w:numPr>
        <w:tabs>
          <w:tab w:val="left" w:pos="844"/>
        </w:tabs>
        <w:spacing w:line="282"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应选取消防救援力量便于到达的场所；</w:t>
      </w:r>
    </w:p>
    <w:p w14:paraId="18C988F0">
      <w:pPr>
        <w:numPr>
          <w:ilvl w:val="1"/>
          <w:numId w:val="1"/>
        </w:numPr>
        <w:tabs>
          <w:tab w:val="left" w:pos="844"/>
        </w:tabs>
        <w:spacing w:line="282"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宜充分利用就近的供电、消防及防排洪等公用设施、选在有公用通信网络覆盖的区域；</w:t>
      </w:r>
    </w:p>
    <w:p w14:paraId="6B7BC5AB">
      <w:pPr>
        <w:spacing w:line="31" w:lineRule="exact"/>
        <w:jc w:val="both"/>
        <w:rPr>
          <w:rFonts w:ascii="宋体" w:hAnsi="宋体" w:eastAsia="宋体" w:cs="宋体"/>
          <w:color w:val="auto"/>
          <w:sz w:val="21"/>
          <w:szCs w:val="21"/>
        </w:rPr>
      </w:pPr>
    </w:p>
    <w:p w14:paraId="649E86B5">
      <w:pPr>
        <w:numPr>
          <w:ilvl w:val="1"/>
          <w:numId w:val="1"/>
        </w:numPr>
        <w:tabs>
          <w:tab w:val="left" w:pos="844"/>
        </w:tabs>
        <w:spacing w:line="239" w:lineRule="auto"/>
        <w:ind w:left="844" w:hanging="424"/>
        <w:jc w:val="both"/>
        <w:rPr>
          <w:rFonts w:ascii="宋体" w:hAnsi="宋体" w:eastAsia="宋体" w:cs="宋体"/>
          <w:color w:val="auto"/>
          <w:sz w:val="21"/>
          <w:szCs w:val="21"/>
        </w:rPr>
      </w:pPr>
      <w:r>
        <w:rPr>
          <w:rFonts w:hint="eastAsia" w:ascii="宋体" w:hAnsi="宋体" w:eastAsia="宋体" w:cs="宋体"/>
          <w:color w:val="auto"/>
          <w:sz w:val="21"/>
          <w:szCs w:val="21"/>
        </w:rPr>
        <w:t>场所</w:t>
      </w:r>
      <w:r>
        <w:rPr>
          <w:rFonts w:ascii="宋体" w:hAnsi="宋体" w:eastAsia="宋体" w:cs="宋体"/>
          <w:color w:val="auto"/>
          <w:sz w:val="21"/>
          <w:szCs w:val="21"/>
        </w:rPr>
        <w:t>应</w:t>
      </w:r>
      <w:r>
        <w:rPr>
          <w:rFonts w:hint="eastAsia" w:ascii="宋体" w:hAnsi="宋体" w:eastAsia="宋体" w:cs="宋体"/>
          <w:color w:val="auto"/>
          <w:sz w:val="21"/>
          <w:szCs w:val="21"/>
        </w:rPr>
        <w:t>便于</w:t>
      </w:r>
      <w:r>
        <w:rPr>
          <w:rFonts w:ascii="宋体" w:hAnsi="宋体" w:eastAsia="宋体" w:cs="宋体"/>
          <w:color w:val="auto"/>
          <w:sz w:val="21"/>
          <w:szCs w:val="21"/>
        </w:rPr>
        <w:t>设施电源</w:t>
      </w:r>
      <w:r>
        <w:rPr>
          <w:rFonts w:hint="eastAsia" w:ascii="宋体" w:hAnsi="宋体" w:eastAsia="宋体" w:cs="宋体"/>
          <w:color w:val="auto"/>
          <w:sz w:val="21"/>
          <w:szCs w:val="21"/>
        </w:rPr>
        <w:t>的</w:t>
      </w:r>
      <w:r>
        <w:rPr>
          <w:rFonts w:ascii="宋体" w:hAnsi="宋体" w:eastAsia="宋体" w:cs="宋体"/>
          <w:color w:val="auto"/>
          <w:sz w:val="21"/>
          <w:szCs w:val="21"/>
        </w:rPr>
        <w:t>接入；</w:t>
      </w:r>
    </w:p>
    <w:p w14:paraId="661748AD">
      <w:pPr>
        <w:spacing w:line="103" w:lineRule="exact"/>
        <w:jc w:val="both"/>
        <w:rPr>
          <w:rFonts w:ascii="宋体" w:hAnsi="宋体" w:eastAsia="宋体" w:cs="宋体"/>
          <w:color w:val="auto"/>
          <w:sz w:val="21"/>
          <w:szCs w:val="21"/>
        </w:rPr>
      </w:pPr>
    </w:p>
    <w:p w14:paraId="6500A357">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hint="eastAsia" w:ascii="宋体" w:hAnsi="宋体" w:eastAsia="宋体" w:cs="宋体"/>
          <w:color w:val="auto"/>
          <w:sz w:val="21"/>
          <w:szCs w:val="21"/>
        </w:rPr>
        <w:t>场所</w:t>
      </w:r>
      <w:r>
        <w:rPr>
          <w:rFonts w:ascii="宋体" w:hAnsi="宋体" w:eastAsia="宋体" w:cs="宋体"/>
          <w:color w:val="auto"/>
          <w:sz w:val="21"/>
          <w:szCs w:val="21"/>
        </w:rPr>
        <w:t>应远离明火、高温、潮湿和人员密集场所；</w:t>
      </w:r>
    </w:p>
    <w:p w14:paraId="45942C06">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临近建筑物的电动自行车停放充电场所应远离安全出口、疏散楼梯及设置窗户的外墙</w:t>
      </w:r>
      <w:r>
        <w:rPr>
          <w:rFonts w:hint="eastAsia" w:ascii="宋体" w:hAnsi="宋体" w:eastAsia="宋体" w:cs="宋体"/>
          <w:color w:val="auto"/>
          <w:sz w:val="21"/>
          <w:szCs w:val="21"/>
        </w:rPr>
        <w:t>；</w:t>
      </w:r>
    </w:p>
    <w:p w14:paraId="7239C340">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不应设在</w:t>
      </w:r>
      <w:r>
        <w:rPr>
          <w:rFonts w:hint="eastAsia" w:ascii="宋体" w:hAnsi="宋体" w:eastAsia="宋体" w:cs="宋体"/>
          <w:color w:val="auto"/>
          <w:sz w:val="21"/>
          <w:szCs w:val="21"/>
        </w:rPr>
        <w:t>粉尘</w:t>
      </w:r>
      <w:r>
        <w:rPr>
          <w:rFonts w:ascii="宋体" w:hAnsi="宋体" w:eastAsia="宋体" w:cs="宋体"/>
          <w:color w:val="auto"/>
          <w:sz w:val="21"/>
          <w:szCs w:val="21"/>
        </w:rPr>
        <w:t>、水雾、有腐蚀性和破坏绝缘</w:t>
      </w:r>
      <w:r>
        <w:rPr>
          <w:rFonts w:hint="eastAsia" w:ascii="宋体" w:hAnsi="宋体" w:eastAsia="宋体" w:cs="宋体"/>
          <w:color w:val="auto"/>
          <w:sz w:val="21"/>
          <w:szCs w:val="21"/>
        </w:rPr>
        <w:t>层</w:t>
      </w:r>
      <w:r>
        <w:rPr>
          <w:rFonts w:ascii="宋体" w:hAnsi="宋体" w:eastAsia="宋体" w:cs="宋体"/>
          <w:color w:val="auto"/>
          <w:sz w:val="21"/>
          <w:szCs w:val="21"/>
        </w:rPr>
        <w:t>的有害气体及导电介质的场所，当无法远离时，不应设在污染源</w:t>
      </w:r>
      <w:r>
        <w:rPr>
          <w:rFonts w:hint="eastAsia" w:ascii="宋体" w:hAnsi="宋体" w:eastAsia="宋体" w:cs="宋体"/>
          <w:color w:val="auto"/>
          <w:sz w:val="21"/>
          <w:szCs w:val="21"/>
        </w:rPr>
        <w:t>常年主导</w:t>
      </w:r>
      <w:r>
        <w:rPr>
          <w:rFonts w:ascii="宋体" w:hAnsi="宋体" w:eastAsia="宋体" w:cs="宋体"/>
          <w:color w:val="auto"/>
          <w:sz w:val="21"/>
          <w:szCs w:val="21"/>
        </w:rPr>
        <w:t>风向的下风侧；</w:t>
      </w:r>
    </w:p>
    <w:p w14:paraId="43A61C55">
      <w:pPr>
        <w:spacing w:line="61" w:lineRule="exact"/>
        <w:jc w:val="both"/>
        <w:rPr>
          <w:rFonts w:ascii="宋体" w:hAnsi="宋体" w:eastAsia="宋体" w:cs="宋体"/>
          <w:color w:val="auto"/>
          <w:sz w:val="21"/>
          <w:szCs w:val="21"/>
        </w:rPr>
      </w:pPr>
    </w:p>
    <w:p w14:paraId="4D643186">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不</w:t>
      </w:r>
      <w:r>
        <w:rPr>
          <w:rFonts w:hint="eastAsia" w:ascii="宋体" w:hAnsi="宋体" w:eastAsia="宋体" w:cs="宋体"/>
          <w:color w:val="auto"/>
          <w:sz w:val="21"/>
          <w:szCs w:val="21"/>
        </w:rPr>
        <w:t>应</w:t>
      </w:r>
      <w:r>
        <w:rPr>
          <w:rFonts w:ascii="宋体" w:hAnsi="宋体" w:eastAsia="宋体" w:cs="宋体"/>
          <w:color w:val="auto"/>
          <w:sz w:val="21"/>
          <w:szCs w:val="21"/>
        </w:rPr>
        <w:t>设在有可能积水的场所；不应设在防、排水设施不完善的场所；</w:t>
      </w:r>
    </w:p>
    <w:p w14:paraId="36ACF509">
      <w:pPr>
        <w:spacing w:line="46" w:lineRule="exact"/>
        <w:jc w:val="both"/>
        <w:rPr>
          <w:rFonts w:ascii="宋体" w:hAnsi="宋体" w:eastAsia="宋体" w:cs="宋体"/>
          <w:color w:val="auto"/>
          <w:sz w:val="21"/>
          <w:szCs w:val="21"/>
        </w:rPr>
      </w:pPr>
    </w:p>
    <w:p w14:paraId="1DF79C79">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不应设在有剧烈振动的场所；</w:t>
      </w:r>
    </w:p>
    <w:p w14:paraId="72111E07">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不应靠近有潜在火灾或爆炸危险的区域；当与有爆炸或火灾危险的建筑物毗连时，应符合</w:t>
      </w:r>
      <w:r>
        <w:rPr>
          <w:rFonts w:hint="eastAsia" w:ascii="宋体" w:hAnsi="宋体" w:eastAsia="宋体" w:cs="宋体"/>
          <w:color w:val="auto"/>
          <w:sz w:val="21"/>
          <w:szCs w:val="21"/>
          <w:lang w:eastAsia="zh-CN"/>
        </w:rPr>
        <w:t>《建筑设计防火规范》《建筑防火通用规范》</w:t>
      </w:r>
      <w:r>
        <w:rPr>
          <w:rFonts w:ascii="宋体" w:hAnsi="宋体" w:eastAsia="宋体" w:cs="宋体"/>
          <w:color w:val="auto"/>
          <w:sz w:val="21"/>
          <w:szCs w:val="21"/>
        </w:rPr>
        <w:t>和</w:t>
      </w:r>
      <w:r>
        <w:rPr>
          <w:rFonts w:hint="eastAsia" w:ascii="宋体" w:hAnsi="宋体" w:eastAsia="宋体" w:cs="宋体"/>
          <w:color w:val="auto"/>
          <w:sz w:val="21"/>
          <w:szCs w:val="21"/>
        </w:rPr>
        <w:t>《</w:t>
      </w:r>
      <w:r>
        <w:rPr>
          <w:rFonts w:ascii="宋体" w:hAnsi="宋体" w:eastAsia="宋体" w:cs="宋体"/>
          <w:color w:val="auto"/>
          <w:sz w:val="21"/>
          <w:szCs w:val="21"/>
        </w:rPr>
        <w:t>爆炸危险环境电力装置设计规范</w:t>
      </w:r>
      <w:r>
        <w:rPr>
          <w:rFonts w:hint="eastAsia" w:ascii="宋体" w:hAnsi="宋体" w:eastAsia="宋体" w:cs="宋体"/>
          <w:color w:val="auto"/>
          <w:sz w:val="21"/>
          <w:szCs w:val="21"/>
        </w:rPr>
        <w:t>》</w:t>
      </w:r>
      <w:r>
        <w:rPr>
          <w:rFonts w:ascii="宋体" w:hAnsi="宋体" w:eastAsia="宋体" w:cs="宋体"/>
          <w:color w:val="auto"/>
          <w:sz w:val="21"/>
          <w:szCs w:val="21"/>
        </w:rPr>
        <w:t>的规定；</w:t>
      </w:r>
    </w:p>
    <w:p w14:paraId="1A6A17A2">
      <w:pPr>
        <w:spacing w:line="46" w:lineRule="exact"/>
        <w:jc w:val="both"/>
        <w:rPr>
          <w:rFonts w:ascii="宋体" w:hAnsi="宋体" w:eastAsia="宋体" w:cs="宋体"/>
          <w:color w:val="auto"/>
          <w:sz w:val="21"/>
          <w:szCs w:val="21"/>
        </w:rPr>
      </w:pPr>
    </w:p>
    <w:p w14:paraId="6714F47D">
      <w:pPr>
        <w:numPr>
          <w:ilvl w:val="1"/>
          <w:numId w:val="1"/>
        </w:numPr>
        <w:tabs>
          <w:tab w:val="left" w:pos="844"/>
        </w:tabs>
        <w:spacing w:line="297"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不应与火灾危险性为甲、乙类的厂房、仓库贴邻建造，其防火间距的设置应符合</w:t>
      </w:r>
      <w:r>
        <w:rPr>
          <w:rFonts w:hint="eastAsia" w:ascii="宋体" w:hAnsi="宋体" w:eastAsia="宋体" w:cs="宋体"/>
          <w:color w:val="auto"/>
          <w:sz w:val="21"/>
          <w:szCs w:val="21"/>
          <w:lang w:eastAsia="zh-CN"/>
        </w:rPr>
        <w:t>《建筑设计防火规范》《建筑防火通用规范》</w:t>
      </w:r>
      <w:r>
        <w:rPr>
          <w:rFonts w:ascii="宋体" w:hAnsi="宋体" w:eastAsia="宋体" w:cs="宋体"/>
          <w:color w:val="auto"/>
          <w:sz w:val="21"/>
          <w:szCs w:val="21"/>
        </w:rPr>
        <w:t>的规定；不应建设在修车库内，以及甲、乙类物品运输车的汽车库、停车场内；不应在场所内设置车辆或电池的拆解与焊接和组装等维修作业；</w:t>
      </w:r>
    </w:p>
    <w:p w14:paraId="00389C1E">
      <w:pPr>
        <w:spacing w:line="16" w:lineRule="exact"/>
        <w:jc w:val="both"/>
        <w:rPr>
          <w:rFonts w:ascii="宋体" w:hAnsi="宋体" w:eastAsia="宋体" w:cs="宋体"/>
          <w:color w:val="auto"/>
          <w:sz w:val="21"/>
          <w:szCs w:val="21"/>
        </w:rPr>
      </w:pPr>
    </w:p>
    <w:p w14:paraId="48C28B75">
      <w:pPr>
        <w:numPr>
          <w:ilvl w:val="1"/>
          <w:numId w:val="1"/>
        </w:numPr>
        <w:tabs>
          <w:tab w:val="left" w:pos="844"/>
        </w:tabs>
        <w:spacing w:line="239" w:lineRule="auto"/>
        <w:ind w:left="844" w:hanging="424"/>
        <w:jc w:val="both"/>
        <w:rPr>
          <w:rFonts w:ascii="宋体" w:hAnsi="宋体" w:eastAsia="宋体" w:cs="宋体"/>
          <w:color w:val="auto"/>
          <w:sz w:val="21"/>
          <w:szCs w:val="21"/>
        </w:rPr>
      </w:pPr>
      <w:r>
        <w:rPr>
          <w:rFonts w:ascii="宋体" w:hAnsi="宋体" w:eastAsia="宋体" w:cs="宋体"/>
          <w:color w:val="auto"/>
          <w:sz w:val="21"/>
          <w:szCs w:val="21"/>
        </w:rPr>
        <w:t>不应设在上方可能有落物或因管道破裂泄漏液体的区域</w:t>
      </w:r>
      <w:r>
        <w:rPr>
          <w:rFonts w:hint="eastAsia" w:ascii="宋体" w:hAnsi="宋体" w:eastAsia="宋体" w:cs="宋体"/>
          <w:color w:val="auto"/>
          <w:sz w:val="21"/>
          <w:szCs w:val="21"/>
        </w:rPr>
        <w:t>。</w:t>
      </w:r>
    </w:p>
    <w:p w14:paraId="7CD7665E">
      <w:pPr>
        <w:spacing w:line="73" w:lineRule="exact"/>
        <w:jc w:val="both"/>
        <w:rPr>
          <w:rFonts w:ascii="宋体" w:hAnsi="宋体" w:eastAsia="宋体" w:cs="宋体"/>
          <w:color w:val="auto"/>
          <w:sz w:val="21"/>
          <w:szCs w:val="21"/>
        </w:rPr>
      </w:pPr>
    </w:p>
    <w:p w14:paraId="369DEA1F">
      <w:pPr>
        <w:spacing w:line="103" w:lineRule="exact"/>
        <w:jc w:val="both"/>
        <w:rPr>
          <w:rFonts w:ascii="宋体" w:hAnsi="宋体" w:eastAsia="宋体" w:cs="宋体"/>
          <w:color w:val="auto"/>
          <w:sz w:val="21"/>
          <w:szCs w:val="21"/>
        </w:rPr>
      </w:pPr>
    </w:p>
    <w:p w14:paraId="6795AFFF">
      <w:pPr>
        <w:numPr>
          <w:ilvl w:val="0"/>
          <w:numId w:val="1"/>
        </w:numPr>
        <w:tabs>
          <w:tab w:val="left" w:pos="530"/>
        </w:tabs>
        <w:spacing w:line="282" w:lineRule="auto"/>
        <w:ind w:left="4" w:right="20" w:hanging="4"/>
        <w:jc w:val="both"/>
        <w:rPr>
          <w:rFonts w:ascii="黑体" w:hAnsi="黑体" w:eastAsia="黑体" w:cs="黑体"/>
          <w:color w:val="auto"/>
          <w:sz w:val="21"/>
          <w:szCs w:val="21"/>
        </w:rPr>
      </w:pPr>
      <w:r>
        <w:rPr>
          <w:rFonts w:ascii="宋体" w:hAnsi="宋体" w:eastAsia="宋体" w:cs="宋体"/>
          <w:color w:val="auto"/>
          <w:sz w:val="21"/>
          <w:szCs w:val="21"/>
        </w:rPr>
        <w:t>电动自行车停放充电场所不应占用</w:t>
      </w:r>
      <w:r>
        <w:rPr>
          <w:rFonts w:hint="eastAsia" w:ascii="宋体" w:hAnsi="宋体" w:eastAsia="宋体" w:cs="宋体"/>
          <w:color w:val="auto"/>
          <w:sz w:val="21"/>
          <w:szCs w:val="21"/>
        </w:rPr>
        <w:t>防火间距、</w:t>
      </w:r>
      <w:r>
        <w:rPr>
          <w:rFonts w:ascii="宋体" w:hAnsi="宋体" w:eastAsia="宋体" w:cs="宋体"/>
          <w:color w:val="auto"/>
          <w:sz w:val="21"/>
          <w:szCs w:val="21"/>
        </w:rPr>
        <w:t>消防车道、消防车登高操作场地；不应妨碍消防车通行、堵塞安全出口和疏散通道；不应影响室外消防设施救援通道的正常使用。</w:t>
      </w:r>
    </w:p>
    <w:p w14:paraId="24D98A91">
      <w:pPr>
        <w:spacing w:line="31" w:lineRule="exact"/>
        <w:jc w:val="both"/>
        <w:rPr>
          <w:rFonts w:ascii="黑体" w:hAnsi="黑体" w:eastAsia="黑体" w:cs="黑体"/>
          <w:color w:val="auto"/>
          <w:sz w:val="21"/>
          <w:szCs w:val="21"/>
        </w:rPr>
      </w:pPr>
    </w:p>
    <w:p w14:paraId="421B8343">
      <w:pPr>
        <w:numPr>
          <w:ilvl w:val="0"/>
          <w:numId w:val="1"/>
        </w:numPr>
        <w:tabs>
          <w:tab w:val="left" w:pos="524"/>
        </w:tabs>
        <w:spacing w:line="239" w:lineRule="auto"/>
        <w:ind w:left="524" w:hanging="524"/>
        <w:jc w:val="both"/>
        <w:rPr>
          <w:rFonts w:ascii="黑体" w:hAnsi="黑体" w:eastAsia="黑体" w:cs="黑体"/>
          <w:color w:val="auto"/>
          <w:sz w:val="21"/>
          <w:szCs w:val="21"/>
        </w:rPr>
      </w:pPr>
      <w:r>
        <w:rPr>
          <w:rFonts w:ascii="宋体" w:hAnsi="宋体" w:eastAsia="宋体" w:cs="宋体"/>
          <w:color w:val="auto"/>
          <w:sz w:val="21"/>
          <w:szCs w:val="21"/>
        </w:rPr>
        <w:t>电动自行车停放充电场所应釆取防雷、防风、防雨、排水等措施，且不应影响人员安全疏散。</w:t>
      </w:r>
    </w:p>
    <w:p w14:paraId="1F6C0B13">
      <w:pPr>
        <w:spacing w:line="103" w:lineRule="exact"/>
        <w:jc w:val="both"/>
        <w:rPr>
          <w:rFonts w:ascii="黑体" w:hAnsi="黑体" w:eastAsia="黑体" w:cs="黑体"/>
          <w:color w:val="auto"/>
          <w:sz w:val="21"/>
          <w:szCs w:val="21"/>
        </w:rPr>
      </w:pPr>
    </w:p>
    <w:p w14:paraId="79AC8E16">
      <w:pPr>
        <w:numPr>
          <w:ilvl w:val="0"/>
          <w:numId w:val="1"/>
        </w:numPr>
        <w:tabs>
          <w:tab w:val="left" w:pos="530"/>
        </w:tabs>
        <w:spacing w:line="297" w:lineRule="auto"/>
        <w:ind w:left="4" w:right="20" w:hanging="4"/>
        <w:jc w:val="both"/>
        <w:rPr>
          <w:rFonts w:ascii="黑体" w:hAnsi="黑体" w:eastAsia="黑体" w:cs="黑体"/>
          <w:color w:val="auto"/>
          <w:sz w:val="21"/>
          <w:szCs w:val="21"/>
        </w:rPr>
      </w:pPr>
      <w:r>
        <w:rPr>
          <w:rFonts w:ascii="宋体" w:hAnsi="宋体" w:eastAsia="宋体" w:cs="宋体"/>
          <w:color w:val="auto"/>
          <w:sz w:val="21"/>
          <w:szCs w:val="21"/>
        </w:rPr>
        <w:t>建筑外电动自行车停车场与其他建筑物之间</w:t>
      </w:r>
      <w:r>
        <w:rPr>
          <w:rFonts w:hint="eastAsia" w:ascii="宋体" w:hAnsi="宋体" w:eastAsia="宋体" w:cs="宋体"/>
          <w:color w:val="auto"/>
          <w:sz w:val="21"/>
          <w:szCs w:val="21"/>
          <w:lang w:eastAsia="zh-CN"/>
        </w:rPr>
        <w:t>防火间距</w:t>
      </w:r>
      <w:r>
        <w:rPr>
          <w:rFonts w:ascii="宋体" w:hAnsi="宋体" w:eastAsia="宋体" w:cs="宋体"/>
          <w:color w:val="auto"/>
          <w:sz w:val="21"/>
          <w:szCs w:val="21"/>
        </w:rPr>
        <w:t>不应小于6m，地上电动自行车停车库与其他多层民用建筑物之间的防火间距不应小于6m；</w:t>
      </w:r>
      <w:r>
        <w:rPr>
          <w:rFonts w:hint="eastAsia" w:ascii="宋体" w:hAnsi="宋体" w:eastAsia="宋体" w:cs="宋体"/>
          <w:color w:val="auto"/>
          <w:sz w:val="21"/>
          <w:szCs w:val="21"/>
        </w:rPr>
        <w:t>与多层老旧住宅小区之间的防火间距不应小于4m；</w:t>
      </w:r>
      <w:r>
        <w:rPr>
          <w:rFonts w:ascii="宋体" w:hAnsi="宋体" w:eastAsia="宋体" w:cs="宋体"/>
          <w:color w:val="auto"/>
          <w:sz w:val="21"/>
          <w:szCs w:val="21"/>
        </w:rPr>
        <w:t>与其他高层民用建筑物之间的距离不应小于9m；与</w:t>
      </w:r>
      <w:r>
        <w:rPr>
          <w:rFonts w:hint="eastAsia" w:ascii="宋体" w:hAnsi="宋体" w:eastAsia="宋体" w:cs="宋体"/>
          <w:color w:val="auto"/>
          <w:sz w:val="21"/>
          <w:szCs w:val="21"/>
        </w:rPr>
        <w:t>丙类</w:t>
      </w:r>
      <w:r>
        <w:rPr>
          <w:rFonts w:ascii="宋体" w:hAnsi="宋体" w:eastAsia="宋体" w:cs="宋体"/>
          <w:color w:val="auto"/>
          <w:sz w:val="21"/>
          <w:szCs w:val="21"/>
        </w:rPr>
        <w:t>厂房、仓库之间的</w:t>
      </w:r>
      <w:r>
        <w:rPr>
          <w:rFonts w:hint="eastAsia" w:ascii="宋体" w:hAnsi="宋体" w:eastAsia="宋体" w:cs="宋体"/>
          <w:color w:val="auto"/>
          <w:sz w:val="21"/>
          <w:szCs w:val="21"/>
          <w:lang w:eastAsia="zh-CN"/>
        </w:rPr>
        <w:t>防火间距</w:t>
      </w:r>
      <w:r>
        <w:rPr>
          <w:rFonts w:ascii="宋体" w:hAnsi="宋体" w:eastAsia="宋体" w:cs="宋体"/>
          <w:color w:val="auto"/>
          <w:sz w:val="21"/>
          <w:szCs w:val="21"/>
        </w:rPr>
        <w:t>不应小于</w:t>
      </w:r>
      <w:r>
        <w:rPr>
          <w:rFonts w:hint="eastAsia" w:ascii="宋体" w:hAnsi="宋体" w:eastAsia="宋体" w:cs="宋体"/>
          <w:color w:val="auto"/>
          <w:sz w:val="21"/>
          <w:szCs w:val="21"/>
        </w:rPr>
        <w:t>10</w:t>
      </w:r>
      <w:r>
        <w:rPr>
          <w:rFonts w:ascii="宋体" w:hAnsi="宋体" w:eastAsia="宋体" w:cs="宋体"/>
          <w:color w:val="auto"/>
          <w:sz w:val="21"/>
          <w:szCs w:val="21"/>
        </w:rPr>
        <w:t>m。</w:t>
      </w:r>
    </w:p>
    <w:p w14:paraId="7EA22D0D">
      <w:pPr>
        <w:numPr>
          <w:ilvl w:val="0"/>
          <w:numId w:val="1"/>
        </w:numPr>
        <w:tabs>
          <w:tab w:val="left" w:pos="530"/>
        </w:tabs>
        <w:spacing w:line="297" w:lineRule="auto"/>
        <w:ind w:left="4" w:right="20" w:hanging="4"/>
        <w:jc w:val="both"/>
        <w:rPr>
          <w:rFonts w:ascii="黑体" w:hAnsi="黑体" w:eastAsia="黑体" w:cs="黑体"/>
          <w:color w:val="auto"/>
          <w:sz w:val="21"/>
          <w:szCs w:val="21"/>
        </w:rPr>
      </w:pPr>
      <w:r>
        <w:rPr>
          <w:rFonts w:ascii="宋体" w:hAnsi="宋体" w:eastAsia="宋体" w:cs="宋体"/>
          <w:color w:val="auto"/>
          <w:sz w:val="21"/>
          <w:szCs w:val="21"/>
        </w:rPr>
        <w:t>建筑外电动自行车停放充电车场不应与托儿所、幼儿园及其活动场所，老年人照料设施及其活动场所，学校教学楼及其集体宿舍，医院病房楼、门诊楼贴邻建设，且其防火间距的设置应符合</w:t>
      </w:r>
      <w:r>
        <w:rPr>
          <w:rFonts w:hint="eastAsia" w:ascii="宋体" w:hAnsi="宋体" w:eastAsia="宋体" w:cs="宋体"/>
          <w:color w:val="auto"/>
          <w:sz w:val="21"/>
          <w:szCs w:val="21"/>
          <w:lang w:eastAsia="zh-CN"/>
        </w:rPr>
        <w:t>《建筑设计防火规范》《建筑防火通用规范》</w:t>
      </w:r>
      <w:r>
        <w:rPr>
          <w:rFonts w:ascii="宋体" w:hAnsi="宋体" w:eastAsia="宋体" w:cs="宋体"/>
          <w:color w:val="auto"/>
          <w:sz w:val="21"/>
          <w:szCs w:val="21"/>
        </w:rPr>
        <w:t>的规定</w:t>
      </w:r>
      <w:r>
        <w:rPr>
          <w:rFonts w:hint="eastAsia" w:ascii="宋体" w:hAnsi="宋体" w:eastAsia="宋体" w:cs="宋体"/>
          <w:color w:val="auto"/>
          <w:sz w:val="21"/>
          <w:szCs w:val="21"/>
        </w:rPr>
        <w:t>。</w:t>
      </w:r>
    </w:p>
    <w:p w14:paraId="69D6A5B9">
      <w:pPr>
        <w:spacing w:line="46" w:lineRule="exact"/>
        <w:jc w:val="both"/>
        <w:rPr>
          <w:rFonts w:ascii="黑体" w:hAnsi="黑体" w:eastAsia="黑体" w:cs="黑体"/>
          <w:color w:val="auto"/>
          <w:sz w:val="21"/>
          <w:szCs w:val="21"/>
        </w:rPr>
      </w:pPr>
    </w:p>
    <w:p w14:paraId="5D99A9CC">
      <w:pPr>
        <w:tabs>
          <w:tab w:val="left" w:pos="303"/>
        </w:tabs>
        <w:ind w:left="4"/>
        <w:jc w:val="both"/>
        <w:rPr>
          <w:rFonts w:ascii="黑体" w:hAnsi="黑体" w:eastAsia="黑体" w:cs="黑体"/>
          <w:color w:val="auto"/>
          <w:sz w:val="21"/>
          <w:szCs w:val="21"/>
        </w:rPr>
      </w:pPr>
    </w:p>
    <w:p w14:paraId="22366AA0">
      <w:pPr>
        <w:tabs>
          <w:tab w:val="left" w:pos="303"/>
        </w:tabs>
        <w:ind w:left="4"/>
        <w:jc w:val="both"/>
        <w:rPr>
          <w:rFonts w:ascii="黑体" w:hAnsi="黑体" w:eastAsia="黑体" w:cs="黑体"/>
          <w:color w:val="auto"/>
          <w:sz w:val="21"/>
          <w:szCs w:val="21"/>
        </w:rPr>
      </w:pPr>
      <w:r>
        <w:rPr>
          <w:rFonts w:ascii="黑体" w:hAnsi="黑体" w:eastAsia="黑体" w:cs="黑体"/>
          <w:color w:val="auto"/>
          <w:sz w:val="21"/>
          <w:szCs w:val="21"/>
        </w:rPr>
        <w:t>5</w:t>
      </w:r>
      <w:r>
        <w:rPr>
          <w:rFonts w:ascii="黑体" w:hAnsi="黑体" w:eastAsia="黑体" w:cs="黑体"/>
          <w:color w:val="auto"/>
          <w:sz w:val="21"/>
          <w:szCs w:val="21"/>
        </w:rPr>
        <w:tab/>
      </w:r>
      <w:r>
        <w:rPr>
          <w:rFonts w:hint="eastAsia" w:ascii="黑体" w:hAnsi="黑体" w:eastAsia="黑体" w:cs="黑体"/>
          <w:color w:val="auto"/>
          <w:sz w:val="21"/>
          <w:szCs w:val="21"/>
        </w:rPr>
        <w:t>建筑</w:t>
      </w:r>
      <w:r>
        <w:rPr>
          <w:rFonts w:ascii="黑体" w:hAnsi="黑体" w:eastAsia="黑体" w:cs="黑体"/>
          <w:color w:val="auto"/>
          <w:sz w:val="21"/>
          <w:szCs w:val="21"/>
        </w:rPr>
        <w:t>平面布置</w:t>
      </w:r>
      <w:r>
        <w:rPr>
          <w:rFonts w:hint="eastAsia" w:ascii="黑体" w:hAnsi="黑体" w:eastAsia="黑体" w:cs="黑体"/>
          <w:color w:val="auto"/>
          <w:sz w:val="21"/>
          <w:szCs w:val="21"/>
        </w:rPr>
        <w:t>与防火分隔</w:t>
      </w:r>
    </w:p>
    <w:p w14:paraId="5ECFCA79">
      <w:pPr>
        <w:spacing w:line="282" w:lineRule="auto"/>
        <w:ind w:left="4" w:right="20"/>
        <w:jc w:val="both"/>
        <w:rPr>
          <w:rFonts w:ascii="黑体" w:hAnsi="黑体" w:eastAsia="黑体" w:cs="黑体"/>
          <w:color w:val="auto"/>
          <w:sz w:val="21"/>
          <w:szCs w:val="21"/>
        </w:rPr>
      </w:pPr>
    </w:p>
    <w:p w14:paraId="5452FFD2">
      <w:pPr>
        <w:spacing w:line="282" w:lineRule="auto"/>
        <w:ind w:left="4" w:right="20"/>
        <w:jc w:val="both"/>
        <w:rPr>
          <w:color w:val="auto"/>
          <w:sz w:val="20"/>
          <w:szCs w:val="20"/>
        </w:rPr>
      </w:pPr>
      <w:r>
        <w:rPr>
          <w:rFonts w:ascii="黑体" w:hAnsi="黑体" w:eastAsia="黑体" w:cs="黑体"/>
          <w:color w:val="auto"/>
          <w:sz w:val="21"/>
          <w:szCs w:val="21"/>
        </w:rPr>
        <w:t xml:space="preserve">5.1 </w:t>
      </w:r>
      <w:r>
        <w:rPr>
          <w:rFonts w:hint="eastAsia" w:ascii="黑体" w:hAnsi="黑体" w:eastAsia="黑体" w:cs="黑体"/>
          <w:color w:val="auto"/>
          <w:sz w:val="21"/>
          <w:szCs w:val="21"/>
          <w:lang w:val="en-US" w:eastAsia="zh-CN"/>
        </w:rPr>
        <w:t xml:space="preserve"> </w:t>
      </w:r>
      <w:r>
        <w:rPr>
          <w:rFonts w:ascii="宋体" w:hAnsi="宋体" w:eastAsia="宋体" w:cs="宋体"/>
          <w:color w:val="auto"/>
          <w:sz w:val="21"/>
          <w:szCs w:val="21"/>
        </w:rPr>
        <w:t>电动自行车停放充电场所宜设置在建筑外，</w:t>
      </w:r>
      <w:r>
        <w:rPr>
          <w:rFonts w:hint="eastAsia" w:ascii="宋体" w:hAnsi="宋体" w:eastAsia="宋体" w:cs="宋体"/>
          <w:color w:val="auto"/>
          <w:sz w:val="21"/>
          <w:szCs w:val="21"/>
        </w:rPr>
        <w:t>新建、扩建、改建</w:t>
      </w:r>
      <w:r>
        <w:rPr>
          <w:rFonts w:ascii="宋体" w:hAnsi="宋体" w:eastAsia="宋体" w:cs="宋体"/>
          <w:color w:val="auto"/>
          <w:sz w:val="21"/>
          <w:szCs w:val="21"/>
        </w:rPr>
        <w:t>公共场所和公共建筑的电动自行车停放场所应设置在建筑外。</w:t>
      </w:r>
    </w:p>
    <w:p w14:paraId="6C931383">
      <w:pPr>
        <w:numPr>
          <w:ilvl w:val="0"/>
          <w:numId w:val="0"/>
        </w:numPr>
        <w:tabs>
          <w:tab w:val="left" w:pos="533"/>
        </w:tabs>
        <w:spacing w:line="297" w:lineRule="auto"/>
        <w:jc w:val="both"/>
        <w:rPr>
          <w:rFonts w:ascii="黑体" w:hAnsi="黑体" w:eastAsia="黑体" w:cs="黑体"/>
          <w:color w:val="auto"/>
          <w:sz w:val="21"/>
          <w:szCs w:val="21"/>
        </w:rPr>
      </w:pPr>
      <w:bookmarkStart w:id="10" w:name="page10"/>
      <w:bookmarkEnd w:id="10"/>
      <w:r>
        <w:rPr>
          <w:rFonts w:hint="eastAsia" w:ascii="黑体" w:hAnsi="黑体" w:eastAsia="黑体" w:cs="黑体"/>
          <w:b w:val="0"/>
          <w:bCs w:val="0"/>
          <w:color w:val="auto"/>
          <w:sz w:val="21"/>
          <w:szCs w:val="21"/>
          <w:lang w:val="en-US" w:eastAsia="zh-CN"/>
        </w:rPr>
        <w:t xml:space="preserve">5.2  </w:t>
      </w:r>
      <w:r>
        <w:rPr>
          <w:rFonts w:ascii="宋体" w:hAnsi="宋体" w:eastAsia="宋体" w:cs="宋体"/>
          <w:color w:val="auto"/>
          <w:sz w:val="21"/>
          <w:szCs w:val="21"/>
        </w:rPr>
        <w:t>电动自行车停放充电场所设置在建筑内时，应</w:t>
      </w:r>
      <w:r>
        <w:rPr>
          <w:rFonts w:hint="eastAsia" w:ascii="宋体" w:hAnsi="宋体" w:eastAsia="宋体" w:cs="宋体"/>
          <w:color w:val="auto"/>
          <w:sz w:val="21"/>
          <w:szCs w:val="21"/>
        </w:rPr>
        <w:t>布置</w:t>
      </w:r>
      <w:r>
        <w:rPr>
          <w:rFonts w:ascii="宋体" w:hAnsi="宋体" w:eastAsia="宋体" w:cs="宋体"/>
          <w:color w:val="auto"/>
          <w:sz w:val="21"/>
          <w:szCs w:val="21"/>
        </w:rPr>
        <w:t>在建筑首层、半地下层或地下一层，并宜靠外墙布置，不应</w:t>
      </w:r>
      <w:r>
        <w:rPr>
          <w:rFonts w:hint="eastAsia" w:ascii="宋体" w:hAnsi="宋体" w:eastAsia="宋体" w:cs="宋体"/>
          <w:color w:val="auto"/>
          <w:sz w:val="21"/>
          <w:szCs w:val="21"/>
        </w:rPr>
        <w:t>布置</w:t>
      </w:r>
      <w:r>
        <w:rPr>
          <w:rFonts w:ascii="宋体" w:hAnsi="宋体" w:eastAsia="宋体" w:cs="宋体"/>
          <w:color w:val="auto"/>
          <w:sz w:val="21"/>
          <w:szCs w:val="21"/>
        </w:rPr>
        <w:t>在</w:t>
      </w:r>
      <w:r>
        <w:rPr>
          <w:rFonts w:hint="eastAsia" w:ascii="宋体" w:hAnsi="宋体" w:eastAsia="宋体" w:cs="宋体"/>
          <w:color w:val="auto"/>
          <w:sz w:val="21"/>
          <w:szCs w:val="21"/>
          <w:lang w:eastAsia="zh-CN"/>
        </w:rPr>
        <w:t>地下二层</w:t>
      </w:r>
      <w:r>
        <w:rPr>
          <w:rFonts w:ascii="宋体" w:hAnsi="宋体" w:eastAsia="宋体" w:cs="宋体"/>
          <w:color w:val="auto"/>
          <w:sz w:val="21"/>
          <w:szCs w:val="21"/>
        </w:rPr>
        <w:t>及其他楼层</w:t>
      </w:r>
      <w:r>
        <w:rPr>
          <w:rFonts w:hint="eastAsia" w:ascii="宋体" w:hAnsi="宋体" w:eastAsia="宋体" w:cs="宋体"/>
          <w:color w:val="auto"/>
          <w:sz w:val="21"/>
          <w:szCs w:val="21"/>
        </w:rPr>
        <w:t>并且不应布置在人员密集场所的上一层、下一层或贴邻</w:t>
      </w:r>
      <w:r>
        <w:rPr>
          <w:rFonts w:ascii="宋体" w:hAnsi="宋体" w:eastAsia="宋体" w:cs="宋体"/>
          <w:color w:val="auto"/>
          <w:sz w:val="21"/>
          <w:szCs w:val="21"/>
        </w:rPr>
        <w:t>，且应设置火灾自动报警系统、</w:t>
      </w:r>
      <w:r>
        <w:rPr>
          <w:rFonts w:hint="eastAsia" w:ascii="宋体" w:hAnsi="宋体" w:eastAsia="宋体" w:cs="宋体"/>
          <w:color w:val="auto"/>
          <w:sz w:val="21"/>
          <w:szCs w:val="21"/>
        </w:rPr>
        <w:t>防烟</w:t>
      </w:r>
      <w:r>
        <w:rPr>
          <w:rFonts w:ascii="宋体" w:hAnsi="宋体" w:eastAsia="宋体" w:cs="宋体"/>
          <w:color w:val="auto"/>
          <w:sz w:val="21"/>
          <w:szCs w:val="21"/>
        </w:rPr>
        <w:t>排烟设施、自动喷水灭火系统、消防应急照明和疏散指示系统。</w:t>
      </w:r>
    </w:p>
    <w:p w14:paraId="339AFE68">
      <w:pPr>
        <w:spacing w:line="46" w:lineRule="exact"/>
        <w:jc w:val="both"/>
        <w:rPr>
          <w:rFonts w:ascii="黑体" w:hAnsi="黑体" w:eastAsia="黑体" w:cs="黑体"/>
          <w:color w:val="auto"/>
          <w:sz w:val="21"/>
          <w:szCs w:val="21"/>
        </w:rPr>
      </w:pPr>
    </w:p>
    <w:p w14:paraId="729F49A8">
      <w:pPr>
        <w:numPr>
          <w:ilvl w:val="0"/>
          <w:numId w:val="0"/>
        </w:numPr>
        <w:tabs>
          <w:tab w:val="left" w:pos="533"/>
        </w:tabs>
        <w:spacing w:line="297" w:lineRule="auto"/>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5.3</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附建式电动自行车停放充电车库、独立式电动自行车停放充电车库、敞开式电动自行车停放充电车库、地下电动自行车停放充电车库、半地下电动自行车停放充电车库、建筑外电动自行车停放充电车场应划分专门的集中式充电区域。</w:t>
      </w:r>
    </w:p>
    <w:p w14:paraId="70A37B71">
      <w:pPr>
        <w:spacing w:line="46" w:lineRule="exact"/>
        <w:jc w:val="both"/>
        <w:rPr>
          <w:rFonts w:ascii="黑体" w:hAnsi="黑体" w:eastAsia="黑体" w:cs="黑体"/>
          <w:color w:val="auto"/>
          <w:sz w:val="21"/>
          <w:szCs w:val="21"/>
        </w:rPr>
      </w:pPr>
    </w:p>
    <w:p w14:paraId="615BDC11">
      <w:pPr>
        <w:numPr>
          <w:ilvl w:val="0"/>
          <w:numId w:val="0"/>
        </w:numPr>
        <w:tabs>
          <w:tab w:val="left" w:pos="533"/>
        </w:tabs>
        <w:spacing w:line="297"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5.4</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电动自行车停放充电场所内应分组停放电动自行车，每组长度不应大于</w:t>
      </w:r>
      <w:r>
        <w:rPr>
          <w:rFonts w:hint="eastAsia" w:ascii="宋体" w:hAnsi="宋体" w:eastAsia="宋体" w:cs="宋体"/>
          <w:color w:val="auto"/>
          <w:sz w:val="21"/>
          <w:szCs w:val="21"/>
        </w:rPr>
        <w:t>25</w:t>
      </w:r>
      <w:r>
        <w:rPr>
          <w:rFonts w:ascii="宋体" w:hAnsi="宋体" w:eastAsia="宋体" w:cs="宋体"/>
          <w:color w:val="auto"/>
          <w:sz w:val="21"/>
          <w:szCs w:val="21"/>
        </w:rPr>
        <w:t>m，</w:t>
      </w:r>
      <w:r>
        <w:rPr>
          <w:rFonts w:hint="eastAsia" w:ascii="宋体" w:hAnsi="宋体" w:eastAsia="宋体" w:cs="宋体"/>
          <w:color w:val="auto"/>
          <w:sz w:val="21"/>
          <w:szCs w:val="21"/>
        </w:rPr>
        <w:t>组与组之间应设置间距不小于2</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的隔离带或采用高度不低于1.5</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、耐火极限不低于1.00h的不燃烧体隔墙分隔</w:t>
      </w:r>
      <w:r>
        <w:rPr>
          <w:rFonts w:ascii="宋体" w:hAnsi="宋体" w:eastAsia="宋体" w:cs="宋体"/>
          <w:color w:val="auto"/>
          <w:sz w:val="21"/>
          <w:szCs w:val="21"/>
        </w:rPr>
        <w:t>。</w:t>
      </w:r>
    </w:p>
    <w:p w14:paraId="5A39C002">
      <w:pPr>
        <w:numPr>
          <w:ilvl w:val="0"/>
          <w:numId w:val="0"/>
        </w:numPr>
        <w:tabs>
          <w:tab w:val="left" w:pos="533"/>
        </w:tabs>
        <w:spacing w:line="297"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5.5</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电动自行车停放充电场所内同组电动自行车的车位宽度不宜小于0.8m。</w:t>
      </w:r>
    </w:p>
    <w:p w14:paraId="552E49E1">
      <w:pPr>
        <w:numPr>
          <w:ilvl w:val="0"/>
          <w:numId w:val="0"/>
        </w:numPr>
        <w:tabs>
          <w:tab w:val="left" w:pos="533"/>
        </w:tabs>
        <w:spacing w:line="297" w:lineRule="auto"/>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 xml:space="preserve">5.6 </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充电柜与电动自行车之间</w:t>
      </w:r>
      <w:r>
        <w:rPr>
          <w:rFonts w:hint="eastAsia" w:ascii="宋体" w:hAnsi="宋体" w:eastAsia="宋体" w:cs="宋体"/>
          <w:color w:val="auto"/>
          <w:sz w:val="21"/>
          <w:szCs w:val="21"/>
        </w:rPr>
        <w:t>的间距</w:t>
      </w:r>
      <w:r>
        <w:rPr>
          <w:rFonts w:ascii="宋体" w:hAnsi="宋体" w:eastAsia="宋体" w:cs="宋体"/>
          <w:color w:val="auto"/>
          <w:sz w:val="21"/>
          <w:szCs w:val="21"/>
        </w:rPr>
        <w:t>不宜小于2m，充电柜应设置泄压孔，泄压孔不应</w:t>
      </w:r>
      <w:r>
        <w:rPr>
          <w:rFonts w:hint="eastAsia" w:ascii="宋体" w:hAnsi="宋体" w:eastAsia="宋体" w:cs="宋体"/>
          <w:color w:val="auto"/>
          <w:sz w:val="21"/>
          <w:szCs w:val="21"/>
        </w:rPr>
        <w:t>正对</w:t>
      </w:r>
      <w:r>
        <w:rPr>
          <w:rFonts w:ascii="宋体" w:hAnsi="宋体" w:eastAsia="宋体" w:cs="宋体"/>
          <w:color w:val="auto"/>
          <w:sz w:val="21"/>
          <w:szCs w:val="21"/>
        </w:rPr>
        <w:t>通道及停放的车辆。</w:t>
      </w:r>
    </w:p>
    <w:p w14:paraId="03ADBBFB">
      <w:pPr>
        <w:spacing w:line="31" w:lineRule="exact"/>
        <w:jc w:val="both"/>
        <w:rPr>
          <w:rFonts w:ascii="黑体" w:hAnsi="黑体" w:eastAsia="黑体" w:cs="黑体"/>
          <w:color w:val="auto"/>
          <w:sz w:val="21"/>
          <w:szCs w:val="21"/>
        </w:rPr>
      </w:pPr>
    </w:p>
    <w:p w14:paraId="08BFADE8">
      <w:pPr>
        <w:spacing w:line="73" w:lineRule="exact"/>
        <w:jc w:val="both"/>
        <w:rPr>
          <w:rFonts w:ascii="黑体" w:hAnsi="黑体" w:eastAsia="黑体" w:cs="黑体"/>
          <w:color w:val="auto"/>
          <w:sz w:val="21"/>
          <w:szCs w:val="21"/>
        </w:rPr>
      </w:pPr>
    </w:p>
    <w:p w14:paraId="715186DA">
      <w:pPr>
        <w:numPr>
          <w:ilvl w:val="0"/>
          <w:numId w:val="0"/>
        </w:numPr>
        <w:tabs>
          <w:tab w:val="left" w:pos="527"/>
        </w:tabs>
        <w:spacing w:line="239" w:lineRule="auto"/>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5.7</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电动自行车停放充电场所应规范有序，并符合以下要求：</w:t>
      </w:r>
    </w:p>
    <w:p w14:paraId="612E87D6">
      <w:pPr>
        <w:spacing w:line="73" w:lineRule="exact"/>
        <w:jc w:val="both"/>
        <w:rPr>
          <w:rFonts w:ascii="黑体" w:hAnsi="黑体" w:eastAsia="黑体" w:cs="黑体"/>
          <w:color w:val="auto"/>
          <w:sz w:val="21"/>
          <w:szCs w:val="21"/>
        </w:rPr>
      </w:pPr>
    </w:p>
    <w:p w14:paraId="6F3ECE07">
      <w:pPr>
        <w:numPr>
          <w:ilvl w:val="1"/>
          <w:numId w:val="1"/>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应划线规范停车位置和疏散</w:t>
      </w:r>
      <w:r>
        <w:rPr>
          <w:rFonts w:hint="eastAsia" w:ascii="宋体" w:hAnsi="宋体" w:eastAsia="宋体" w:cs="宋体"/>
          <w:color w:val="auto"/>
          <w:sz w:val="21"/>
          <w:szCs w:val="21"/>
          <w:lang w:eastAsia="zh-CN"/>
        </w:rPr>
        <w:t>方向</w:t>
      </w:r>
      <w:r>
        <w:rPr>
          <w:rFonts w:hint="eastAsia" w:ascii="宋体" w:hAnsi="宋体" w:eastAsia="宋体" w:cs="宋体"/>
          <w:color w:val="auto"/>
          <w:sz w:val="21"/>
          <w:szCs w:val="21"/>
        </w:rPr>
        <w:t>；</w:t>
      </w:r>
    </w:p>
    <w:p w14:paraId="2CCEFFE0">
      <w:pPr>
        <w:numPr>
          <w:ilvl w:val="1"/>
          <w:numId w:val="1"/>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充电部位应张贴、悬挂安全警示标志；</w:t>
      </w:r>
    </w:p>
    <w:p w14:paraId="168D08E6">
      <w:pPr>
        <w:numPr>
          <w:ilvl w:val="1"/>
          <w:numId w:val="1"/>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充电设施应釆取防撞保护措施。</w:t>
      </w:r>
    </w:p>
    <w:p w14:paraId="1FE18E59">
      <w:pPr>
        <w:spacing w:line="73" w:lineRule="exact"/>
        <w:jc w:val="both"/>
        <w:rPr>
          <w:rFonts w:ascii="宋体" w:hAnsi="宋体" w:eastAsia="宋体" w:cs="宋体"/>
          <w:color w:val="auto"/>
          <w:sz w:val="21"/>
          <w:szCs w:val="21"/>
        </w:rPr>
      </w:pPr>
    </w:p>
    <w:p w14:paraId="7D7DB01A">
      <w:pPr>
        <w:numPr>
          <w:ilvl w:val="0"/>
          <w:numId w:val="0"/>
        </w:numPr>
        <w:tabs>
          <w:tab w:val="left" w:pos="527"/>
        </w:tabs>
        <w:spacing w:line="239" w:lineRule="auto"/>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5.8</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电动自行车充电设施附近除电动自行车外，不应有其他易燃可燃物品。</w:t>
      </w:r>
    </w:p>
    <w:p w14:paraId="37B46143">
      <w:pPr>
        <w:tabs>
          <w:tab w:val="left" w:pos="527"/>
        </w:tabs>
        <w:spacing w:line="239" w:lineRule="auto"/>
        <w:jc w:val="both"/>
        <w:rPr>
          <w:rFonts w:ascii="黑体" w:hAnsi="黑体" w:eastAsia="黑体" w:cs="黑体"/>
          <w:color w:val="auto"/>
          <w:sz w:val="21"/>
          <w:szCs w:val="21"/>
        </w:rPr>
      </w:pPr>
    </w:p>
    <w:p w14:paraId="75AB346E">
      <w:pPr>
        <w:spacing w:line="387" w:lineRule="exact"/>
        <w:jc w:val="both"/>
        <w:rPr>
          <w:color w:val="auto"/>
          <w:sz w:val="20"/>
          <w:szCs w:val="20"/>
        </w:rPr>
      </w:pPr>
    </w:p>
    <w:p w14:paraId="59C96F60">
      <w:pPr>
        <w:tabs>
          <w:tab w:val="left" w:pos="287"/>
        </w:tabs>
        <w:spacing w:line="239" w:lineRule="auto"/>
        <w:ind w:left="7"/>
        <w:jc w:val="both"/>
        <w:rPr>
          <w:rFonts w:eastAsia="黑体"/>
          <w:color w:val="auto"/>
          <w:sz w:val="20"/>
          <w:szCs w:val="20"/>
        </w:rPr>
      </w:pPr>
      <w:r>
        <w:rPr>
          <w:rFonts w:ascii="黑体" w:hAnsi="黑体" w:eastAsia="黑体" w:cs="黑体"/>
          <w:color w:val="auto"/>
          <w:sz w:val="21"/>
          <w:szCs w:val="21"/>
        </w:rPr>
        <w:t>6</w:t>
      </w:r>
      <w:r>
        <w:rPr>
          <w:color w:val="auto"/>
          <w:sz w:val="20"/>
          <w:szCs w:val="20"/>
        </w:rPr>
        <w:tab/>
      </w:r>
      <w:r>
        <w:rPr>
          <w:rFonts w:ascii="黑体" w:hAnsi="黑体" w:eastAsia="黑体" w:cs="黑体"/>
          <w:color w:val="auto"/>
          <w:sz w:val="21"/>
          <w:szCs w:val="21"/>
        </w:rPr>
        <w:t>建筑构造</w:t>
      </w:r>
      <w:r>
        <w:rPr>
          <w:rFonts w:hint="eastAsia" w:ascii="黑体" w:hAnsi="黑体" w:eastAsia="黑体" w:cs="黑体"/>
          <w:color w:val="auto"/>
          <w:sz w:val="21"/>
          <w:szCs w:val="21"/>
        </w:rPr>
        <w:t>与装修</w:t>
      </w:r>
    </w:p>
    <w:p w14:paraId="15993EEF">
      <w:pPr>
        <w:spacing w:line="383" w:lineRule="exact"/>
        <w:jc w:val="both"/>
        <w:rPr>
          <w:color w:val="auto"/>
          <w:sz w:val="20"/>
          <w:szCs w:val="20"/>
        </w:rPr>
      </w:pPr>
    </w:p>
    <w:p w14:paraId="22DEA0C4">
      <w:pPr>
        <w:numPr>
          <w:ilvl w:val="0"/>
          <w:numId w:val="2"/>
        </w:numPr>
        <w:tabs>
          <w:tab w:val="left" w:pos="527"/>
        </w:tabs>
        <w:spacing w:line="239" w:lineRule="auto"/>
        <w:ind w:left="527" w:hanging="527"/>
        <w:jc w:val="both"/>
        <w:rPr>
          <w:rFonts w:ascii="黑体" w:hAnsi="黑体" w:eastAsia="黑体" w:cs="黑体"/>
          <w:color w:val="auto"/>
          <w:sz w:val="21"/>
          <w:szCs w:val="21"/>
        </w:rPr>
      </w:pPr>
      <w:r>
        <w:rPr>
          <w:rFonts w:ascii="宋体" w:hAnsi="宋体" w:eastAsia="宋体" w:cs="宋体"/>
          <w:color w:val="auto"/>
          <w:sz w:val="21"/>
          <w:szCs w:val="21"/>
        </w:rPr>
        <w:t>设置在建筑内的电动自行车停放充电场所其建筑耐火等级不应低于二级。</w:t>
      </w:r>
    </w:p>
    <w:p w14:paraId="7BE20A1D">
      <w:pPr>
        <w:spacing w:line="103" w:lineRule="exact"/>
        <w:jc w:val="both"/>
        <w:rPr>
          <w:rFonts w:ascii="黑体" w:hAnsi="黑体" w:eastAsia="黑体" w:cs="黑体"/>
          <w:color w:val="auto"/>
          <w:sz w:val="21"/>
          <w:szCs w:val="21"/>
        </w:rPr>
      </w:pPr>
    </w:p>
    <w:p w14:paraId="129970F1">
      <w:pPr>
        <w:numPr>
          <w:ilvl w:val="0"/>
          <w:numId w:val="2"/>
        </w:numPr>
        <w:tabs>
          <w:tab w:val="left" w:pos="533"/>
        </w:tabs>
        <w:spacing w:line="282" w:lineRule="auto"/>
        <w:ind w:left="7" w:hanging="7"/>
        <w:jc w:val="both"/>
        <w:rPr>
          <w:rFonts w:ascii="黑体" w:hAnsi="黑体" w:eastAsia="黑体" w:cs="黑体"/>
          <w:color w:val="auto"/>
          <w:sz w:val="21"/>
          <w:szCs w:val="21"/>
        </w:rPr>
      </w:pPr>
      <w:r>
        <w:rPr>
          <w:rFonts w:hint="eastAsia" w:ascii="宋体" w:hAnsi="宋体" w:eastAsia="宋体" w:cs="宋体"/>
          <w:color w:val="auto"/>
          <w:sz w:val="21"/>
          <w:szCs w:val="21"/>
        </w:rPr>
        <w:t>设置在建筑内的</w:t>
      </w:r>
      <w:r>
        <w:rPr>
          <w:rFonts w:ascii="宋体" w:hAnsi="宋体" w:eastAsia="宋体" w:cs="宋体"/>
          <w:color w:val="auto"/>
          <w:sz w:val="21"/>
          <w:szCs w:val="21"/>
        </w:rPr>
        <w:t>电动自行车停放充电场所，应采用防火墙、甲级防火门、耐火极限不小于1</w:t>
      </w:r>
      <w:r>
        <w:rPr>
          <w:rFonts w:hint="eastAsia" w:ascii="宋体" w:hAnsi="宋体" w:eastAsia="宋体" w:cs="宋体"/>
          <w:color w:val="auto"/>
          <w:sz w:val="21"/>
          <w:szCs w:val="21"/>
        </w:rPr>
        <w:t>.5</w:t>
      </w:r>
      <w:r>
        <w:rPr>
          <w:rFonts w:ascii="宋体" w:hAnsi="宋体" w:eastAsia="宋体" w:cs="宋体"/>
          <w:color w:val="auto"/>
          <w:sz w:val="21"/>
          <w:szCs w:val="21"/>
        </w:rPr>
        <w:t>h 的楼板与建筑其他区域完全</w:t>
      </w:r>
      <w:r>
        <w:rPr>
          <w:rFonts w:hint="eastAsia" w:ascii="宋体" w:hAnsi="宋体" w:eastAsia="宋体" w:cs="宋体"/>
          <w:color w:val="auto"/>
          <w:sz w:val="21"/>
          <w:szCs w:val="21"/>
        </w:rPr>
        <w:t>分隔</w:t>
      </w:r>
      <w:r>
        <w:rPr>
          <w:rFonts w:ascii="宋体" w:hAnsi="宋体" w:eastAsia="宋体" w:cs="宋体"/>
          <w:color w:val="auto"/>
          <w:sz w:val="21"/>
          <w:szCs w:val="21"/>
        </w:rPr>
        <w:t>。</w:t>
      </w:r>
    </w:p>
    <w:p w14:paraId="108CAF27">
      <w:pPr>
        <w:spacing w:line="43" w:lineRule="exact"/>
        <w:jc w:val="both"/>
        <w:rPr>
          <w:rFonts w:ascii="黑体" w:hAnsi="黑体" w:eastAsia="黑体" w:cs="黑体"/>
          <w:color w:val="auto"/>
          <w:sz w:val="21"/>
          <w:szCs w:val="21"/>
        </w:rPr>
      </w:pPr>
    </w:p>
    <w:p w14:paraId="123D012E">
      <w:pPr>
        <w:numPr>
          <w:ilvl w:val="0"/>
          <w:numId w:val="2"/>
        </w:numPr>
        <w:tabs>
          <w:tab w:val="left" w:pos="533"/>
        </w:tabs>
        <w:spacing w:line="297" w:lineRule="auto"/>
        <w:ind w:left="7" w:hanging="7"/>
        <w:jc w:val="both"/>
        <w:rPr>
          <w:rFonts w:ascii="黑体" w:hAnsi="黑体" w:eastAsia="黑体" w:cs="黑体"/>
          <w:color w:val="auto"/>
          <w:sz w:val="21"/>
          <w:szCs w:val="21"/>
        </w:rPr>
      </w:pPr>
      <w:r>
        <w:rPr>
          <w:rFonts w:hint="eastAsia" w:ascii="宋体" w:hAnsi="宋体" w:eastAsia="宋体" w:cs="宋体"/>
          <w:color w:val="auto"/>
          <w:sz w:val="21"/>
          <w:szCs w:val="21"/>
        </w:rPr>
        <w:t>设置在</w:t>
      </w:r>
      <w:r>
        <w:rPr>
          <w:rFonts w:ascii="宋体" w:hAnsi="宋体" w:eastAsia="宋体" w:cs="宋体"/>
          <w:color w:val="auto"/>
          <w:sz w:val="21"/>
          <w:szCs w:val="21"/>
        </w:rPr>
        <w:t>建筑内的电动自行车停放充电场所应设置独立的防火分区</w:t>
      </w:r>
      <w:r>
        <w:rPr>
          <w:rFonts w:hint="eastAsia" w:ascii="宋体" w:hAnsi="宋体" w:eastAsia="宋体" w:cs="宋体"/>
          <w:color w:val="auto"/>
          <w:sz w:val="21"/>
          <w:szCs w:val="21"/>
        </w:rPr>
        <w:t>。设置在地上时，每个防火分区最大允许建筑面积不应大于1000㎡；设置在地下或半地下时，每个防火分区的最大允许建筑面积不应大于500㎡。当设有自动灭火设施时，防火分区最大允许面积可以增加1.0倍。局部设置时，增加面积按该局部面积的1.0倍计算。</w:t>
      </w:r>
    </w:p>
    <w:p w14:paraId="67E0D68F">
      <w:pPr>
        <w:numPr>
          <w:ilvl w:val="0"/>
          <w:numId w:val="2"/>
        </w:numPr>
        <w:tabs>
          <w:tab w:val="left" w:pos="533"/>
        </w:tabs>
        <w:spacing w:line="297" w:lineRule="auto"/>
        <w:ind w:left="7" w:hanging="7"/>
        <w:jc w:val="both"/>
        <w:rPr>
          <w:rFonts w:ascii="黑体" w:hAnsi="黑体" w:eastAsia="黑体" w:cs="黑体"/>
          <w:color w:val="auto"/>
          <w:sz w:val="21"/>
          <w:szCs w:val="21"/>
        </w:rPr>
      </w:pPr>
      <w:r>
        <w:rPr>
          <w:rFonts w:ascii="宋体" w:hAnsi="宋体" w:eastAsia="宋体" w:cs="宋体"/>
          <w:color w:val="auto"/>
          <w:sz w:val="21"/>
          <w:szCs w:val="21"/>
        </w:rPr>
        <w:t>建筑内电动自行车停放充电场所外墙上、下层开口之间应设置高度不小于1.2m 的实体墙或设置耐火极限不低于2</w:t>
      </w:r>
      <w:r>
        <w:rPr>
          <w:rFonts w:hint="eastAsia" w:ascii="宋体" w:hAnsi="宋体" w:eastAsia="宋体" w:cs="宋体"/>
          <w:color w:val="auto"/>
          <w:sz w:val="21"/>
          <w:szCs w:val="21"/>
        </w:rPr>
        <w:t>.0</w:t>
      </w:r>
      <w:r>
        <w:rPr>
          <w:rFonts w:ascii="宋体" w:hAnsi="宋体" w:eastAsia="宋体" w:cs="宋体"/>
          <w:color w:val="auto"/>
          <w:sz w:val="21"/>
          <w:szCs w:val="21"/>
        </w:rPr>
        <w:t>h、宽度不小于1</w:t>
      </w:r>
      <w:r>
        <w:rPr>
          <w:rFonts w:hint="eastAsia" w:ascii="宋体" w:hAnsi="宋体" w:eastAsia="宋体" w:cs="宋体"/>
          <w:color w:val="auto"/>
          <w:sz w:val="21"/>
          <w:szCs w:val="21"/>
        </w:rPr>
        <w:t>.0</w:t>
      </w:r>
      <w:r>
        <w:rPr>
          <w:rFonts w:ascii="宋体" w:hAnsi="宋体" w:eastAsia="宋体" w:cs="宋体"/>
          <w:color w:val="auto"/>
          <w:sz w:val="21"/>
          <w:szCs w:val="21"/>
        </w:rPr>
        <w:t>m、长度不小于开口宽度的不燃性防火挑檐。当建筑内电动自行车充电场所设置自动喷水灭火设施时，上、下层开口之间实体墙高度不应小于0.8m。</w:t>
      </w:r>
    </w:p>
    <w:p w14:paraId="7CEAFE59">
      <w:pPr>
        <w:spacing w:line="29" w:lineRule="exact"/>
        <w:jc w:val="both"/>
        <w:rPr>
          <w:rFonts w:ascii="黑体" w:hAnsi="黑体" w:eastAsia="黑体" w:cs="黑体"/>
          <w:color w:val="auto"/>
          <w:sz w:val="21"/>
          <w:szCs w:val="21"/>
        </w:rPr>
      </w:pPr>
    </w:p>
    <w:p w14:paraId="753BDCC8">
      <w:pPr>
        <w:numPr>
          <w:ilvl w:val="0"/>
          <w:numId w:val="2"/>
        </w:numPr>
        <w:tabs>
          <w:tab w:val="left" w:pos="527"/>
        </w:tabs>
        <w:ind w:left="527" w:hanging="527"/>
        <w:jc w:val="both"/>
        <w:rPr>
          <w:rFonts w:ascii="黑体" w:hAnsi="黑体" w:eastAsia="黑体" w:cs="黑体"/>
          <w:color w:val="auto"/>
          <w:sz w:val="21"/>
          <w:szCs w:val="21"/>
        </w:rPr>
      </w:pPr>
      <w:r>
        <w:rPr>
          <w:rFonts w:ascii="宋体" w:hAnsi="宋体" w:eastAsia="宋体" w:cs="宋体"/>
          <w:color w:val="auto"/>
          <w:sz w:val="21"/>
          <w:szCs w:val="21"/>
        </w:rPr>
        <w:t>独立式电动自行车停放充电场所每个防火分区的</w:t>
      </w:r>
      <w:r>
        <w:rPr>
          <w:rFonts w:hint="eastAsia" w:ascii="宋体" w:hAnsi="宋体" w:eastAsia="宋体" w:cs="宋体"/>
          <w:color w:val="auto"/>
          <w:sz w:val="21"/>
          <w:szCs w:val="21"/>
        </w:rPr>
        <w:t>最大允许建筑</w:t>
      </w:r>
      <w:r>
        <w:rPr>
          <w:rFonts w:ascii="宋体" w:hAnsi="宋体" w:eastAsia="宋体" w:cs="宋体"/>
          <w:color w:val="auto"/>
          <w:sz w:val="21"/>
          <w:szCs w:val="21"/>
        </w:rPr>
        <w:t>面积不应大于1000</w:t>
      </w:r>
      <w:r>
        <w:rPr>
          <w:rFonts w:hint="eastAsia" w:ascii="宋体" w:hAnsi="宋体" w:eastAsia="宋体" w:cs="宋体"/>
          <w:color w:val="auto"/>
          <w:sz w:val="21"/>
          <w:szCs w:val="21"/>
        </w:rPr>
        <w:t>㎡</w:t>
      </w:r>
      <w:r>
        <w:rPr>
          <w:rFonts w:ascii="宋体" w:hAnsi="宋体" w:eastAsia="宋体" w:cs="宋体"/>
          <w:color w:val="auto"/>
          <w:sz w:val="21"/>
          <w:szCs w:val="21"/>
        </w:rPr>
        <w:t>。</w:t>
      </w:r>
    </w:p>
    <w:p w14:paraId="48943053">
      <w:pPr>
        <w:spacing w:line="72" w:lineRule="exact"/>
        <w:jc w:val="both"/>
        <w:rPr>
          <w:rFonts w:ascii="黑体" w:hAnsi="黑体" w:eastAsia="黑体" w:cs="黑体"/>
          <w:color w:val="auto"/>
          <w:sz w:val="21"/>
          <w:szCs w:val="21"/>
        </w:rPr>
      </w:pPr>
    </w:p>
    <w:p w14:paraId="3E1882B3">
      <w:pPr>
        <w:numPr>
          <w:ilvl w:val="0"/>
          <w:numId w:val="2"/>
        </w:numPr>
        <w:tabs>
          <w:tab w:val="left" w:pos="527"/>
        </w:tabs>
        <w:ind w:left="527" w:hanging="527"/>
        <w:jc w:val="both"/>
        <w:rPr>
          <w:rFonts w:ascii="黑体" w:hAnsi="黑体" w:eastAsia="黑体" w:cs="黑体"/>
          <w:color w:val="auto"/>
          <w:sz w:val="21"/>
          <w:szCs w:val="21"/>
        </w:rPr>
      </w:pPr>
      <w:r>
        <w:rPr>
          <w:rFonts w:ascii="宋体" w:hAnsi="宋体" w:eastAsia="宋体" w:cs="宋体"/>
          <w:color w:val="auto"/>
          <w:sz w:val="21"/>
          <w:szCs w:val="21"/>
        </w:rPr>
        <w:t>附建式电动自行车停放充电场所</w:t>
      </w:r>
      <w:r>
        <w:rPr>
          <w:rFonts w:hint="eastAsia" w:ascii="宋体" w:hAnsi="宋体" w:eastAsia="宋体" w:cs="宋体"/>
          <w:color w:val="auto"/>
          <w:sz w:val="21"/>
          <w:szCs w:val="21"/>
        </w:rPr>
        <w:t>每个防火分区的最大允许</w:t>
      </w:r>
      <w:r>
        <w:rPr>
          <w:rFonts w:ascii="宋体" w:hAnsi="宋体" w:eastAsia="宋体" w:cs="宋体"/>
          <w:color w:val="auto"/>
          <w:sz w:val="21"/>
          <w:szCs w:val="21"/>
        </w:rPr>
        <w:t>建筑面积不应</w:t>
      </w:r>
      <w:r>
        <w:rPr>
          <w:rFonts w:hint="eastAsia" w:ascii="宋体" w:hAnsi="宋体" w:eastAsia="宋体" w:cs="宋体"/>
          <w:color w:val="auto"/>
          <w:sz w:val="21"/>
          <w:szCs w:val="21"/>
        </w:rPr>
        <w:t>大于</w:t>
      </w:r>
      <w:r>
        <w:rPr>
          <w:rFonts w:ascii="宋体" w:hAnsi="宋体" w:eastAsia="宋体" w:cs="宋体"/>
          <w:color w:val="auto"/>
          <w:sz w:val="21"/>
          <w:szCs w:val="21"/>
        </w:rPr>
        <w:t>300</w:t>
      </w:r>
      <w:r>
        <w:rPr>
          <w:rFonts w:hint="eastAsia" w:ascii="宋体" w:hAnsi="宋体" w:eastAsia="宋体" w:cs="宋体"/>
          <w:color w:val="auto"/>
          <w:sz w:val="21"/>
          <w:szCs w:val="21"/>
        </w:rPr>
        <w:t>㎡</w:t>
      </w:r>
      <w:r>
        <w:rPr>
          <w:rFonts w:ascii="宋体" w:hAnsi="宋体" w:eastAsia="宋体" w:cs="宋体"/>
          <w:color w:val="auto"/>
          <w:sz w:val="21"/>
          <w:szCs w:val="21"/>
        </w:rPr>
        <w:t>。</w:t>
      </w:r>
    </w:p>
    <w:p w14:paraId="2A473208">
      <w:pPr>
        <w:spacing w:line="89" w:lineRule="exact"/>
        <w:jc w:val="both"/>
        <w:rPr>
          <w:rFonts w:ascii="黑体" w:hAnsi="黑体" w:eastAsia="黑体" w:cs="黑体"/>
          <w:color w:val="auto"/>
          <w:sz w:val="21"/>
          <w:szCs w:val="21"/>
        </w:rPr>
      </w:pPr>
    </w:p>
    <w:p w14:paraId="1CB0EBC2">
      <w:pPr>
        <w:numPr>
          <w:ilvl w:val="0"/>
          <w:numId w:val="2"/>
        </w:numPr>
        <w:tabs>
          <w:tab w:val="left" w:pos="533"/>
        </w:tabs>
        <w:spacing w:line="282" w:lineRule="auto"/>
        <w:ind w:left="7" w:hanging="7"/>
        <w:jc w:val="both"/>
        <w:rPr>
          <w:rFonts w:ascii="黑体" w:hAnsi="黑体" w:eastAsia="黑体" w:cs="黑体"/>
          <w:color w:val="auto"/>
          <w:sz w:val="21"/>
          <w:szCs w:val="21"/>
        </w:rPr>
      </w:pPr>
      <w:r>
        <w:rPr>
          <w:rFonts w:ascii="宋体" w:hAnsi="宋体" w:eastAsia="宋体" w:cs="宋体"/>
          <w:color w:val="auto"/>
          <w:sz w:val="21"/>
          <w:szCs w:val="21"/>
        </w:rPr>
        <w:t>附建式电动自行车停放充电场所应采用耐火极限不低于2</w:t>
      </w:r>
      <w:r>
        <w:rPr>
          <w:rFonts w:hint="eastAsia" w:ascii="宋体" w:hAnsi="宋体" w:eastAsia="宋体" w:cs="宋体"/>
          <w:color w:val="auto"/>
          <w:sz w:val="21"/>
          <w:szCs w:val="21"/>
        </w:rPr>
        <w:t>.0</w:t>
      </w:r>
      <w:r>
        <w:rPr>
          <w:rFonts w:ascii="宋体" w:hAnsi="宋体" w:eastAsia="宋体" w:cs="宋体"/>
          <w:color w:val="auto"/>
          <w:sz w:val="21"/>
          <w:szCs w:val="21"/>
        </w:rPr>
        <w:t>h的防火隔墙和1.5h的不燃性楼板设置为独立的防火单元，并与建筑其他使用空间完全分隔。</w:t>
      </w:r>
    </w:p>
    <w:p w14:paraId="37952D85">
      <w:pPr>
        <w:numPr>
          <w:ilvl w:val="0"/>
          <w:numId w:val="2"/>
        </w:numPr>
        <w:tabs>
          <w:tab w:val="left" w:pos="533"/>
        </w:tabs>
        <w:spacing w:line="282" w:lineRule="auto"/>
        <w:ind w:left="7" w:hanging="7"/>
        <w:jc w:val="both"/>
        <w:rPr>
          <w:rFonts w:ascii="黑体" w:hAnsi="黑体" w:eastAsia="黑体" w:cs="黑体"/>
          <w:color w:val="auto"/>
          <w:sz w:val="21"/>
          <w:szCs w:val="21"/>
        </w:rPr>
      </w:pPr>
      <w:r>
        <w:rPr>
          <w:rFonts w:ascii="宋体" w:hAnsi="宋体" w:eastAsia="宋体" w:cs="宋体"/>
          <w:color w:val="auto"/>
          <w:sz w:val="21"/>
          <w:szCs w:val="21"/>
        </w:rPr>
        <w:t>电动自行车停放充电场所门窗、墙壁、顶板（棚）等装修材料应采用不燃材料。</w:t>
      </w:r>
    </w:p>
    <w:p w14:paraId="6C4EE8F1">
      <w:pPr>
        <w:tabs>
          <w:tab w:val="left" w:pos="533"/>
        </w:tabs>
        <w:spacing w:line="282" w:lineRule="auto"/>
        <w:jc w:val="both"/>
        <w:rPr>
          <w:rFonts w:ascii="宋体" w:hAnsi="宋体" w:eastAsia="宋体" w:cs="宋体"/>
          <w:color w:val="auto"/>
          <w:sz w:val="21"/>
          <w:szCs w:val="21"/>
        </w:rPr>
      </w:pPr>
    </w:p>
    <w:p w14:paraId="01853920">
      <w:pPr>
        <w:tabs>
          <w:tab w:val="left" w:pos="533"/>
        </w:tabs>
        <w:spacing w:line="282" w:lineRule="auto"/>
        <w:jc w:val="both"/>
        <w:rPr>
          <w:rFonts w:ascii="宋体" w:hAnsi="宋体" w:eastAsia="宋体" w:cs="宋体"/>
          <w:color w:val="auto"/>
          <w:sz w:val="21"/>
          <w:szCs w:val="21"/>
        </w:rPr>
      </w:pPr>
    </w:p>
    <w:p w14:paraId="0F65D7A4">
      <w:pPr>
        <w:numPr>
          <w:ilvl w:val="0"/>
          <w:numId w:val="0"/>
        </w:numPr>
        <w:tabs>
          <w:tab w:val="left" w:pos="533"/>
        </w:tabs>
        <w:spacing w:line="282" w:lineRule="auto"/>
        <w:ind w:lef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6.9</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室外电动自行车停放充电场所设置防风雨棚时，防风雨棚不应完全封闭，四周开口部位应均匀布置，开口的面积应大于该停车场四周总面积的25%，开口区域总长度不应小于停车场周长的1/4或一个长边长度。防风雨棚的材料燃烧性能等级不应低于B1级。</w:t>
      </w:r>
    </w:p>
    <w:p w14:paraId="02643798">
      <w:pPr>
        <w:tabs>
          <w:tab w:val="left" w:pos="533"/>
        </w:tabs>
        <w:spacing w:line="282" w:lineRule="auto"/>
        <w:jc w:val="both"/>
        <w:rPr>
          <w:rFonts w:ascii="宋体" w:hAnsi="宋体" w:eastAsia="宋体" w:cs="宋体"/>
          <w:color w:val="auto"/>
          <w:sz w:val="21"/>
          <w:szCs w:val="21"/>
        </w:rPr>
      </w:pPr>
    </w:p>
    <w:p w14:paraId="4D395367">
      <w:pPr>
        <w:spacing w:line="345" w:lineRule="exact"/>
        <w:jc w:val="both"/>
        <w:rPr>
          <w:color w:val="auto"/>
          <w:sz w:val="20"/>
          <w:szCs w:val="20"/>
        </w:rPr>
      </w:pPr>
    </w:p>
    <w:p w14:paraId="65394294">
      <w:pPr>
        <w:tabs>
          <w:tab w:val="left" w:pos="287"/>
        </w:tabs>
        <w:ind w:left="7"/>
        <w:jc w:val="both"/>
        <w:rPr>
          <w:color w:val="auto"/>
          <w:sz w:val="20"/>
          <w:szCs w:val="20"/>
        </w:rPr>
      </w:pPr>
      <w:r>
        <w:rPr>
          <w:rFonts w:ascii="黑体" w:hAnsi="黑体" w:eastAsia="黑体" w:cs="黑体"/>
          <w:color w:val="auto"/>
          <w:sz w:val="21"/>
          <w:szCs w:val="21"/>
        </w:rPr>
        <w:t>7</w:t>
      </w:r>
      <w:r>
        <w:rPr>
          <w:color w:val="auto"/>
          <w:sz w:val="20"/>
          <w:szCs w:val="20"/>
        </w:rPr>
        <w:tab/>
      </w:r>
      <w:r>
        <w:rPr>
          <w:rFonts w:ascii="黑体" w:hAnsi="黑体" w:eastAsia="黑体" w:cs="黑体"/>
          <w:color w:val="auto"/>
          <w:sz w:val="21"/>
          <w:szCs w:val="21"/>
        </w:rPr>
        <w:t>安全疏散</w:t>
      </w:r>
    </w:p>
    <w:p w14:paraId="202C941F">
      <w:pPr>
        <w:spacing w:line="384" w:lineRule="exact"/>
        <w:jc w:val="both"/>
        <w:rPr>
          <w:color w:val="auto"/>
          <w:sz w:val="20"/>
          <w:szCs w:val="20"/>
        </w:rPr>
      </w:pPr>
    </w:p>
    <w:p w14:paraId="3F31F5AF">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7.1</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电动自行车停放充电场所的每个防火分区或一个防火分区的每个楼层的安全出口和疏散门应分散布置，且不应少于2个，两个</w:t>
      </w:r>
      <w:r>
        <w:rPr>
          <w:rFonts w:hint="eastAsia" w:ascii="宋体" w:hAnsi="宋体" w:eastAsia="宋体" w:cs="宋体"/>
          <w:color w:val="auto"/>
          <w:sz w:val="21"/>
          <w:szCs w:val="21"/>
        </w:rPr>
        <w:t>安全出口和</w:t>
      </w:r>
      <w:r>
        <w:rPr>
          <w:rFonts w:ascii="宋体" w:hAnsi="宋体" w:eastAsia="宋体" w:cs="宋体"/>
          <w:color w:val="auto"/>
          <w:sz w:val="21"/>
          <w:szCs w:val="21"/>
        </w:rPr>
        <w:t>疏散门最近边缘之间的水平距离不应小于5m</w:t>
      </w:r>
      <w:r>
        <w:rPr>
          <w:rFonts w:hint="eastAsia" w:ascii="宋体" w:hAnsi="宋体" w:eastAsia="宋体" w:cs="宋体"/>
          <w:color w:val="auto"/>
          <w:sz w:val="21"/>
          <w:szCs w:val="21"/>
        </w:rPr>
        <w:t>。</w:t>
      </w:r>
    </w:p>
    <w:p w14:paraId="5ECFD7A1">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7.2</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电动自行车停放充电场所内任一点至最近人员安全出口的直线距离不应大于30m。</w:t>
      </w:r>
    </w:p>
    <w:p w14:paraId="4D3D5463">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7.3</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疏散门应向疏散方向开启，并应确保人员在火灾时易于从内部打开。</w:t>
      </w:r>
      <w:bookmarkStart w:id="11" w:name="page11"/>
      <w:bookmarkEnd w:id="11"/>
    </w:p>
    <w:p w14:paraId="4C070D91">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7.4</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电动自行车停放充电场所安全出口和疏散门不应直接正对疏散楼梯间，且与疏散楼梯间最近水平距离不宜小于5m</w:t>
      </w:r>
      <w:r>
        <w:rPr>
          <w:rFonts w:hint="eastAsia" w:ascii="宋体" w:hAnsi="宋体" w:eastAsia="宋体" w:cs="宋体"/>
          <w:color w:val="auto"/>
          <w:sz w:val="21"/>
          <w:szCs w:val="21"/>
        </w:rPr>
        <w:t>。</w:t>
      </w:r>
    </w:p>
    <w:p w14:paraId="0DDA3DF8">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7.5</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当有多个防火分区相邻布置时，每个防火分区可利用防火墙上通向相邻防火分区的甲级防火门作为第二安全出口，但建筑内电动自行车停放充电场所的每个防火分区应当至少设置一个独立的安全出口</w:t>
      </w:r>
      <w:r>
        <w:rPr>
          <w:rFonts w:hint="eastAsia" w:ascii="宋体" w:hAnsi="宋体" w:eastAsia="宋体" w:cs="宋体"/>
          <w:color w:val="auto"/>
          <w:sz w:val="21"/>
          <w:szCs w:val="21"/>
        </w:rPr>
        <w:t>。</w:t>
      </w:r>
    </w:p>
    <w:p w14:paraId="440189FF">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7.6</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安全出口不应与建筑其它部分安全出口共用，应设置独立的安全出口，且应与建筑内其它防火分区通过隔墙完全</w:t>
      </w:r>
      <w:r>
        <w:rPr>
          <w:rFonts w:hint="eastAsia" w:ascii="宋体" w:hAnsi="宋体" w:eastAsia="宋体" w:cs="宋体"/>
          <w:color w:val="auto"/>
          <w:sz w:val="21"/>
          <w:szCs w:val="21"/>
        </w:rPr>
        <w:t>分隔</w:t>
      </w:r>
      <w:r>
        <w:rPr>
          <w:rFonts w:ascii="宋体" w:hAnsi="宋体" w:eastAsia="宋体" w:cs="宋体"/>
          <w:color w:val="auto"/>
          <w:sz w:val="21"/>
          <w:szCs w:val="21"/>
        </w:rPr>
        <w:t>。直通室外的安全出口上方应设置挑出宽度不少于1m的防护挑檐</w:t>
      </w:r>
      <w:r>
        <w:rPr>
          <w:rFonts w:hint="eastAsia" w:ascii="宋体" w:hAnsi="宋体" w:eastAsia="宋体" w:cs="宋体"/>
          <w:color w:val="auto"/>
          <w:sz w:val="21"/>
          <w:szCs w:val="21"/>
        </w:rPr>
        <w:t>。</w:t>
      </w:r>
    </w:p>
    <w:p w14:paraId="539D668E">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7.7</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建筑内充电柜设置区域与建筑安全出口距离不应小于6m</w:t>
      </w:r>
      <w:r>
        <w:rPr>
          <w:rFonts w:hint="eastAsia" w:ascii="宋体" w:hAnsi="宋体" w:eastAsia="宋体" w:cs="宋体"/>
          <w:color w:val="auto"/>
          <w:sz w:val="21"/>
          <w:szCs w:val="21"/>
        </w:rPr>
        <w:t>。</w:t>
      </w:r>
    </w:p>
    <w:p w14:paraId="715A569E">
      <w:pPr>
        <w:numPr>
          <w:ilvl w:val="0"/>
          <w:numId w:val="0"/>
        </w:numPr>
        <w:tabs>
          <w:tab w:val="left" w:pos="744"/>
        </w:tabs>
        <w:spacing w:line="282" w:lineRule="auto"/>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7.8</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室外</w:t>
      </w:r>
      <w:r>
        <w:rPr>
          <w:rFonts w:ascii="宋体" w:hAnsi="宋体" w:eastAsia="宋体" w:cs="宋体"/>
          <w:color w:val="auto"/>
          <w:sz w:val="21"/>
          <w:szCs w:val="21"/>
        </w:rPr>
        <w:t>电动自行车停放充电场所</w:t>
      </w:r>
      <w:r>
        <w:rPr>
          <w:rFonts w:hint="eastAsia" w:ascii="宋体" w:hAnsi="宋体" w:eastAsia="宋体" w:cs="宋体"/>
          <w:color w:val="auto"/>
          <w:sz w:val="21"/>
          <w:szCs w:val="21"/>
        </w:rPr>
        <w:t>的停充位数量大于200辆时，停充场出入口应不少于2个，</w:t>
      </w:r>
      <w:r>
        <w:rPr>
          <w:rFonts w:hint="eastAsia" w:ascii="宋体" w:hAnsi="宋体" w:eastAsia="宋体" w:cs="宋体"/>
          <w:color w:val="auto"/>
          <w:sz w:val="21"/>
          <w:szCs w:val="21"/>
          <w:lang w:eastAsia="zh-CN"/>
        </w:rPr>
        <w:t>两个出入口之间的距离不应小于</w:t>
      </w:r>
      <w:r>
        <w:rPr>
          <w:rFonts w:hint="eastAsia" w:ascii="宋体" w:hAnsi="宋体" w:eastAsia="宋体" w:cs="宋体"/>
          <w:color w:val="auto"/>
          <w:sz w:val="21"/>
          <w:szCs w:val="21"/>
          <w:lang w:val="en-US" w:eastAsia="zh-CN"/>
        </w:rPr>
        <w:t>5m，</w:t>
      </w:r>
      <w:r>
        <w:rPr>
          <w:rFonts w:hint="eastAsia" w:ascii="宋体" w:hAnsi="宋体" w:eastAsia="宋体" w:cs="宋体"/>
          <w:color w:val="auto"/>
          <w:sz w:val="21"/>
          <w:szCs w:val="21"/>
        </w:rPr>
        <w:t>出入口净宽度不应小于2</w:t>
      </w:r>
      <w:r>
        <w:rPr>
          <w:rFonts w:hint="eastAsia" w:ascii="宋体" w:hAnsi="宋体" w:eastAsia="宋体" w:cs="宋体"/>
          <w:color w:val="auto"/>
          <w:sz w:val="21"/>
          <w:szCs w:val="21"/>
          <w:lang w:val="en-US" w:eastAsia="zh-CN"/>
        </w:rPr>
        <w:t>m</w:t>
      </w:r>
      <w:r>
        <w:rPr>
          <w:rFonts w:hint="eastAsia" w:ascii="宋体" w:hAnsi="宋体" w:eastAsia="宋体" w:cs="宋体"/>
          <w:color w:val="auto"/>
          <w:sz w:val="21"/>
          <w:szCs w:val="21"/>
        </w:rPr>
        <w:t>。</w:t>
      </w:r>
    </w:p>
    <w:p w14:paraId="610CDF2E">
      <w:pPr>
        <w:spacing w:line="46" w:lineRule="exact"/>
        <w:jc w:val="both"/>
        <w:rPr>
          <w:rFonts w:ascii="黑体" w:hAnsi="黑体" w:eastAsia="黑体" w:cs="黑体"/>
          <w:color w:val="auto"/>
          <w:sz w:val="21"/>
          <w:szCs w:val="21"/>
        </w:rPr>
      </w:pPr>
    </w:p>
    <w:p w14:paraId="0BB7A6AB">
      <w:pPr>
        <w:spacing w:line="387" w:lineRule="exact"/>
        <w:jc w:val="both"/>
        <w:rPr>
          <w:color w:val="auto"/>
          <w:sz w:val="20"/>
          <w:szCs w:val="20"/>
        </w:rPr>
      </w:pPr>
    </w:p>
    <w:p w14:paraId="441BD511">
      <w:pPr>
        <w:spacing w:line="387" w:lineRule="exact"/>
        <w:jc w:val="both"/>
        <w:rPr>
          <w:color w:val="auto"/>
          <w:sz w:val="20"/>
          <w:szCs w:val="20"/>
        </w:rPr>
      </w:pPr>
    </w:p>
    <w:p w14:paraId="7BEE77EA">
      <w:pPr>
        <w:tabs>
          <w:tab w:val="left" w:pos="303"/>
        </w:tabs>
        <w:spacing w:line="239" w:lineRule="auto"/>
        <w:ind w:left="4"/>
        <w:jc w:val="both"/>
        <w:rPr>
          <w:color w:val="auto"/>
          <w:sz w:val="20"/>
          <w:szCs w:val="20"/>
        </w:rPr>
      </w:pPr>
      <w:r>
        <w:rPr>
          <w:rFonts w:ascii="黑体" w:hAnsi="黑体" w:eastAsia="黑体" w:cs="黑体"/>
          <w:color w:val="auto"/>
          <w:sz w:val="21"/>
          <w:szCs w:val="21"/>
        </w:rPr>
        <w:t>8</w:t>
      </w:r>
      <w:r>
        <w:rPr>
          <w:color w:val="auto"/>
          <w:sz w:val="20"/>
          <w:szCs w:val="20"/>
        </w:rPr>
        <w:tab/>
      </w:r>
      <w:r>
        <w:rPr>
          <w:rFonts w:ascii="黑体" w:hAnsi="黑体" w:eastAsia="黑体" w:cs="黑体"/>
          <w:color w:val="auto"/>
          <w:sz w:val="21"/>
          <w:szCs w:val="21"/>
        </w:rPr>
        <w:t>消防设施和器材要求</w:t>
      </w:r>
    </w:p>
    <w:p w14:paraId="5EFE5D0B">
      <w:pPr>
        <w:spacing w:line="385" w:lineRule="exact"/>
        <w:jc w:val="both"/>
        <w:rPr>
          <w:color w:val="auto"/>
          <w:sz w:val="20"/>
          <w:szCs w:val="20"/>
        </w:rPr>
      </w:pPr>
    </w:p>
    <w:p w14:paraId="05196FDA">
      <w:pPr>
        <w:numPr>
          <w:ilvl w:val="0"/>
          <w:numId w:val="0"/>
        </w:numPr>
        <w:tabs>
          <w:tab w:val="left" w:pos="741"/>
        </w:tabs>
        <w:spacing w:line="282" w:lineRule="auto"/>
        <w:ind w:right="2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8.1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电动车停放充电场所应设置室内消火栓，按现行国家消防技术标准不需设室内消火栓的，应设置消防软管卷盘，竖管管径不应小于DN65mm。</w:t>
      </w:r>
    </w:p>
    <w:p w14:paraId="00F5D5F4">
      <w:pPr>
        <w:numPr>
          <w:ilvl w:val="0"/>
          <w:numId w:val="0"/>
        </w:numPr>
        <w:tabs>
          <w:tab w:val="left" w:pos="741"/>
        </w:tabs>
        <w:spacing w:line="282" w:lineRule="auto"/>
        <w:ind w:right="2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8.2</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电动自行车停放充电场所应</w:t>
      </w:r>
      <w:r>
        <w:rPr>
          <w:rFonts w:hint="eastAsia" w:ascii="宋体" w:hAnsi="宋体" w:eastAsia="宋体" w:cs="宋体"/>
          <w:color w:val="auto"/>
          <w:sz w:val="21"/>
          <w:szCs w:val="21"/>
        </w:rPr>
        <w:t>设置自动喷水灭火系统</w:t>
      </w:r>
      <w:r>
        <w:rPr>
          <w:rFonts w:ascii="宋体" w:hAnsi="宋体" w:eastAsia="宋体" w:cs="宋体"/>
          <w:color w:val="auto"/>
          <w:sz w:val="21"/>
          <w:szCs w:val="21"/>
        </w:rPr>
        <w:t>,并应符合下列要求：</w:t>
      </w:r>
    </w:p>
    <w:p w14:paraId="167C1526">
      <w:pPr>
        <w:numPr>
          <w:ilvl w:val="1"/>
          <w:numId w:val="3"/>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火灾危险等级按中危险Ⅰ级确定，火灾延续时间不应小于1小时，喷头应采用快速响应喷头；</w:t>
      </w:r>
    </w:p>
    <w:p w14:paraId="620E5AD1">
      <w:pPr>
        <w:numPr>
          <w:ilvl w:val="1"/>
          <w:numId w:val="3"/>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其他有顶棚的室外和室内电动车停放充电场所应安装自动喷水灭火系统或自动喷水局部应用系统；</w:t>
      </w:r>
    </w:p>
    <w:p w14:paraId="6A707D1D">
      <w:pPr>
        <w:numPr>
          <w:ilvl w:val="1"/>
          <w:numId w:val="3"/>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建筑面积不大于300㎡时，自动喷水灭火系统可按《简易自动喷水灭火系统应用技术规程》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CECS219:2007）的相关规定进行设计；</w:t>
      </w:r>
    </w:p>
    <w:p w14:paraId="0C6103A5">
      <w:pPr>
        <w:numPr>
          <w:ilvl w:val="1"/>
          <w:numId w:val="3"/>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当受场所条件限制时，可安装其它符合国家消防技术标准的细水雾、超细干粉等自动灭火设施。</w:t>
      </w:r>
    </w:p>
    <w:p w14:paraId="39D74499">
      <w:pPr>
        <w:spacing w:line="103" w:lineRule="exact"/>
        <w:jc w:val="both"/>
        <w:rPr>
          <w:rFonts w:ascii="黑体" w:hAnsi="黑体" w:eastAsia="黑体" w:cs="黑体"/>
          <w:color w:val="auto"/>
          <w:sz w:val="21"/>
          <w:szCs w:val="21"/>
        </w:rPr>
      </w:pPr>
    </w:p>
    <w:p w14:paraId="1DAC86A9">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8.3</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电动自行车停放充电场所应按</w:t>
      </w:r>
      <w:r>
        <w:rPr>
          <w:rFonts w:hint="eastAsia" w:ascii="宋体" w:hAnsi="宋体" w:eastAsia="宋体" w:cs="宋体"/>
          <w:color w:val="auto"/>
          <w:sz w:val="21"/>
          <w:szCs w:val="21"/>
          <w:lang w:eastAsia="zh-CN"/>
        </w:rPr>
        <w:t>《建筑设计防火规范》《建筑防火通用规范》</w:t>
      </w:r>
      <w:r>
        <w:rPr>
          <w:rFonts w:ascii="宋体" w:hAnsi="宋体" w:eastAsia="宋体" w:cs="宋体"/>
          <w:color w:val="auto"/>
          <w:sz w:val="21"/>
          <w:szCs w:val="21"/>
        </w:rPr>
        <w:t>和</w:t>
      </w:r>
      <w:r>
        <w:rPr>
          <w:rFonts w:hint="eastAsia" w:ascii="宋体" w:hAnsi="宋体" w:eastAsia="宋体" w:cs="宋体"/>
          <w:color w:val="auto"/>
          <w:sz w:val="21"/>
          <w:szCs w:val="21"/>
        </w:rPr>
        <w:t>《</w:t>
      </w:r>
      <w:r>
        <w:rPr>
          <w:rFonts w:ascii="宋体" w:hAnsi="宋体" w:eastAsia="宋体" w:cs="宋体"/>
          <w:color w:val="auto"/>
          <w:sz w:val="21"/>
          <w:szCs w:val="21"/>
        </w:rPr>
        <w:t>消防给水及消火栓系统技术规范</w:t>
      </w:r>
      <w:r>
        <w:rPr>
          <w:rFonts w:hint="eastAsia" w:ascii="宋体" w:hAnsi="宋体" w:eastAsia="宋体" w:cs="宋体"/>
          <w:color w:val="auto"/>
          <w:sz w:val="21"/>
          <w:szCs w:val="21"/>
        </w:rPr>
        <w:t>》</w:t>
      </w:r>
      <w:r>
        <w:rPr>
          <w:rFonts w:ascii="宋体" w:hAnsi="宋体" w:eastAsia="宋体" w:cs="宋体"/>
          <w:color w:val="auto"/>
          <w:sz w:val="21"/>
          <w:szCs w:val="21"/>
        </w:rPr>
        <w:t>等相关消防技术文件设置与建筑相适应的灭火设施，灭火设施的设置应符合相关文件的规定。</w:t>
      </w:r>
    </w:p>
    <w:p w14:paraId="34A079EF">
      <w:pPr>
        <w:tabs>
          <w:tab w:val="left" w:pos="741"/>
        </w:tabs>
        <w:spacing w:line="282" w:lineRule="auto"/>
        <w:ind w:right="20"/>
        <w:jc w:val="both"/>
        <w:rPr>
          <w:rFonts w:ascii="宋体" w:hAnsi="宋体" w:eastAsia="宋体" w:cs="宋体"/>
          <w:color w:val="auto"/>
          <w:sz w:val="21"/>
          <w:szCs w:val="21"/>
        </w:rPr>
      </w:pPr>
    </w:p>
    <w:p w14:paraId="3C038032">
      <w:pPr>
        <w:tabs>
          <w:tab w:val="left" w:pos="741"/>
        </w:tabs>
        <w:spacing w:line="282" w:lineRule="auto"/>
        <w:ind w:right="20"/>
        <w:jc w:val="both"/>
        <w:rPr>
          <w:rFonts w:ascii="宋体" w:hAnsi="宋体" w:eastAsia="宋体" w:cs="宋体"/>
          <w:color w:val="auto"/>
          <w:sz w:val="21"/>
          <w:szCs w:val="21"/>
        </w:rPr>
      </w:pPr>
    </w:p>
    <w:p w14:paraId="46DBB8AD">
      <w:pPr>
        <w:tabs>
          <w:tab w:val="left" w:pos="741"/>
        </w:tabs>
        <w:spacing w:line="282" w:lineRule="auto"/>
        <w:ind w:right="20"/>
        <w:jc w:val="both"/>
        <w:rPr>
          <w:rFonts w:ascii="宋体" w:hAnsi="宋体" w:eastAsia="宋体" w:cs="宋体"/>
          <w:color w:val="auto"/>
          <w:sz w:val="21"/>
          <w:szCs w:val="21"/>
        </w:rPr>
      </w:pPr>
    </w:p>
    <w:p w14:paraId="2824E8C3">
      <w:pPr>
        <w:tabs>
          <w:tab w:val="left" w:pos="741"/>
        </w:tabs>
        <w:spacing w:line="282" w:lineRule="auto"/>
        <w:ind w:right="20"/>
        <w:jc w:val="both"/>
        <w:rPr>
          <w:rFonts w:ascii="宋体" w:hAnsi="宋体" w:eastAsia="宋体" w:cs="宋体"/>
          <w:color w:val="auto"/>
          <w:sz w:val="21"/>
          <w:szCs w:val="21"/>
        </w:rPr>
      </w:pPr>
    </w:p>
    <w:p w14:paraId="1EA0A669">
      <w:pPr>
        <w:spacing w:line="61" w:lineRule="exact"/>
        <w:jc w:val="both"/>
        <w:rPr>
          <w:rFonts w:ascii="黑体" w:hAnsi="黑体" w:eastAsia="黑体" w:cs="黑体"/>
          <w:color w:val="auto"/>
          <w:sz w:val="21"/>
          <w:szCs w:val="21"/>
        </w:rPr>
      </w:pPr>
    </w:p>
    <w:p w14:paraId="0166F8A6">
      <w:pPr>
        <w:spacing w:line="61" w:lineRule="exact"/>
        <w:jc w:val="both"/>
        <w:rPr>
          <w:rFonts w:ascii="黑体" w:hAnsi="黑体" w:eastAsia="黑体" w:cs="黑体"/>
          <w:color w:val="auto"/>
          <w:sz w:val="21"/>
          <w:szCs w:val="21"/>
        </w:rPr>
      </w:pPr>
    </w:p>
    <w:p w14:paraId="04C836A4">
      <w:pPr>
        <w:numPr>
          <w:ilvl w:val="0"/>
          <w:numId w:val="0"/>
        </w:numPr>
        <w:tabs>
          <w:tab w:val="left" w:pos="741"/>
        </w:tabs>
        <w:spacing w:line="297"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8.4</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电动自行车停放充电场所应按照</w:t>
      </w:r>
      <w:r>
        <w:rPr>
          <w:rFonts w:hint="eastAsia" w:ascii="宋体" w:hAnsi="宋体" w:eastAsia="宋体" w:cs="宋体"/>
          <w:color w:val="auto"/>
          <w:sz w:val="21"/>
          <w:szCs w:val="21"/>
        </w:rPr>
        <w:t>《</w:t>
      </w:r>
      <w:r>
        <w:rPr>
          <w:rFonts w:ascii="宋体" w:hAnsi="宋体" w:eastAsia="宋体" w:cs="宋体"/>
          <w:color w:val="auto"/>
          <w:sz w:val="21"/>
          <w:szCs w:val="21"/>
        </w:rPr>
        <w:t>建筑灭火器配置设计规范</w:t>
      </w:r>
      <w:r>
        <w:rPr>
          <w:rFonts w:hint="eastAsia" w:ascii="宋体" w:hAnsi="宋体" w:eastAsia="宋体" w:cs="宋体"/>
          <w:color w:val="auto"/>
          <w:sz w:val="21"/>
          <w:szCs w:val="21"/>
        </w:rPr>
        <w:t>》</w:t>
      </w:r>
      <w:r>
        <w:rPr>
          <w:rFonts w:ascii="宋体" w:hAnsi="宋体" w:eastAsia="宋体" w:cs="宋体"/>
          <w:color w:val="auto"/>
          <w:sz w:val="21"/>
          <w:szCs w:val="21"/>
        </w:rPr>
        <w:t>配置A、B、E类火灾灭火器，灭火器配置的危险等级可按民用建筑中危险级确定，电动自行车的电池部分灭火器宜采用手提式水基型灭火器或推车式水基型灭火器。</w:t>
      </w:r>
    </w:p>
    <w:p w14:paraId="60F554F1">
      <w:pPr>
        <w:spacing w:line="28" w:lineRule="exact"/>
        <w:jc w:val="both"/>
        <w:rPr>
          <w:rFonts w:ascii="黑体" w:hAnsi="黑体" w:eastAsia="黑体" w:cs="黑体"/>
          <w:color w:val="auto"/>
          <w:sz w:val="21"/>
          <w:szCs w:val="21"/>
        </w:rPr>
      </w:pPr>
    </w:p>
    <w:p w14:paraId="4B64068D">
      <w:pPr>
        <w:numPr>
          <w:ilvl w:val="0"/>
          <w:numId w:val="0"/>
        </w:numPr>
        <w:tabs>
          <w:tab w:val="left" w:pos="744"/>
        </w:tabs>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8.5</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电动自行车停放充电场所宜增加推车式水喷雾灭火器，推车式水喷雾灭火器最大保护距离为30m。</w:t>
      </w:r>
    </w:p>
    <w:p w14:paraId="79A86DEB">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8.6</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电动自行车停放充电场所应全域设置视频监控系统，宜装设火灾图像监控系统。视频监控系统应符合以下要求：</w:t>
      </w:r>
    </w:p>
    <w:p w14:paraId="36D65CAC">
      <w:pPr>
        <w:spacing w:line="31" w:lineRule="exact"/>
        <w:jc w:val="both"/>
        <w:rPr>
          <w:rFonts w:ascii="黑体" w:hAnsi="黑体" w:eastAsia="黑体" w:cs="黑体"/>
          <w:color w:val="auto"/>
          <w:sz w:val="21"/>
          <w:szCs w:val="21"/>
        </w:rPr>
      </w:pPr>
    </w:p>
    <w:p w14:paraId="0460E3C0">
      <w:pPr>
        <w:numPr>
          <w:ilvl w:val="1"/>
          <w:numId w:val="4"/>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图像能在值班室、控制室等场所实时显示；</w:t>
      </w:r>
    </w:p>
    <w:p w14:paraId="51BF5D03">
      <w:pPr>
        <w:numPr>
          <w:ilvl w:val="1"/>
          <w:numId w:val="4"/>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图像具备储存、查询、回放功能；</w:t>
      </w:r>
    </w:p>
    <w:p w14:paraId="613BE8F3">
      <w:pPr>
        <w:numPr>
          <w:ilvl w:val="1"/>
          <w:numId w:val="4"/>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图像存储时间不少于30天。</w:t>
      </w:r>
    </w:p>
    <w:p w14:paraId="559BFC6E">
      <w:pPr>
        <w:spacing w:line="102" w:lineRule="exact"/>
        <w:jc w:val="both"/>
        <w:rPr>
          <w:rFonts w:ascii="宋体" w:hAnsi="宋体" w:eastAsia="宋体" w:cs="宋体"/>
          <w:color w:val="auto"/>
          <w:sz w:val="21"/>
          <w:szCs w:val="21"/>
        </w:rPr>
      </w:pPr>
    </w:p>
    <w:p w14:paraId="450D7149">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8.7</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电动自行车停放充电场所火灾图像及视频安防监控信号，宜实时上传至消防控制室或者专人值守场所。</w:t>
      </w:r>
    </w:p>
    <w:p w14:paraId="34981E03">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8.8</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建筑内</w:t>
      </w:r>
      <w:r>
        <w:rPr>
          <w:rFonts w:ascii="宋体" w:hAnsi="宋体" w:eastAsia="宋体" w:cs="宋体"/>
          <w:color w:val="auto"/>
          <w:sz w:val="21"/>
          <w:szCs w:val="21"/>
        </w:rPr>
        <w:t>电动自行车停放充电场所</w:t>
      </w:r>
      <w:r>
        <w:rPr>
          <w:rFonts w:hint="eastAsia"/>
          <w:color w:val="auto"/>
        </w:rPr>
        <w:t>和</w:t>
      </w:r>
      <w:r>
        <w:rPr>
          <w:rFonts w:hint="eastAsia" w:ascii="宋体" w:hAnsi="宋体" w:eastAsia="宋体" w:cs="宋体"/>
          <w:color w:val="auto"/>
          <w:sz w:val="21"/>
          <w:szCs w:val="21"/>
        </w:rPr>
        <w:t>附建式电动自行车停放充电场所的所在建筑</w:t>
      </w:r>
      <w:r>
        <w:rPr>
          <w:rFonts w:ascii="宋体" w:hAnsi="宋体" w:eastAsia="宋体" w:cs="宋体"/>
          <w:color w:val="auto"/>
          <w:sz w:val="21"/>
          <w:szCs w:val="21"/>
        </w:rPr>
        <w:t>设置火灾自动报警系统时，</w:t>
      </w:r>
      <w:r>
        <w:rPr>
          <w:rFonts w:hint="eastAsia" w:ascii="宋体" w:hAnsi="宋体" w:eastAsia="宋体" w:cs="宋体"/>
          <w:color w:val="auto"/>
          <w:sz w:val="21"/>
          <w:szCs w:val="21"/>
        </w:rPr>
        <w:t>应</w:t>
      </w:r>
      <w:r>
        <w:rPr>
          <w:rFonts w:ascii="宋体" w:hAnsi="宋体" w:eastAsia="宋体" w:cs="宋体"/>
          <w:color w:val="auto"/>
          <w:sz w:val="21"/>
          <w:szCs w:val="21"/>
        </w:rPr>
        <w:t>符合以下规定</w:t>
      </w:r>
      <w:r>
        <w:rPr>
          <w:rFonts w:hint="eastAsia" w:ascii="宋体" w:hAnsi="宋体" w:eastAsia="宋体" w:cs="宋体"/>
          <w:color w:val="auto"/>
          <w:sz w:val="21"/>
          <w:szCs w:val="21"/>
        </w:rPr>
        <w:t>：</w:t>
      </w:r>
    </w:p>
    <w:p w14:paraId="043B5EC6">
      <w:pPr>
        <w:numPr>
          <w:ilvl w:val="1"/>
          <w:numId w:val="5"/>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应设置感烟火灾探测器和手动火灾报警按钮；</w:t>
      </w:r>
    </w:p>
    <w:p w14:paraId="57198008">
      <w:pPr>
        <w:numPr>
          <w:ilvl w:val="1"/>
          <w:numId w:val="5"/>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除应按照</w:t>
      </w:r>
      <w:r>
        <w:rPr>
          <w:rFonts w:hint="eastAsia" w:ascii="宋体" w:hAnsi="宋体" w:eastAsia="宋体" w:cs="宋体"/>
          <w:color w:val="auto"/>
          <w:sz w:val="21"/>
          <w:szCs w:val="21"/>
          <w:lang w:eastAsia="zh-CN"/>
        </w:rPr>
        <w:t>《建筑设计防火规范》《建筑防火通用规范》</w:t>
      </w:r>
      <w:r>
        <w:rPr>
          <w:rFonts w:hint="eastAsia" w:ascii="宋体" w:hAnsi="宋体" w:eastAsia="宋体" w:cs="宋体"/>
          <w:color w:val="auto"/>
          <w:sz w:val="21"/>
          <w:szCs w:val="21"/>
        </w:rPr>
        <w:t>和《汽车库、修车库、停车场设计防火规范》要求设置火灾自动报警系统的场所外，其他建筑内电动自行车停放充电场所应安装独立式感烟火灾探测报警器；</w:t>
      </w:r>
    </w:p>
    <w:p w14:paraId="4F2E96C7">
      <w:pPr>
        <w:numPr>
          <w:ilvl w:val="1"/>
          <w:numId w:val="5"/>
        </w:numPr>
        <w:tabs>
          <w:tab w:val="left" w:pos="844"/>
        </w:tabs>
        <w:spacing w:line="239" w:lineRule="auto"/>
        <w:ind w:left="844" w:hanging="424"/>
        <w:jc w:val="both"/>
        <w:rPr>
          <w:rFonts w:hint="eastAsia" w:ascii="宋体" w:hAnsi="宋体" w:eastAsia="宋体" w:cs="宋体"/>
          <w:color w:val="auto"/>
          <w:sz w:val="21"/>
          <w:szCs w:val="21"/>
        </w:rPr>
      </w:pPr>
      <w:bookmarkStart w:id="12" w:name="page12"/>
      <w:bookmarkEnd w:id="12"/>
      <w:r>
        <w:rPr>
          <w:rFonts w:hint="eastAsia" w:ascii="宋体" w:hAnsi="宋体" w:eastAsia="宋体" w:cs="宋体"/>
          <w:color w:val="auto"/>
          <w:sz w:val="21"/>
          <w:szCs w:val="21"/>
        </w:rPr>
        <w:t>有条件的宜采用智能型的独立式感烟火灾探测报警器，独立式感烟火灾探测报警器的设置应符合《独立式感烟火灾探测报警器》的规定；</w:t>
      </w:r>
    </w:p>
    <w:p w14:paraId="2BDDE9C5">
      <w:pPr>
        <w:numPr>
          <w:ilvl w:val="1"/>
          <w:numId w:val="5"/>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有条件的宜安装电气火灾监控系统，并与所在建筑火灾自动报警系统联动，电气火灾监控系统的设置应符合《电气火灾监控系统》的规定。</w:t>
      </w:r>
    </w:p>
    <w:p w14:paraId="0A41ECEA">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8.9</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独立式电动自行车停放充电场所有条件的宜设置火灾自动报警系统，无法设置火灾自动报警系统时</w:t>
      </w:r>
      <w:r>
        <w:rPr>
          <w:rFonts w:ascii="宋体" w:hAnsi="宋体" w:eastAsia="宋体" w:cs="宋体"/>
          <w:color w:val="auto"/>
          <w:sz w:val="21"/>
          <w:szCs w:val="21"/>
        </w:rPr>
        <w:t>应</w:t>
      </w:r>
      <w:r>
        <w:rPr>
          <w:rFonts w:hint="eastAsia" w:ascii="宋体" w:hAnsi="宋体" w:eastAsia="宋体" w:cs="宋体"/>
          <w:color w:val="auto"/>
          <w:sz w:val="21"/>
          <w:szCs w:val="21"/>
        </w:rPr>
        <w:t>安装独立式感烟火灾探测报警器，并符合以下规定：</w:t>
      </w:r>
    </w:p>
    <w:p w14:paraId="79B2FCB5">
      <w:pPr>
        <w:numPr>
          <w:ilvl w:val="1"/>
          <w:numId w:val="6"/>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有条件的宜采用智能型的独立式感烟火灾探测报警器，独立式感烟火灾探测报警器的设置应符合《独立式感烟火灾探测报警器》的规定；</w:t>
      </w:r>
    </w:p>
    <w:p w14:paraId="337F84FB">
      <w:pPr>
        <w:numPr>
          <w:ilvl w:val="1"/>
          <w:numId w:val="6"/>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有条件的宜安装电气火灾监控系统，电气火灾监控系统的设置应符合《电气火灾监控系统》的规定。</w:t>
      </w:r>
    </w:p>
    <w:p w14:paraId="211230B0">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8.10</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电动自行车停放充电场所排烟系统的设计应优先采用自然排烟系统</w:t>
      </w:r>
      <w:r>
        <w:rPr>
          <w:rFonts w:ascii="宋体" w:hAnsi="宋体" w:eastAsia="宋体" w:cs="宋体"/>
          <w:color w:val="auto"/>
          <w:sz w:val="21"/>
          <w:szCs w:val="21"/>
        </w:rPr>
        <w:t>，当不能满足要求时，应采用机械</w:t>
      </w:r>
      <w:r>
        <w:rPr>
          <w:rFonts w:hint="eastAsia" w:ascii="宋体" w:hAnsi="宋体" w:eastAsia="宋体" w:cs="宋体"/>
          <w:color w:val="auto"/>
          <w:sz w:val="21"/>
          <w:szCs w:val="21"/>
        </w:rPr>
        <w:t>排烟</w:t>
      </w:r>
      <w:r>
        <w:rPr>
          <w:rFonts w:ascii="宋体" w:hAnsi="宋体" w:eastAsia="宋体" w:cs="宋体"/>
          <w:color w:val="auto"/>
          <w:sz w:val="21"/>
          <w:szCs w:val="21"/>
        </w:rPr>
        <w:t>系统，其设置要求应符合</w:t>
      </w:r>
      <w:r>
        <w:rPr>
          <w:rFonts w:hint="eastAsia" w:ascii="宋体" w:hAnsi="宋体" w:eastAsia="宋体" w:cs="宋体"/>
          <w:color w:val="auto"/>
          <w:sz w:val="21"/>
          <w:szCs w:val="21"/>
        </w:rPr>
        <w:t>《建筑防烟排烟系统技术标准》</w:t>
      </w:r>
      <w:r>
        <w:rPr>
          <w:rFonts w:ascii="宋体" w:hAnsi="宋体" w:eastAsia="宋体" w:cs="宋体"/>
          <w:color w:val="auto"/>
          <w:sz w:val="21"/>
          <w:szCs w:val="21"/>
        </w:rPr>
        <w:t>的规定</w:t>
      </w:r>
      <w:r>
        <w:rPr>
          <w:rFonts w:hint="eastAsia" w:ascii="宋体" w:hAnsi="宋体" w:eastAsia="宋体" w:cs="宋体"/>
          <w:color w:val="auto"/>
          <w:sz w:val="21"/>
          <w:szCs w:val="21"/>
        </w:rPr>
        <w:t>。</w:t>
      </w:r>
    </w:p>
    <w:p w14:paraId="68F20A72">
      <w:pPr>
        <w:numPr>
          <w:ilvl w:val="0"/>
          <w:numId w:val="0"/>
        </w:numPr>
        <w:tabs>
          <w:tab w:val="left" w:pos="741"/>
        </w:tabs>
        <w:spacing w:line="282" w:lineRule="auto"/>
        <w:ind w:right="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8.11</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建筑内</w:t>
      </w:r>
      <w:r>
        <w:rPr>
          <w:rFonts w:ascii="宋体" w:hAnsi="宋体" w:eastAsia="宋体" w:cs="宋体"/>
          <w:color w:val="auto"/>
          <w:sz w:val="21"/>
          <w:szCs w:val="21"/>
        </w:rPr>
        <w:t>电动自行车停放充电场所应设排烟设施，并符合以下规定</w:t>
      </w:r>
      <w:r>
        <w:rPr>
          <w:rFonts w:hint="eastAsia" w:ascii="宋体" w:hAnsi="宋体" w:eastAsia="宋体" w:cs="宋体"/>
          <w:color w:val="auto"/>
          <w:sz w:val="21"/>
          <w:szCs w:val="21"/>
        </w:rPr>
        <w:t>：</w:t>
      </w:r>
    </w:p>
    <w:p w14:paraId="3059B595">
      <w:pPr>
        <w:numPr>
          <w:ilvl w:val="1"/>
          <w:numId w:val="7"/>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采用自然排烟方式的,排烟口应设置在顶棚和墙面的上部，有效开口面积不应小于地面面积的2%；</w:t>
      </w:r>
    </w:p>
    <w:p w14:paraId="5BA81522">
      <w:pPr>
        <w:numPr>
          <w:ilvl w:val="1"/>
          <w:numId w:val="7"/>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无可开启外窗或可开启外窗面积不足的，应采用机械排烟系统。机械排烟系统的设置应符合国家有关消防技术文件的规定。</w:t>
      </w:r>
    </w:p>
    <w:p w14:paraId="35E409D0">
      <w:pPr>
        <w:tabs>
          <w:tab w:val="left" w:pos="741"/>
        </w:tabs>
        <w:spacing w:line="282" w:lineRule="auto"/>
        <w:ind w:right="20"/>
        <w:jc w:val="both"/>
        <w:rPr>
          <w:rFonts w:ascii="黑体" w:hAnsi="黑体" w:eastAsia="黑体" w:cs="黑体"/>
          <w:color w:val="auto"/>
          <w:sz w:val="21"/>
          <w:szCs w:val="21"/>
        </w:rPr>
      </w:pPr>
    </w:p>
    <w:p w14:paraId="0C7C1F16">
      <w:pPr>
        <w:tabs>
          <w:tab w:val="left" w:pos="741"/>
        </w:tabs>
        <w:spacing w:line="282" w:lineRule="auto"/>
        <w:ind w:right="20"/>
        <w:jc w:val="both"/>
        <w:rPr>
          <w:rFonts w:ascii="黑体" w:hAnsi="黑体" w:eastAsia="黑体" w:cs="黑体"/>
          <w:color w:val="auto"/>
          <w:sz w:val="21"/>
          <w:szCs w:val="21"/>
        </w:rPr>
      </w:pPr>
    </w:p>
    <w:p w14:paraId="23417892">
      <w:pPr>
        <w:tabs>
          <w:tab w:val="left" w:pos="287"/>
        </w:tabs>
        <w:ind w:left="7"/>
        <w:jc w:val="both"/>
        <w:rPr>
          <w:color w:val="auto"/>
          <w:sz w:val="20"/>
          <w:szCs w:val="20"/>
        </w:rPr>
      </w:pPr>
      <w:r>
        <w:rPr>
          <w:rFonts w:ascii="黑体" w:hAnsi="黑体" w:eastAsia="黑体" w:cs="黑体"/>
          <w:color w:val="auto"/>
          <w:sz w:val="21"/>
          <w:szCs w:val="21"/>
        </w:rPr>
        <w:t>9</w:t>
      </w:r>
      <w:r>
        <w:rPr>
          <w:color w:val="auto"/>
          <w:sz w:val="20"/>
          <w:szCs w:val="20"/>
        </w:rPr>
        <w:tab/>
      </w:r>
      <w:r>
        <w:rPr>
          <w:rFonts w:ascii="黑体" w:hAnsi="黑体" w:eastAsia="黑体" w:cs="黑体"/>
          <w:color w:val="auto"/>
          <w:sz w:val="21"/>
          <w:szCs w:val="21"/>
        </w:rPr>
        <w:t>电气要求</w:t>
      </w:r>
    </w:p>
    <w:p w14:paraId="76460153">
      <w:pPr>
        <w:spacing w:line="384" w:lineRule="exact"/>
        <w:jc w:val="both"/>
        <w:rPr>
          <w:color w:val="auto"/>
          <w:sz w:val="20"/>
          <w:szCs w:val="20"/>
        </w:rPr>
      </w:pPr>
    </w:p>
    <w:p w14:paraId="0A513417">
      <w:pPr>
        <w:spacing w:line="102" w:lineRule="exact"/>
        <w:jc w:val="both"/>
        <w:rPr>
          <w:rFonts w:ascii="黑体" w:hAnsi="黑体" w:eastAsia="黑体" w:cs="黑体"/>
          <w:color w:val="auto"/>
          <w:sz w:val="21"/>
          <w:szCs w:val="21"/>
        </w:rPr>
      </w:pPr>
    </w:p>
    <w:p w14:paraId="5077E30D">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9.1</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电动自行车停放场所充电场所内消防用电</w:t>
      </w:r>
      <w:r>
        <w:rPr>
          <w:rFonts w:hint="eastAsia" w:ascii="宋体" w:hAnsi="宋体" w:eastAsia="宋体" w:cs="宋体"/>
          <w:color w:val="auto"/>
          <w:sz w:val="21"/>
          <w:szCs w:val="21"/>
        </w:rPr>
        <w:t>应按不低于二级负荷供电</w:t>
      </w:r>
      <w:r>
        <w:rPr>
          <w:rFonts w:ascii="宋体" w:hAnsi="宋体" w:eastAsia="宋体" w:cs="宋体"/>
          <w:color w:val="auto"/>
          <w:sz w:val="21"/>
          <w:szCs w:val="21"/>
        </w:rPr>
        <w:t>。</w:t>
      </w:r>
    </w:p>
    <w:p w14:paraId="0E6321EF">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9.2</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的充电设备线路应按照防火分区设置，每个防火分区设置总配电箱且紧急情况下供电系统应能强制紧急切断。电动自行车停放充电场所内，每个充电区域应单独设置专用配电箱，进线为专用配电回路，与其他场所合用一个供电回路时，进线断路器应采用漏电保护器，并加装浪涌保护器，</w:t>
      </w:r>
      <w:bookmarkStart w:id="13" w:name="page13"/>
      <w:bookmarkEnd w:id="13"/>
      <w:r>
        <w:rPr>
          <w:rFonts w:ascii="宋体" w:hAnsi="宋体" w:eastAsia="宋体" w:cs="宋体"/>
          <w:color w:val="auto"/>
          <w:sz w:val="21"/>
          <w:szCs w:val="21"/>
        </w:rPr>
        <w:t>分支断路器应釆用漏电保护器。</w:t>
      </w:r>
    </w:p>
    <w:p w14:paraId="55FFC703">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9.3</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电动自行车的充电设备线路</w:t>
      </w:r>
      <w:r>
        <w:rPr>
          <w:rFonts w:hint="eastAsia" w:ascii="宋体" w:hAnsi="宋体" w:eastAsia="宋体" w:cs="宋体"/>
          <w:color w:val="auto"/>
          <w:sz w:val="21"/>
          <w:szCs w:val="21"/>
        </w:rPr>
        <w:t>宜</w:t>
      </w:r>
      <w:r>
        <w:rPr>
          <w:rFonts w:ascii="宋体" w:hAnsi="宋体" w:eastAsia="宋体" w:cs="宋体"/>
          <w:color w:val="auto"/>
          <w:sz w:val="21"/>
          <w:szCs w:val="21"/>
        </w:rPr>
        <w:t>安装电气火灾监控系统</w:t>
      </w:r>
      <w:r>
        <w:rPr>
          <w:rFonts w:hint="eastAsia" w:ascii="宋体" w:hAnsi="宋体" w:eastAsia="宋体" w:cs="宋体"/>
          <w:color w:val="auto"/>
          <w:sz w:val="21"/>
          <w:szCs w:val="21"/>
        </w:rPr>
        <w:t>。</w:t>
      </w:r>
    </w:p>
    <w:p w14:paraId="43B9292B">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9.4</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电动自行车停放充电场所的配电箱应设置在具有明显标识和便于操作的部位</w:t>
      </w:r>
      <w:r>
        <w:rPr>
          <w:rFonts w:hint="eastAsia" w:ascii="宋体" w:hAnsi="宋体" w:eastAsia="宋体" w:cs="宋体"/>
          <w:color w:val="auto"/>
          <w:sz w:val="21"/>
          <w:szCs w:val="21"/>
        </w:rPr>
        <w:t>并宜设置在场所外部或靠近入口处。</w:t>
      </w:r>
    </w:p>
    <w:p w14:paraId="4DFBD9EC">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9.5</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电动自行车停放充电场所的充电柜馈出充电配电回路中每个回路均应设置过载保护、短路保护、漏电保护等保护装置</w:t>
      </w:r>
      <w:r>
        <w:rPr>
          <w:rFonts w:hint="eastAsia" w:ascii="宋体" w:hAnsi="宋体" w:eastAsia="宋体" w:cs="宋体"/>
          <w:color w:val="auto"/>
          <w:sz w:val="21"/>
          <w:szCs w:val="21"/>
        </w:rPr>
        <w:t>。</w:t>
      </w:r>
    </w:p>
    <w:p w14:paraId="3D98D29F">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9.6</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电动自行车停放充电场所的配电箱或插座处设置在室外时，配电箱、电源插座的防护等级不应低于 IP65，并加装防雨罩</w:t>
      </w:r>
      <w:r>
        <w:rPr>
          <w:rFonts w:hint="eastAsia" w:ascii="宋体" w:hAnsi="宋体" w:eastAsia="宋体" w:cs="宋体"/>
          <w:color w:val="auto"/>
          <w:sz w:val="21"/>
          <w:szCs w:val="21"/>
        </w:rPr>
        <w:t>。</w:t>
      </w:r>
    </w:p>
    <w:p w14:paraId="5CF4C335">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9.7</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场所电气设备应该按</w:t>
      </w:r>
      <w:r>
        <w:rPr>
          <w:rFonts w:hint="eastAsia" w:ascii="宋体" w:hAnsi="宋体" w:eastAsia="宋体" w:cs="宋体"/>
          <w:color w:val="auto"/>
          <w:sz w:val="21"/>
          <w:szCs w:val="21"/>
        </w:rPr>
        <w:t>《</w:t>
      </w:r>
      <w:r>
        <w:rPr>
          <w:rFonts w:ascii="宋体" w:hAnsi="宋体" w:eastAsia="宋体" w:cs="宋体"/>
          <w:color w:val="auto"/>
          <w:sz w:val="21"/>
          <w:szCs w:val="21"/>
        </w:rPr>
        <w:t>民用建筑电气设计标准</w:t>
      </w:r>
      <w:r>
        <w:rPr>
          <w:rFonts w:hint="eastAsia" w:ascii="宋体" w:hAnsi="宋体" w:eastAsia="宋体" w:cs="宋体"/>
          <w:color w:val="auto"/>
          <w:sz w:val="21"/>
          <w:szCs w:val="21"/>
        </w:rPr>
        <w:t>》</w:t>
      </w:r>
      <w:r>
        <w:rPr>
          <w:rFonts w:ascii="宋体" w:hAnsi="宋体" w:eastAsia="宋体" w:cs="宋体"/>
          <w:color w:val="auto"/>
          <w:sz w:val="21"/>
          <w:szCs w:val="21"/>
        </w:rPr>
        <w:t>的要求设置接地系统</w:t>
      </w:r>
      <w:r>
        <w:rPr>
          <w:rFonts w:hint="eastAsia" w:ascii="宋体" w:hAnsi="宋体" w:eastAsia="宋体" w:cs="宋体"/>
          <w:color w:val="auto"/>
          <w:sz w:val="21"/>
          <w:szCs w:val="21"/>
        </w:rPr>
        <w:t>。</w:t>
      </w:r>
    </w:p>
    <w:p w14:paraId="50F756B1">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9.8</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电动自行车停放充电场所的充电设施应使用阻燃电线电缆</w:t>
      </w:r>
      <w:r>
        <w:rPr>
          <w:rFonts w:hint="eastAsia" w:ascii="宋体" w:hAnsi="宋体" w:eastAsia="宋体" w:cs="宋体"/>
          <w:color w:val="auto"/>
          <w:sz w:val="21"/>
          <w:szCs w:val="21"/>
        </w:rPr>
        <w:t>，</w:t>
      </w:r>
      <w:r>
        <w:rPr>
          <w:rFonts w:ascii="宋体" w:hAnsi="宋体" w:eastAsia="宋体" w:cs="宋体"/>
          <w:color w:val="auto"/>
          <w:sz w:val="21"/>
          <w:szCs w:val="21"/>
        </w:rPr>
        <w:t>线芯截面大小应满足线路载流量、机械强度等应符合</w:t>
      </w:r>
      <w:r>
        <w:rPr>
          <w:rFonts w:hint="eastAsia" w:ascii="宋体" w:hAnsi="宋体" w:eastAsia="宋体" w:cs="宋体"/>
          <w:color w:val="auto"/>
          <w:sz w:val="21"/>
          <w:szCs w:val="21"/>
        </w:rPr>
        <w:t>《</w:t>
      </w:r>
      <w:r>
        <w:rPr>
          <w:rFonts w:ascii="宋体" w:hAnsi="宋体" w:eastAsia="宋体" w:cs="宋体"/>
          <w:color w:val="auto"/>
          <w:sz w:val="21"/>
          <w:szCs w:val="21"/>
        </w:rPr>
        <w:t>电力工程电缆设计标准</w:t>
      </w:r>
      <w:r>
        <w:rPr>
          <w:rFonts w:hint="eastAsia" w:ascii="宋体" w:hAnsi="宋体" w:eastAsia="宋体" w:cs="宋体"/>
          <w:color w:val="auto"/>
          <w:sz w:val="21"/>
          <w:szCs w:val="21"/>
        </w:rPr>
        <w:t>》</w:t>
      </w:r>
      <w:r>
        <w:rPr>
          <w:rFonts w:ascii="宋体" w:hAnsi="宋体" w:eastAsia="宋体" w:cs="宋体"/>
          <w:color w:val="auto"/>
          <w:sz w:val="21"/>
          <w:szCs w:val="21"/>
        </w:rPr>
        <w:t>的设置要求</w:t>
      </w:r>
      <w:r>
        <w:rPr>
          <w:rFonts w:hint="eastAsia" w:ascii="宋体" w:hAnsi="宋体" w:eastAsia="宋体" w:cs="宋体"/>
          <w:color w:val="auto"/>
          <w:sz w:val="21"/>
          <w:szCs w:val="21"/>
        </w:rPr>
        <w:t>。</w:t>
      </w:r>
    </w:p>
    <w:p w14:paraId="7D88B9C0">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9.9</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电动自行车停放充电场所应采用安全型插座，每个插座回路连接的充电插座不宜超过10个</w:t>
      </w:r>
      <w:r>
        <w:rPr>
          <w:rFonts w:hint="eastAsia" w:ascii="宋体" w:hAnsi="宋体" w:eastAsia="宋体" w:cs="宋体"/>
          <w:color w:val="auto"/>
          <w:sz w:val="21"/>
          <w:szCs w:val="21"/>
        </w:rPr>
        <w:t>。</w:t>
      </w:r>
    </w:p>
    <w:p w14:paraId="4DA746C5">
      <w:pPr>
        <w:numPr>
          <w:ilvl w:val="0"/>
          <w:numId w:val="0"/>
        </w:numPr>
        <w:tabs>
          <w:tab w:val="left" w:pos="744"/>
        </w:tabs>
        <w:spacing w:line="297" w:lineRule="auto"/>
        <w:ind w:right="100" w:rightChars="0"/>
        <w:jc w:val="both"/>
        <w:rPr>
          <w:rFonts w:ascii="宋体" w:hAnsi="宋体" w:eastAsia="宋体" w:cs="宋体"/>
          <w:color w:val="auto"/>
          <w:sz w:val="21"/>
          <w:szCs w:val="21"/>
        </w:rPr>
      </w:pPr>
      <w:r>
        <w:rPr>
          <w:rFonts w:hint="eastAsia" w:ascii="黑体" w:hAnsi="黑体" w:eastAsia="黑体" w:cs="黑体"/>
          <w:color w:val="auto"/>
          <w:sz w:val="21"/>
          <w:szCs w:val="21"/>
          <w:lang w:val="en-US" w:eastAsia="zh-CN"/>
        </w:rPr>
        <w:t>9.10</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电动自行车停放充电场所的电气线路应暗埋或穿绝缘套管或线槽保护</w:t>
      </w:r>
      <w:r>
        <w:rPr>
          <w:rFonts w:hint="eastAsia" w:ascii="宋体" w:hAnsi="宋体" w:eastAsia="宋体" w:cs="宋体"/>
          <w:color w:val="auto"/>
          <w:sz w:val="21"/>
          <w:szCs w:val="21"/>
        </w:rPr>
        <w:t>。</w:t>
      </w:r>
    </w:p>
    <w:p w14:paraId="725C0B4F">
      <w:pPr>
        <w:numPr>
          <w:ilvl w:val="0"/>
          <w:numId w:val="0"/>
        </w:numPr>
        <w:tabs>
          <w:tab w:val="left" w:pos="744"/>
        </w:tabs>
        <w:spacing w:line="297" w:lineRule="auto"/>
        <w:ind w:right="10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9.11</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电动自行车充电柜柜体需要具备防火能力。充电柜单仓壁厚不低于1.2mm，柜门具备防冲击能力，单仓电池事故不能影响其他单元的充电安全，且不造成二次事故</w:t>
      </w:r>
      <w:r>
        <w:rPr>
          <w:rFonts w:hint="eastAsia" w:ascii="宋体" w:hAnsi="宋体" w:eastAsia="宋体" w:cs="宋体"/>
          <w:color w:val="auto"/>
          <w:sz w:val="21"/>
          <w:szCs w:val="21"/>
        </w:rPr>
        <w:t>。</w:t>
      </w:r>
    </w:p>
    <w:p w14:paraId="4375CDD7">
      <w:pPr>
        <w:tabs>
          <w:tab w:val="left" w:pos="744"/>
        </w:tabs>
        <w:spacing w:line="239" w:lineRule="auto"/>
        <w:jc w:val="both"/>
        <w:rPr>
          <w:rFonts w:ascii="宋体" w:hAnsi="宋体" w:eastAsia="宋体" w:cs="宋体"/>
          <w:color w:val="auto"/>
          <w:sz w:val="21"/>
          <w:szCs w:val="21"/>
        </w:rPr>
      </w:pPr>
    </w:p>
    <w:p w14:paraId="466E21C6">
      <w:pPr>
        <w:tabs>
          <w:tab w:val="left" w:pos="744"/>
        </w:tabs>
        <w:spacing w:line="239" w:lineRule="auto"/>
        <w:jc w:val="both"/>
        <w:rPr>
          <w:rFonts w:ascii="宋体" w:hAnsi="宋体" w:eastAsia="宋体" w:cs="宋体"/>
          <w:color w:val="auto"/>
          <w:sz w:val="21"/>
          <w:szCs w:val="21"/>
        </w:rPr>
      </w:pPr>
    </w:p>
    <w:p w14:paraId="40ED0849">
      <w:pPr>
        <w:tabs>
          <w:tab w:val="left" w:pos="524"/>
        </w:tabs>
        <w:spacing w:line="239" w:lineRule="auto"/>
        <w:jc w:val="both"/>
        <w:rPr>
          <w:rFonts w:ascii="黑体" w:hAnsi="黑体" w:eastAsia="黑体" w:cs="黑体"/>
          <w:color w:val="auto"/>
          <w:sz w:val="21"/>
          <w:szCs w:val="21"/>
        </w:rPr>
      </w:pPr>
      <w:r>
        <w:rPr>
          <w:rFonts w:hint="eastAsia" w:ascii="黑体" w:hAnsi="黑体" w:eastAsia="黑体" w:cs="黑体"/>
          <w:color w:val="auto"/>
          <w:sz w:val="21"/>
          <w:szCs w:val="21"/>
        </w:rPr>
        <w:t xml:space="preserve">10  </w:t>
      </w:r>
      <w:r>
        <w:rPr>
          <w:rFonts w:ascii="黑体" w:hAnsi="黑体" w:eastAsia="黑体" w:cs="黑体"/>
          <w:color w:val="auto"/>
          <w:sz w:val="21"/>
          <w:szCs w:val="21"/>
        </w:rPr>
        <w:t>消防应急照明和疏散指示标志</w:t>
      </w:r>
    </w:p>
    <w:p w14:paraId="1F38B9FA">
      <w:pPr>
        <w:spacing w:line="257" w:lineRule="exact"/>
        <w:jc w:val="both"/>
        <w:rPr>
          <w:color w:val="auto"/>
          <w:sz w:val="20"/>
          <w:szCs w:val="20"/>
        </w:rPr>
      </w:pPr>
    </w:p>
    <w:p w14:paraId="60AA8BB2">
      <w:pPr>
        <w:numPr>
          <w:ilvl w:val="0"/>
          <w:numId w:val="0"/>
        </w:numPr>
        <w:tabs>
          <w:tab w:val="left" w:pos="741"/>
        </w:tabs>
        <w:spacing w:line="282" w:lineRule="auto"/>
        <w:ind w:right="2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10.1</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除露天以外的其他电动自行车停放充电场所应设消防疏散指示标志和消防应急照明灯具,</w:t>
      </w:r>
      <w:r>
        <w:rPr>
          <w:rFonts w:hint="eastAsia" w:ascii="宋体" w:hAnsi="宋体" w:eastAsia="宋体" w:cs="宋体"/>
          <w:color w:val="auto"/>
          <w:sz w:val="21"/>
          <w:szCs w:val="21"/>
        </w:rPr>
        <w:t>并</w:t>
      </w:r>
      <w:r>
        <w:rPr>
          <w:rFonts w:ascii="宋体" w:hAnsi="宋体" w:eastAsia="宋体" w:cs="宋体"/>
          <w:color w:val="auto"/>
          <w:sz w:val="21"/>
          <w:szCs w:val="21"/>
        </w:rPr>
        <w:t>应符合下列要求：</w:t>
      </w:r>
    </w:p>
    <w:p w14:paraId="10773EF6">
      <w:pPr>
        <w:spacing w:line="31" w:lineRule="exact"/>
        <w:jc w:val="both"/>
        <w:rPr>
          <w:rFonts w:ascii="黑体" w:hAnsi="黑体" w:eastAsia="黑体" w:cs="黑体"/>
          <w:color w:val="auto"/>
          <w:sz w:val="21"/>
          <w:szCs w:val="21"/>
        </w:rPr>
      </w:pPr>
    </w:p>
    <w:p w14:paraId="62E5AD74">
      <w:pPr>
        <w:numPr>
          <w:ilvl w:val="1"/>
          <w:numId w:val="8"/>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设置的消防疏散指示标志符合《消防安全标志》和《消防应急照明和疏散指示系统》的规定；</w:t>
      </w:r>
    </w:p>
    <w:p w14:paraId="2BA4C3C3">
      <w:pPr>
        <w:numPr>
          <w:ilvl w:val="1"/>
          <w:numId w:val="8"/>
        </w:numPr>
        <w:tabs>
          <w:tab w:val="left" w:pos="844"/>
        </w:tabs>
        <w:spacing w:line="239" w:lineRule="auto"/>
        <w:ind w:left="844" w:hanging="424"/>
        <w:jc w:val="both"/>
        <w:rPr>
          <w:rFonts w:hint="eastAsia" w:ascii="宋体" w:hAnsi="宋体" w:eastAsia="宋体" w:cs="宋体"/>
          <w:color w:val="auto"/>
          <w:sz w:val="21"/>
          <w:szCs w:val="21"/>
        </w:rPr>
      </w:pPr>
      <w:r>
        <w:rPr>
          <w:rFonts w:hint="eastAsia" w:ascii="宋体" w:hAnsi="宋体" w:eastAsia="宋体" w:cs="宋体"/>
          <w:color w:val="auto"/>
          <w:sz w:val="21"/>
          <w:szCs w:val="21"/>
        </w:rPr>
        <w:t>消防安全疏散标志的设置应确保其不被遮挡，并在疏散走道和主要疏散路径的地面上应增设能保持视觉连续的灯光疏散指示标志或蓄光疏散指示标志，设置高度和间距符合</w:t>
      </w:r>
      <w:r>
        <w:rPr>
          <w:rFonts w:hint="eastAsia" w:ascii="宋体" w:hAnsi="宋体" w:eastAsia="宋体" w:cs="宋体"/>
          <w:color w:val="auto"/>
          <w:sz w:val="21"/>
          <w:szCs w:val="21"/>
          <w:lang w:eastAsia="zh-CN"/>
        </w:rPr>
        <w:t>《建筑设计防火规范》《建筑防火通用规范》</w:t>
      </w:r>
      <w:r>
        <w:rPr>
          <w:rFonts w:hint="eastAsia" w:ascii="宋体" w:hAnsi="宋体" w:eastAsia="宋体" w:cs="宋体"/>
          <w:color w:val="auto"/>
          <w:sz w:val="21"/>
          <w:szCs w:val="21"/>
        </w:rPr>
        <w:t>的规定。</w:t>
      </w:r>
    </w:p>
    <w:p w14:paraId="1BBC9C8A">
      <w:pPr>
        <w:spacing w:line="38" w:lineRule="exact"/>
        <w:jc w:val="both"/>
        <w:rPr>
          <w:rFonts w:ascii="宋体" w:hAnsi="宋体" w:eastAsia="宋体" w:cs="宋体"/>
          <w:color w:val="auto"/>
          <w:sz w:val="20"/>
          <w:szCs w:val="20"/>
        </w:rPr>
      </w:pPr>
    </w:p>
    <w:p w14:paraId="1DF6C0E9">
      <w:pPr>
        <w:numPr>
          <w:ilvl w:val="0"/>
          <w:numId w:val="0"/>
        </w:numPr>
        <w:tabs>
          <w:tab w:val="left" w:pos="741"/>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10.2</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疏散照明灯具应设置在出口的顶部、墙面的上部或顶棚上；备用照明灯具应设置在墙面的上部或顶棚上。</w:t>
      </w:r>
    </w:p>
    <w:p w14:paraId="4ABDCB92">
      <w:pPr>
        <w:spacing w:line="61" w:lineRule="exact"/>
        <w:jc w:val="both"/>
        <w:rPr>
          <w:rFonts w:ascii="黑体" w:hAnsi="黑体" w:eastAsia="黑体" w:cs="黑体"/>
          <w:color w:val="auto"/>
          <w:sz w:val="21"/>
          <w:szCs w:val="21"/>
        </w:rPr>
      </w:pPr>
    </w:p>
    <w:p w14:paraId="16C6DEB0">
      <w:pPr>
        <w:numPr>
          <w:ilvl w:val="0"/>
          <w:numId w:val="0"/>
        </w:numPr>
        <w:tabs>
          <w:tab w:val="left" w:pos="741"/>
        </w:tabs>
        <w:spacing w:line="282" w:lineRule="auto"/>
        <w:ind w:right="10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10.3</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建筑内设置的消防疏散指示标志和消防应急照明灯具，除应符合</w:t>
      </w:r>
      <w:r>
        <w:rPr>
          <w:rFonts w:hint="eastAsia" w:ascii="宋体" w:hAnsi="宋体" w:eastAsia="宋体" w:cs="宋体"/>
          <w:color w:val="auto"/>
          <w:sz w:val="21"/>
          <w:szCs w:val="21"/>
        </w:rPr>
        <w:t>本标准</w:t>
      </w:r>
      <w:r>
        <w:rPr>
          <w:rFonts w:ascii="宋体" w:hAnsi="宋体" w:eastAsia="宋体" w:cs="宋体"/>
          <w:color w:val="auto"/>
          <w:sz w:val="21"/>
          <w:szCs w:val="21"/>
        </w:rPr>
        <w:t>的规定外，还应符合</w:t>
      </w:r>
      <w:r>
        <w:rPr>
          <w:rFonts w:hint="eastAsia" w:ascii="宋体" w:hAnsi="宋体" w:eastAsia="宋体" w:cs="宋体"/>
          <w:color w:val="auto"/>
          <w:sz w:val="21"/>
          <w:szCs w:val="21"/>
        </w:rPr>
        <w:t>《</w:t>
      </w:r>
      <w:r>
        <w:rPr>
          <w:rFonts w:ascii="宋体" w:hAnsi="宋体" w:eastAsia="宋体" w:cs="宋体"/>
          <w:color w:val="auto"/>
          <w:sz w:val="21"/>
          <w:szCs w:val="21"/>
        </w:rPr>
        <w:t>消防安全标志</w:t>
      </w:r>
      <w:r>
        <w:rPr>
          <w:rFonts w:hint="eastAsia" w:ascii="宋体" w:hAnsi="宋体" w:eastAsia="宋体" w:cs="宋体"/>
          <w:color w:val="auto"/>
          <w:sz w:val="21"/>
          <w:szCs w:val="21"/>
        </w:rPr>
        <w:t>》</w:t>
      </w:r>
      <w:r>
        <w:rPr>
          <w:rFonts w:ascii="宋体" w:hAnsi="宋体" w:eastAsia="宋体" w:cs="宋体"/>
          <w:color w:val="auto"/>
          <w:sz w:val="21"/>
          <w:szCs w:val="21"/>
        </w:rPr>
        <w:t>和</w:t>
      </w:r>
      <w:r>
        <w:rPr>
          <w:rFonts w:hint="eastAsia" w:ascii="宋体" w:hAnsi="宋体" w:eastAsia="宋体" w:cs="宋体"/>
          <w:color w:val="auto"/>
          <w:sz w:val="21"/>
          <w:szCs w:val="21"/>
        </w:rPr>
        <w:t>《</w:t>
      </w:r>
      <w:r>
        <w:rPr>
          <w:rFonts w:ascii="宋体" w:hAnsi="宋体" w:eastAsia="宋体" w:cs="宋体"/>
          <w:color w:val="auto"/>
          <w:sz w:val="21"/>
          <w:szCs w:val="21"/>
        </w:rPr>
        <w:t>消防应急照明和疏散指示系统</w:t>
      </w:r>
      <w:r>
        <w:rPr>
          <w:rFonts w:hint="eastAsia" w:ascii="宋体" w:hAnsi="宋体" w:eastAsia="宋体" w:cs="宋体"/>
          <w:color w:val="auto"/>
          <w:sz w:val="21"/>
          <w:szCs w:val="21"/>
        </w:rPr>
        <w:t>》</w:t>
      </w:r>
      <w:r>
        <w:rPr>
          <w:rFonts w:ascii="宋体" w:hAnsi="宋体" w:eastAsia="宋体" w:cs="宋体"/>
          <w:color w:val="auto"/>
          <w:sz w:val="21"/>
          <w:szCs w:val="21"/>
        </w:rPr>
        <w:t>的规定。</w:t>
      </w:r>
    </w:p>
    <w:p w14:paraId="25558642">
      <w:pPr>
        <w:numPr>
          <w:ilvl w:val="0"/>
          <w:numId w:val="0"/>
        </w:numPr>
        <w:tabs>
          <w:tab w:val="left" w:pos="524"/>
        </w:tabs>
        <w:spacing w:line="239" w:lineRule="auto"/>
        <w:jc w:val="both"/>
        <w:rPr>
          <w:rFonts w:ascii="黑体" w:hAnsi="黑体" w:eastAsia="黑体" w:cs="黑体"/>
          <w:color w:val="auto"/>
          <w:sz w:val="21"/>
          <w:szCs w:val="21"/>
        </w:rPr>
      </w:pPr>
    </w:p>
    <w:p w14:paraId="084C13F9">
      <w:pPr>
        <w:numPr>
          <w:ilvl w:val="0"/>
          <w:numId w:val="0"/>
        </w:numPr>
        <w:tabs>
          <w:tab w:val="left" w:pos="524"/>
        </w:tabs>
        <w:spacing w:line="239" w:lineRule="auto"/>
        <w:jc w:val="both"/>
        <w:rPr>
          <w:rFonts w:ascii="黑体" w:hAnsi="黑体" w:eastAsia="黑体" w:cs="黑体"/>
          <w:color w:val="auto"/>
          <w:sz w:val="21"/>
          <w:szCs w:val="21"/>
        </w:rPr>
      </w:pPr>
    </w:p>
    <w:p w14:paraId="4FD70FE7">
      <w:pPr>
        <w:numPr>
          <w:ilvl w:val="0"/>
          <w:numId w:val="0"/>
        </w:numPr>
        <w:tabs>
          <w:tab w:val="left" w:pos="524"/>
        </w:tabs>
        <w:spacing w:line="239" w:lineRule="auto"/>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 xml:space="preserve">11  </w:t>
      </w:r>
      <w:r>
        <w:rPr>
          <w:rFonts w:hint="eastAsia" w:ascii="黑体" w:hAnsi="黑体" w:eastAsia="黑体" w:cs="黑体"/>
          <w:color w:val="auto"/>
          <w:sz w:val="21"/>
          <w:szCs w:val="21"/>
        </w:rPr>
        <w:t>消防安全管理</w:t>
      </w:r>
    </w:p>
    <w:p w14:paraId="7D720A30">
      <w:pPr>
        <w:numPr>
          <w:ilvl w:val="0"/>
          <w:numId w:val="0"/>
        </w:numPr>
        <w:tabs>
          <w:tab w:val="left" w:pos="524"/>
        </w:tabs>
        <w:spacing w:line="239" w:lineRule="auto"/>
        <w:jc w:val="both"/>
        <w:rPr>
          <w:rFonts w:ascii="黑体" w:hAnsi="黑体" w:eastAsia="黑体" w:cs="黑体"/>
          <w:color w:val="auto"/>
          <w:sz w:val="21"/>
          <w:szCs w:val="21"/>
        </w:rPr>
      </w:pPr>
    </w:p>
    <w:p w14:paraId="7EBE198F">
      <w:pPr>
        <w:numPr>
          <w:ilvl w:val="0"/>
          <w:numId w:val="0"/>
        </w:numPr>
        <w:tabs>
          <w:tab w:val="left" w:pos="635"/>
        </w:tabs>
        <w:spacing w:line="297" w:lineRule="auto"/>
        <w:ind w:right="10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11.1</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业主应负责管理本单位电动自行车停放充场所</w:t>
      </w:r>
      <w:r>
        <w:rPr>
          <w:rFonts w:hint="eastAsia" w:ascii="宋体" w:hAnsi="宋体" w:eastAsia="宋体" w:cs="宋体"/>
          <w:color w:val="auto"/>
          <w:sz w:val="21"/>
          <w:szCs w:val="21"/>
        </w:rPr>
        <w:t>的</w:t>
      </w:r>
      <w:r>
        <w:rPr>
          <w:rFonts w:ascii="宋体" w:hAnsi="宋体" w:eastAsia="宋体" w:cs="宋体"/>
          <w:color w:val="auto"/>
          <w:sz w:val="21"/>
          <w:szCs w:val="21"/>
        </w:rPr>
        <w:t>消防安全。</w:t>
      </w:r>
      <w:r>
        <w:rPr>
          <w:rFonts w:hint="eastAsia" w:ascii="宋体" w:hAnsi="宋体" w:eastAsia="宋体" w:cs="宋体"/>
          <w:color w:val="auto"/>
          <w:sz w:val="21"/>
          <w:szCs w:val="21"/>
          <w:lang w:eastAsia="zh-CN"/>
        </w:rPr>
        <w:t>物业服务人</w:t>
      </w:r>
      <w:r>
        <w:rPr>
          <w:rFonts w:ascii="宋体" w:hAnsi="宋体" w:eastAsia="宋体" w:cs="宋体"/>
          <w:color w:val="auto"/>
          <w:sz w:val="21"/>
          <w:szCs w:val="21"/>
        </w:rPr>
        <w:t>应负责管理其服务的电动自行车停放充电场所的消防安全，应对电动自行车固定充电设施</w:t>
      </w:r>
      <w:r>
        <w:rPr>
          <w:rFonts w:hint="eastAsia" w:ascii="宋体" w:hAnsi="宋体" w:eastAsia="宋体" w:cs="宋体"/>
          <w:color w:val="auto"/>
          <w:sz w:val="21"/>
          <w:szCs w:val="21"/>
        </w:rPr>
        <w:t>、</w:t>
      </w:r>
      <w:r>
        <w:rPr>
          <w:rFonts w:ascii="宋体" w:hAnsi="宋体" w:eastAsia="宋体" w:cs="宋体"/>
          <w:color w:val="auto"/>
          <w:sz w:val="21"/>
          <w:szCs w:val="21"/>
        </w:rPr>
        <w:t>消防设施、</w:t>
      </w:r>
      <w:r>
        <w:rPr>
          <w:rFonts w:hint="eastAsia" w:ascii="宋体" w:hAnsi="宋体" w:eastAsia="宋体" w:cs="宋体"/>
          <w:color w:val="auto"/>
          <w:sz w:val="21"/>
          <w:szCs w:val="21"/>
        </w:rPr>
        <w:t>消防</w:t>
      </w:r>
      <w:r>
        <w:rPr>
          <w:rFonts w:ascii="宋体" w:hAnsi="宋体" w:eastAsia="宋体" w:cs="宋体"/>
          <w:color w:val="auto"/>
          <w:sz w:val="21"/>
          <w:szCs w:val="21"/>
        </w:rPr>
        <w:t>器材、消防安全标</w:t>
      </w:r>
      <w:r>
        <w:rPr>
          <w:rFonts w:hint="eastAsia" w:ascii="宋体" w:hAnsi="宋体" w:eastAsia="宋体" w:cs="宋体"/>
          <w:color w:val="auto"/>
          <w:sz w:val="21"/>
          <w:szCs w:val="21"/>
          <w:lang w:eastAsia="zh-CN"/>
        </w:rPr>
        <w:t>识</w:t>
      </w:r>
      <w:r>
        <w:rPr>
          <w:rFonts w:ascii="宋体" w:hAnsi="宋体" w:eastAsia="宋体" w:cs="宋体"/>
          <w:color w:val="auto"/>
          <w:sz w:val="21"/>
          <w:szCs w:val="21"/>
        </w:rPr>
        <w:t>等进行统一管理，保证其完好有效。</w:t>
      </w:r>
    </w:p>
    <w:p w14:paraId="085EFE4F">
      <w:pPr>
        <w:spacing w:line="46" w:lineRule="exact"/>
        <w:jc w:val="both"/>
        <w:rPr>
          <w:rFonts w:ascii="黑体" w:hAnsi="黑体" w:eastAsia="黑体" w:cs="黑体"/>
          <w:color w:val="auto"/>
          <w:sz w:val="21"/>
          <w:szCs w:val="21"/>
        </w:rPr>
      </w:pPr>
    </w:p>
    <w:p w14:paraId="725973FB">
      <w:pPr>
        <w:numPr>
          <w:ilvl w:val="0"/>
          <w:numId w:val="0"/>
        </w:numPr>
        <w:tabs>
          <w:tab w:val="left" w:pos="635"/>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11.2</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未设物业服务的居民小区、城中村等居民区，</w:t>
      </w:r>
      <w:r>
        <w:rPr>
          <w:rFonts w:hint="eastAsia" w:ascii="宋体" w:hAnsi="宋体" w:eastAsia="宋体" w:cs="宋体"/>
          <w:color w:val="auto"/>
          <w:sz w:val="21"/>
          <w:szCs w:val="21"/>
        </w:rPr>
        <w:t>应</w:t>
      </w:r>
      <w:r>
        <w:rPr>
          <w:rFonts w:ascii="宋体" w:hAnsi="宋体" w:eastAsia="宋体" w:cs="宋体"/>
          <w:color w:val="auto"/>
          <w:sz w:val="21"/>
          <w:szCs w:val="21"/>
        </w:rPr>
        <w:t>由各社区工作站负责协调统一明确该居民区的消防安全管理人，具体负责电动自行车消防安全管理工作。</w:t>
      </w:r>
    </w:p>
    <w:p w14:paraId="4ED515A8">
      <w:pPr>
        <w:spacing w:line="61" w:lineRule="exact"/>
        <w:jc w:val="both"/>
        <w:rPr>
          <w:rFonts w:ascii="黑体" w:hAnsi="黑体" w:eastAsia="黑体" w:cs="黑体"/>
          <w:color w:val="auto"/>
          <w:sz w:val="21"/>
          <w:szCs w:val="21"/>
        </w:rPr>
      </w:pPr>
    </w:p>
    <w:p w14:paraId="3C7097F9">
      <w:pPr>
        <w:numPr>
          <w:ilvl w:val="0"/>
          <w:numId w:val="0"/>
        </w:numPr>
        <w:tabs>
          <w:tab w:val="left" w:pos="635"/>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11.3</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负有电动自行车充电设施安全监督管理职责的部门，应依据相关法律法规和职能分工，开展监督检查。</w:t>
      </w:r>
    </w:p>
    <w:p w14:paraId="66305904">
      <w:pPr>
        <w:numPr>
          <w:ilvl w:val="0"/>
          <w:numId w:val="0"/>
        </w:numPr>
        <w:tabs>
          <w:tab w:val="left" w:pos="638"/>
        </w:tabs>
        <w:spacing w:line="282" w:lineRule="auto"/>
        <w:ind w:right="120" w:rightChars="0"/>
        <w:jc w:val="both"/>
        <w:rPr>
          <w:rFonts w:ascii="黑体" w:hAnsi="黑体" w:eastAsia="黑体" w:cs="黑体"/>
          <w:color w:val="auto"/>
          <w:sz w:val="21"/>
          <w:szCs w:val="21"/>
        </w:rPr>
      </w:pPr>
      <w:bookmarkStart w:id="14" w:name="page14"/>
      <w:bookmarkEnd w:id="14"/>
      <w:r>
        <w:rPr>
          <w:rFonts w:hint="eastAsia" w:ascii="黑体" w:hAnsi="黑体" w:eastAsia="黑体" w:cs="黑体"/>
          <w:color w:val="auto"/>
          <w:sz w:val="21"/>
          <w:szCs w:val="21"/>
          <w:lang w:val="en-US" w:eastAsia="zh-CN"/>
        </w:rPr>
        <w:t>11.4</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社区工作站、</w:t>
      </w:r>
      <w:r>
        <w:rPr>
          <w:rFonts w:hint="eastAsia" w:ascii="宋体" w:hAnsi="宋体" w:eastAsia="宋体" w:cs="宋体"/>
          <w:color w:val="auto"/>
          <w:sz w:val="21"/>
          <w:szCs w:val="21"/>
          <w:lang w:eastAsia="zh-CN"/>
        </w:rPr>
        <w:t>物业服务人</w:t>
      </w:r>
      <w:r>
        <w:rPr>
          <w:rFonts w:ascii="宋体" w:hAnsi="宋体" w:eastAsia="宋体" w:cs="宋体"/>
          <w:color w:val="auto"/>
          <w:sz w:val="21"/>
          <w:szCs w:val="21"/>
        </w:rPr>
        <w:t>和居民小区管理单位应建立日常消防管理和防火巡查制度</w:t>
      </w:r>
      <w:r>
        <w:rPr>
          <w:rFonts w:hint="eastAsia" w:ascii="宋体" w:hAnsi="宋体" w:eastAsia="宋体" w:cs="宋体"/>
          <w:color w:val="auto"/>
          <w:sz w:val="21"/>
          <w:szCs w:val="21"/>
        </w:rPr>
        <w:t>，</w:t>
      </w:r>
      <w:r>
        <w:rPr>
          <w:rFonts w:ascii="宋体" w:hAnsi="宋体" w:eastAsia="宋体" w:cs="宋体"/>
          <w:color w:val="auto"/>
          <w:sz w:val="21"/>
          <w:szCs w:val="21"/>
        </w:rPr>
        <w:t>明确专人负责，每天组织开展防火巡查，加强夜间防火巡查。防火巡查应如实填写巡查记录，及时消除</w:t>
      </w:r>
      <w:r>
        <w:rPr>
          <w:rFonts w:hint="eastAsia" w:ascii="宋体" w:hAnsi="宋体" w:eastAsia="宋体" w:cs="宋体"/>
          <w:color w:val="auto"/>
          <w:sz w:val="21"/>
          <w:szCs w:val="21"/>
        </w:rPr>
        <w:t>消防</w:t>
      </w:r>
      <w:r>
        <w:rPr>
          <w:rFonts w:ascii="宋体" w:hAnsi="宋体" w:eastAsia="宋体" w:cs="宋体"/>
          <w:color w:val="auto"/>
          <w:sz w:val="21"/>
          <w:szCs w:val="21"/>
        </w:rPr>
        <w:t>隐患。</w:t>
      </w:r>
    </w:p>
    <w:p w14:paraId="0C7AC861">
      <w:pPr>
        <w:numPr>
          <w:ilvl w:val="0"/>
          <w:numId w:val="0"/>
        </w:numPr>
        <w:tabs>
          <w:tab w:val="left" w:pos="638"/>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11.5</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电动自行车停放充场所</w:t>
      </w:r>
      <w:r>
        <w:rPr>
          <w:rFonts w:hint="eastAsia" w:ascii="宋体" w:hAnsi="宋体" w:eastAsia="宋体" w:cs="宋体"/>
          <w:color w:val="auto"/>
          <w:sz w:val="21"/>
          <w:szCs w:val="21"/>
        </w:rPr>
        <w:t>的设置</w:t>
      </w:r>
      <w:r>
        <w:rPr>
          <w:rFonts w:ascii="宋体" w:hAnsi="宋体" w:eastAsia="宋体" w:cs="宋体"/>
          <w:color w:val="auto"/>
          <w:sz w:val="21"/>
          <w:szCs w:val="21"/>
        </w:rPr>
        <w:t>不应妨碍消防车和室外消防设施器材的正常使用</w:t>
      </w:r>
      <w:r>
        <w:rPr>
          <w:rFonts w:hint="eastAsia" w:ascii="宋体" w:hAnsi="宋体" w:eastAsia="宋体" w:cs="宋体"/>
          <w:color w:val="auto"/>
          <w:sz w:val="21"/>
          <w:szCs w:val="21"/>
        </w:rPr>
        <w:t>。</w:t>
      </w:r>
    </w:p>
    <w:p w14:paraId="178E03CF">
      <w:pPr>
        <w:spacing w:line="61" w:lineRule="exact"/>
        <w:jc w:val="both"/>
        <w:rPr>
          <w:rFonts w:ascii="黑体" w:hAnsi="黑体" w:eastAsia="黑体" w:cs="黑体"/>
          <w:color w:val="auto"/>
          <w:sz w:val="21"/>
          <w:szCs w:val="21"/>
        </w:rPr>
      </w:pPr>
    </w:p>
    <w:p w14:paraId="6BE2A832">
      <w:pPr>
        <w:numPr>
          <w:ilvl w:val="0"/>
          <w:numId w:val="0"/>
        </w:numPr>
        <w:tabs>
          <w:tab w:val="left" w:pos="638"/>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11.6</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禁止</w:t>
      </w:r>
      <w:r>
        <w:rPr>
          <w:rFonts w:ascii="宋体" w:hAnsi="宋体" w:eastAsia="宋体" w:cs="宋体"/>
          <w:color w:val="auto"/>
          <w:sz w:val="21"/>
          <w:szCs w:val="21"/>
        </w:rPr>
        <w:t>在消防车道、疏散通道、安全出口、楼梯间等公共区域停放电动自行车或充电。</w:t>
      </w:r>
    </w:p>
    <w:p w14:paraId="0C9F749C">
      <w:pPr>
        <w:spacing w:line="61" w:lineRule="exact"/>
        <w:jc w:val="both"/>
        <w:rPr>
          <w:rFonts w:ascii="黑体" w:hAnsi="黑体" w:eastAsia="黑体" w:cs="黑体"/>
          <w:color w:val="auto"/>
          <w:sz w:val="21"/>
          <w:szCs w:val="21"/>
        </w:rPr>
      </w:pPr>
    </w:p>
    <w:p w14:paraId="39F5DBE1">
      <w:pPr>
        <w:numPr>
          <w:ilvl w:val="0"/>
          <w:numId w:val="0"/>
        </w:numPr>
        <w:tabs>
          <w:tab w:val="left" w:pos="638"/>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11.7</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禁止违反用电安全要求私拉电线、插座给电动自行车充电</w:t>
      </w:r>
      <w:r>
        <w:rPr>
          <w:rFonts w:ascii="宋体" w:hAnsi="宋体" w:eastAsia="宋体" w:cs="宋体"/>
          <w:color w:val="auto"/>
          <w:sz w:val="21"/>
          <w:szCs w:val="21"/>
        </w:rPr>
        <w:t>。</w:t>
      </w:r>
    </w:p>
    <w:p w14:paraId="1E28E963">
      <w:pPr>
        <w:spacing w:line="61" w:lineRule="exact"/>
        <w:jc w:val="both"/>
        <w:rPr>
          <w:rFonts w:ascii="黑体" w:hAnsi="黑体" w:eastAsia="黑体" w:cs="黑体"/>
          <w:color w:val="auto"/>
          <w:sz w:val="21"/>
          <w:szCs w:val="21"/>
        </w:rPr>
      </w:pPr>
    </w:p>
    <w:p w14:paraId="2B399B8A">
      <w:pPr>
        <w:numPr>
          <w:ilvl w:val="0"/>
          <w:numId w:val="0"/>
        </w:numPr>
        <w:tabs>
          <w:tab w:val="left" w:pos="638"/>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11.8</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禁止在电动自行车停放充电场所存放易燃、可燃物品</w:t>
      </w:r>
      <w:r>
        <w:rPr>
          <w:rFonts w:ascii="宋体" w:hAnsi="宋体" w:eastAsia="宋体" w:cs="宋体"/>
          <w:color w:val="auto"/>
          <w:sz w:val="21"/>
          <w:szCs w:val="21"/>
        </w:rPr>
        <w:t>。</w:t>
      </w:r>
    </w:p>
    <w:p w14:paraId="5ECBB17E">
      <w:pPr>
        <w:spacing w:line="61" w:lineRule="exact"/>
        <w:jc w:val="both"/>
        <w:rPr>
          <w:rFonts w:ascii="黑体" w:hAnsi="黑体" w:eastAsia="黑体" w:cs="黑体"/>
          <w:color w:val="auto"/>
          <w:sz w:val="21"/>
          <w:szCs w:val="21"/>
        </w:rPr>
      </w:pPr>
    </w:p>
    <w:p w14:paraId="462A2D4E">
      <w:pPr>
        <w:spacing w:line="31" w:lineRule="exact"/>
        <w:jc w:val="both"/>
        <w:rPr>
          <w:rFonts w:ascii="黑体" w:hAnsi="黑体" w:eastAsia="黑体" w:cs="黑体"/>
          <w:color w:val="auto"/>
          <w:sz w:val="21"/>
          <w:szCs w:val="21"/>
        </w:rPr>
      </w:pPr>
    </w:p>
    <w:p w14:paraId="140500CE">
      <w:pPr>
        <w:numPr>
          <w:ilvl w:val="0"/>
          <w:numId w:val="0"/>
        </w:numPr>
        <w:tabs>
          <w:tab w:val="left" w:pos="627"/>
        </w:tabs>
        <w:spacing w:line="239" w:lineRule="auto"/>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11.9</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禁止</w:t>
      </w:r>
      <w:r>
        <w:rPr>
          <w:rFonts w:ascii="宋体" w:hAnsi="宋体" w:eastAsia="宋体" w:cs="宋体"/>
          <w:color w:val="auto"/>
          <w:sz w:val="21"/>
          <w:szCs w:val="21"/>
        </w:rPr>
        <w:t>违规改装电动自行车和使用不合格的电池、充电设备。</w:t>
      </w:r>
    </w:p>
    <w:p w14:paraId="75A3E5AE">
      <w:pPr>
        <w:spacing w:line="103" w:lineRule="exact"/>
        <w:jc w:val="both"/>
        <w:rPr>
          <w:rFonts w:ascii="黑体" w:hAnsi="黑体" w:eastAsia="黑体" w:cs="黑体"/>
          <w:color w:val="auto"/>
          <w:sz w:val="21"/>
          <w:szCs w:val="21"/>
        </w:rPr>
      </w:pPr>
    </w:p>
    <w:p w14:paraId="17756286">
      <w:pPr>
        <w:numPr>
          <w:ilvl w:val="0"/>
          <w:numId w:val="0"/>
        </w:numPr>
        <w:tabs>
          <w:tab w:val="left" w:pos="744"/>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11.10</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使用电池供电的独立式感烟火灾探测报警器，应依据产品说明及时更换电池</w:t>
      </w:r>
      <w:r>
        <w:rPr>
          <w:rFonts w:hint="eastAsia" w:ascii="宋体" w:hAnsi="宋体" w:eastAsia="宋体" w:cs="宋体"/>
          <w:color w:val="auto"/>
          <w:sz w:val="21"/>
          <w:szCs w:val="21"/>
        </w:rPr>
        <w:t>。</w:t>
      </w:r>
    </w:p>
    <w:p w14:paraId="76CF060D">
      <w:pPr>
        <w:numPr>
          <w:ilvl w:val="0"/>
          <w:numId w:val="0"/>
        </w:numPr>
        <w:tabs>
          <w:tab w:val="left" w:pos="744"/>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11.11</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社区工作站、</w:t>
      </w:r>
      <w:r>
        <w:rPr>
          <w:rFonts w:hint="eastAsia" w:ascii="宋体" w:hAnsi="宋体" w:eastAsia="宋体" w:cs="宋体"/>
          <w:color w:val="auto"/>
          <w:sz w:val="21"/>
          <w:szCs w:val="21"/>
          <w:lang w:eastAsia="zh-CN"/>
        </w:rPr>
        <w:t>物业服务人</w:t>
      </w:r>
      <w:r>
        <w:rPr>
          <w:rFonts w:ascii="宋体" w:hAnsi="宋体" w:eastAsia="宋体" w:cs="宋体"/>
          <w:color w:val="auto"/>
          <w:sz w:val="21"/>
          <w:szCs w:val="21"/>
        </w:rPr>
        <w:t>或居民小区管理单位应经常组织开展电动自行车场所电气使用和着火后的紧急处理和疏散的消防宣传，且每年不少于2次。</w:t>
      </w:r>
    </w:p>
    <w:p w14:paraId="046FB308">
      <w:pPr>
        <w:spacing w:line="61" w:lineRule="exact"/>
        <w:jc w:val="both"/>
        <w:rPr>
          <w:rFonts w:ascii="黑体" w:hAnsi="黑体" w:eastAsia="黑体" w:cs="黑体"/>
          <w:color w:val="auto"/>
          <w:sz w:val="21"/>
          <w:szCs w:val="21"/>
        </w:rPr>
      </w:pPr>
    </w:p>
    <w:p w14:paraId="21062F2D">
      <w:pPr>
        <w:numPr>
          <w:ilvl w:val="0"/>
          <w:numId w:val="0"/>
        </w:numPr>
        <w:tabs>
          <w:tab w:val="left" w:pos="744"/>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11.12</w:t>
      </w:r>
      <w:r>
        <w:rPr>
          <w:rFonts w:hint="eastAsia" w:ascii="宋体" w:hAnsi="宋体" w:eastAsia="宋体" w:cs="宋体"/>
          <w:color w:val="auto"/>
          <w:sz w:val="21"/>
          <w:szCs w:val="21"/>
          <w:lang w:val="en-US" w:eastAsia="zh-CN"/>
        </w:rPr>
        <w:t xml:space="preserve">  </w:t>
      </w:r>
      <w:r>
        <w:rPr>
          <w:rFonts w:ascii="宋体" w:hAnsi="宋体" w:eastAsia="宋体" w:cs="宋体"/>
          <w:color w:val="auto"/>
          <w:sz w:val="21"/>
          <w:szCs w:val="21"/>
        </w:rPr>
        <w:t>不应在电动自行车停放充电场所设置值班室，如确需设置值班室的，值班室应设置在电动自行车停放充电场所外。</w:t>
      </w:r>
    </w:p>
    <w:p w14:paraId="06BE47FE">
      <w:pPr>
        <w:numPr>
          <w:ilvl w:val="0"/>
          <w:numId w:val="0"/>
        </w:numPr>
        <w:tabs>
          <w:tab w:val="left" w:pos="744"/>
        </w:tabs>
        <w:spacing w:line="282" w:lineRule="auto"/>
        <w:ind w:right="120" w:rightChars="0"/>
        <w:jc w:val="both"/>
        <w:rPr>
          <w:rFonts w:ascii="黑体" w:hAnsi="黑体" w:eastAsia="黑体" w:cs="黑体"/>
          <w:color w:val="auto"/>
          <w:sz w:val="21"/>
          <w:szCs w:val="21"/>
        </w:rPr>
      </w:pPr>
      <w:r>
        <w:rPr>
          <w:rFonts w:hint="eastAsia" w:ascii="黑体" w:hAnsi="黑体" w:eastAsia="黑体" w:cs="黑体"/>
          <w:color w:val="auto"/>
          <w:sz w:val="21"/>
          <w:szCs w:val="21"/>
          <w:lang w:val="en-US" w:eastAsia="zh-CN"/>
        </w:rPr>
        <w:t xml:space="preserve">11.13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机关、团体、企业、事业单位应负责本单位的电动自行车停放充电场所的消防安全管理工作。</w:t>
      </w:r>
    </w:p>
    <w:p w14:paraId="2812178B">
      <w:pPr>
        <w:keepNext w:val="0"/>
        <w:keepLines w:val="0"/>
        <w:pageBreakBefore w:val="0"/>
        <w:widowControl/>
        <w:numPr>
          <w:ilvl w:val="0"/>
          <w:numId w:val="0"/>
        </w:numPr>
        <w:tabs>
          <w:tab w:val="left" w:pos="744"/>
        </w:tabs>
        <w:kinsoku/>
        <w:wordWrap/>
        <w:overflowPunct/>
        <w:topLinePunct w:val="0"/>
        <w:autoSpaceDE/>
        <w:autoSpaceDN/>
        <w:bidi w:val="0"/>
        <w:adjustRightInd/>
        <w:snapToGrid/>
        <w:spacing w:line="281" w:lineRule="auto"/>
        <w:ind w:right="120" w:rightChars="0"/>
        <w:jc w:val="both"/>
        <w:textAlignment w:val="auto"/>
        <w:rPr>
          <w:rFonts w:ascii="宋体" w:hAnsi="宋体" w:eastAsia="宋体" w:cs="宋体"/>
          <w:color w:val="auto"/>
          <w:sz w:val="21"/>
          <w:szCs w:val="21"/>
        </w:rPr>
      </w:pPr>
      <w:r>
        <w:rPr>
          <w:rFonts w:hint="eastAsia" w:ascii="黑体" w:hAnsi="黑体" w:eastAsia="黑体" w:cs="黑体"/>
          <w:color w:val="auto"/>
          <w:sz w:val="21"/>
          <w:szCs w:val="21"/>
          <w:lang w:val="en-US" w:eastAsia="zh-CN"/>
        </w:rPr>
        <w:t>11.14</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村(居)民委员会、</w:t>
      </w:r>
      <w:r>
        <w:rPr>
          <w:rFonts w:hint="eastAsia" w:ascii="宋体" w:hAnsi="宋体" w:eastAsia="宋体" w:cs="宋体"/>
          <w:color w:val="auto"/>
          <w:sz w:val="21"/>
          <w:szCs w:val="21"/>
          <w:lang w:eastAsia="zh-CN"/>
        </w:rPr>
        <w:t>物业服务人</w:t>
      </w:r>
      <w:r>
        <w:rPr>
          <w:rFonts w:hint="eastAsia" w:ascii="宋体" w:hAnsi="宋体" w:eastAsia="宋体" w:cs="宋体"/>
          <w:color w:val="auto"/>
          <w:sz w:val="21"/>
          <w:szCs w:val="21"/>
        </w:rPr>
        <w:t>、社会单位等应</w:t>
      </w:r>
      <w:r>
        <w:rPr>
          <w:rFonts w:hint="eastAsia" w:ascii="宋体" w:hAnsi="宋体" w:eastAsia="宋体" w:cs="宋体"/>
          <w:color w:val="auto"/>
          <w:sz w:val="21"/>
          <w:szCs w:val="21"/>
          <w:lang w:eastAsia="zh-CN"/>
        </w:rPr>
        <w:t>遵循“便民、惠民、利民”原则，鼓励采用多方合作的创新模式，推动</w:t>
      </w:r>
      <w:r>
        <w:rPr>
          <w:rFonts w:ascii="宋体" w:hAnsi="宋体" w:eastAsia="宋体" w:cs="宋体"/>
          <w:color w:val="auto"/>
          <w:sz w:val="21"/>
          <w:szCs w:val="21"/>
          <w:lang w:val="en-US" w:eastAsia="zh-CN"/>
        </w:rPr>
        <w:t>智能电动自行车安全充电站</w:t>
      </w:r>
      <w:r>
        <w:rPr>
          <w:rFonts w:hint="eastAsia" w:ascii="宋体" w:hAnsi="宋体" w:eastAsia="宋体" w:cs="宋体"/>
          <w:color w:val="auto"/>
          <w:sz w:val="21"/>
          <w:szCs w:val="21"/>
          <w:lang w:val="en-US" w:eastAsia="zh-CN"/>
        </w:rPr>
        <w:t>等集中充电场所的建设</w:t>
      </w:r>
      <w:r>
        <w:rPr>
          <w:rFonts w:hint="eastAsia" w:ascii="宋体" w:hAnsi="宋体" w:eastAsia="宋体" w:cs="宋体"/>
          <w:color w:val="auto"/>
          <w:sz w:val="21"/>
          <w:szCs w:val="21"/>
        </w:rPr>
        <w:t>，</w:t>
      </w:r>
      <w:r>
        <w:rPr>
          <w:rFonts w:ascii="宋体" w:hAnsi="宋体" w:eastAsia="宋体" w:cs="宋体"/>
          <w:color w:val="auto"/>
          <w:sz w:val="21"/>
          <w:szCs w:val="21"/>
          <w:lang w:val="en-US" w:eastAsia="zh-CN"/>
        </w:rPr>
        <w:t>有效地解决电动</w:t>
      </w:r>
      <w:r>
        <w:rPr>
          <w:rFonts w:hint="eastAsia" w:ascii="宋体" w:hAnsi="宋体" w:eastAsia="宋体" w:cs="宋体"/>
          <w:color w:val="auto"/>
          <w:sz w:val="21"/>
          <w:szCs w:val="21"/>
          <w:lang w:val="en-US" w:eastAsia="zh-CN"/>
        </w:rPr>
        <w:t>自行车充电安全问题，集中</w:t>
      </w:r>
      <w:r>
        <w:rPr>
          <w:rFonts w:hint="eastAsia" w:ascii="宋体" w:hAnsi="宋体" w:eastAsia="宋体" w:cs="宋体"/>
          <w:color w:val="auto"/>
          <w:sz w:val="21"/>
          <w:szCs w:val="21"/>
          <w:lang w:eastAsia="zh-CN"/>
        </w:rPr>
        <w:t>充电项目的设置宜符合以下要求</w:t>
      </w:r>
      <w:r>
        <w:rPr>
          <w:rFonts w:hint="eastAsia" w:ascii="宋体" w:hAnsi="宋体" w:eastAsia="宋体" w:cs="宋体"/>
          <w:color w:val="auto"/>
          <w:sz w:val="21"/>
          <w:szCs w:val="21"/>
        </w:rPr>
        <w:t>:</w:t>
      </w:r>
    </w:p>
    <w:p w14:paraId="3534F31F">
      <w:pPr>
        <w:keepNext w:val="0"/>
        <w:keepLines w:val="0"/>
        <w:pageBreakBefore w:val="0"/>
        <w:widowControl/>
        <w:numPr>
          <w:ilvl w:val="1"/>
          <w:numId w:val="9"/>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具备电池故障诊断、自主切断电源、系统平台报警等主动防御功能。</w:t>
      </w:r>
    </w:p>
    <w:p w14:paraId="5D181CC7">
      <w:pPr>
        <w:keepNext w:val="0"/>
        <w:keepLines w:val="0"/>
        <w:pageBreakBefore w:val="0"/>
        <w:widowControl/>
        <w:numPr>
          <w:ilvl w:val="1"/>
          <w:numId w:val="9"/>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具备联动</w:t>
      </w:r>
      <w:r>
        <w:rPr>
          <w:rFonts w:hint="default" w:ascii="宋体" w:hAnsi="宋体" w:eastAsia="宋体" w:cs="宋体"/>
          <w:color w:val="auto"/>
          <w:sz w:val="21"/>
          <w:szCs w:val="21"/>
          <w:lang w:val="en-US" w:eastAsia="zh-CN"/>
        </w:rPr>
        <w:t>AI</w:t>
      </w:r>
      <w:r>
        <w:rPr>
          <w:rFonts w:hint="eastAsia" w:ascii="宋体" w:hAnsi="宋体" w:eastAsia="宋体" w:cs="宋体"/>
          <w:color w:val="auto"/>
          <w:sz w:val="21"/>
          <w:szCs w:val="21"/>
          <w:lang w:val="en-US" w:eastAsia="zh-CN"/>
        </w:rPr>
        <w:t>监控平台、用户、物业、属地政府等多层平台的实时监测报警功能。</w:t>
      </w:r>
    </w:p>
    <w:p w14:paraId="4321E884">
      <w:pPr>
        <w:keepNext w:val="0"/>
        <w:keepLines w:val="0"/>
        <w:pageBreakBefore w:val="0"/>
        <w:widowControl/>
        <w:numPr>
          <w:ilvl w:val="1"/>
          <w:numId w:val="9"/>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具备智能识别火焰、烟雾和火源位置的火焰检测功能。</w:t>
      </w:r>
    </w:p>
    <w:p w14:paraId="36C050B7">
      <w:pPr>
        <w:keepNext w:val="0"/>
        <w:keepLines w:val="0"/>
        <w:pageBreakBefore w:val="0"/>
        <w:widowControl/>
        <w:numPr>
          <w:ilvl w:val="1"/>
          <w:numId w:val="9"/>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设置自动重复启闭的智能喷水</w:t>
      </w:r>
      <w:bookmarkStart w:id="15" w:name="_GoBack"/>
      <w:bookmarkEnd w:id="15"/>
      <w:r>
        <w:rPr>
          <w:rFonts w:hint="eastAsia" w:ascii="宋体" w:hAnsi="宋体" w:eastAsia="宋体" w:cs="宋体"/>
          <w:color w:val="auto"/>
          <w:sz w:val="21"/>
          <w:szCs w:val="21"/>
          <w:lang w:val="en-US" w:eastAsia="zh-CN"/>
        </w:rPr>
        <w:t>（降温）系统。</w:t>
      </w:r>
    </w:p>
    <w:p w14:paraId="6F535F83">
      <w:pPr>
        <w:keepNext w:val="0"/>
        <w:keepLines w:val="0"/>
        <w:pageBreakBefore w:val="0"/>
        <w:widowControl/>
        <w:numPr>
          <w:ilvl w:val="0"/>
          <w:numId w:val="0"/>
        </w:numPr>
        <w:tabs>
          <w:tab w:val="left" w:pos="744"/>
        </w:tabs>
        <w:kinsoku/>
        <w:wordWrap/>
        <w:overflowPunct/>
        <w:topLinePunct w:val="0"/>
        <w:autoSpaceDE/>
        <w:autoSpaceDN/>
        <w:bidi w:val="0"/>
        <w:adjustRightInd/>
        <w:snapToGrid/>
        <w:spacing w:line="281" w:lineRule="auto"/>
        <w:ind w:right="120" w:rightChars="0"/>
        <w:jc w:val="both"/>
        <w:textAlignment w:val="auto"/>
        <w:rPr>
          <w:rFonts w:ascii="宋体" w:hAnsi="宋体" w:eastAsia="宋体" w:cs="宋体"/>
          <w:color w:val="auto"/>
          <w:sz w:val="21"/>
          <w:szCs w:val="21"/>
        </w:rPr>
      </w:pPr>
      <w:r>
        <w:rPr>
          <w:rFonts w:hint="eastAsia" w:ascii="黑体" w:hAnsi="黑体" w:eastAsia="黑体" w:cs="黑体"/>
          <w:color w:val="auto"/>
          <w:sz w:val="21"/>
          <w:szCs w:val="21"/>
          <w:lang w:val="en-US" w:eastAsia="zh-CN"/>
        </w:rPr>
        <w:t>11.15</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村(居)民委员会、</w:t>
      </w:r>
      <w:r>
        <w:rPr>
          <w:rFonts w:hint="eastAsia" w:ascii="宋体" w:hAnsi="宋体" w:eastAsia="宋体" w:cs="宋体"/>
          <w:color w:val="auto"/>
          <w:sz w:val="21"/>
          <w:szCs w:val="21"/>
          <w:lang w:eastAsia="zh-CN"/>
        </w:rPr>
        <w:t>物业服务人</w:t>
      </w:r>
      <w:r>
        <w:rPr>
          <w:rFonts w:hint="eastAsia" w:ascii="宋体" w:hAnsi="宋体" w:eastAsia="宋体" w:cs="宋体"/>
          <w:color w:val="auto"/>
          <w:sz w:val="21"/>
          <w:szCs w:val="21"/>
        </w:rPr>
        <w:t>、社会单位等应建立日常消防管理和巡查制度，并应符合以下要求:</w:t>
      </w:r>
    </w:p>
    <w:p w14:paraId="35E38641">
      <w:pPr>
        <w:keepNext w:val="0"/>
        <w:keepLines w:val="0"/>
        <w:pageBreakBefore w:val="0"/>
        <w:widowControl/>
        <w:numPr>
          <w:ilvl w:val="1"/>
          <w:numId w:val="10"/>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明确专人负责，每日组织开展防火巡查并加强夜间巡查，巡查时间间隔不宜大于2.00h，及时发现和制止在公共区域停放电动自行车或充电行为，巡查过程中发现设备外观破损、设备运行异常时应立即组织进行维修。</w:t>
      </w:r>
    </w:p>
    <w:p w14:paraId="70B31121">
      <w:pPr>
        <w:keepNext w:val="0"/>
        <w:keepLines w:val="0"/>
        <w:pageBreakBefore w:val="0"/>
        <w:widowControl/>
        <w:numPr>
          <w:ilvl w:val="1"/>
          <w:numId w:val="10"/>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每月至少对电动自行车充电设备的充满自动断电、定时断电、充电故障自动断电、过载保护、短路保护、漏电保护功能等进行一次全面检查。</w:t>
      </w:r>
    </w:p>
    <w:p w14:paraId="6778B694">
      <w:pPr>
        <w:keepNext w:val="0"/>
        <w:keepLines w:val="0"/>
        <w:pageBreakBefore w:val="0"/>
        <w:widowControl/>
        <w:numPr>
          <w:ilvl w:val="1"/>
          <w:numId w:val="10"/>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应当开展经常性的消防安全宣传，深入宣传电动自行车停放充电安全知识，普及初起火灾扑救和逃生自救常识。</w:t>
      </w:r>
    </w:p>
    <w:p w14:paraId="0A3A0BD3">
      <w:pPr>
        <w:keepNext w:val="0"/>
        <w:keepLines w:val="0"/>
        <w:pageBreakBefore w:val="0"/>
        <w:widowControl/>
        <w:numPr>
          <w:ilvl w:val="1"/>
          <w:numId w:val="10"/>
        </w:numPr>
        <w:tabs>
          <w:tab w:val="left" w:pos="844"/>
        </w:tabs>
        <w:kinsoku/>
        <w:wordWrap/>
        <w:overflowPunct/>
        <w:topLinePunct w:val="0"/>
        <w:autoSpaceDE/>
        <w:autoSpaceDN/>
        <w:bidi w:val="0"/>
        <w:adjustRightInd/>
        <w:snapToGrid/>
        <w:spacing w:line="281" w:lineRule="auto"/>
        <w:ind w:left="844" w:hanging="424"/>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应当制定灭火和应急疏散预案并定期组织演练。</w:t>
      </w:r>
    </w:p>
    <w:p w14:paraId="5DAA4254">
      <w:pPr>
        <w:numPr>
          <w:ilvl w:val="0"/>
          <w:numId w:val="0"/>
        </w:numPr>
        <w:tabs>
          <w:tab w:val="left" w:pos="844"/>
        </w:tabs>
        <w:spacing w:line="239" w:lineRule="auto"/>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p>
    <w:p w14:paraId="4F42D8A5">
      <w:pPr>
        <w:numPr>
          <w:ilvl w:val="0"/>
          <w:numId w:val="0"/>
        </w:numPr>
        <w:tabs>
          <w:tab w:val="left" w:pos="844"/>
        </w:tabs>
        <w:spacing w:line="239" w:lineRule="auto"/>
        <w:jc w:val="both"/>
        <w:rPr>
          <w:rFonts w:hint="eastAsia" w:ascii="宋体" w:hAnsi="宋体" w:eastAsia="宋体" w:cs="宋体"/>
          <w:color w:val="auto"/>
          <w:sz w:val="21"/>
          <w:szCs w:val="21"/>
        </w:rPr>
      </w:pPr>
    </w:p>
    <w:p w14:paraId="0235DDFD">
      <w:pPr>
        <w:tabs>
          <w:tab w:val="left" w:pos="744"/>
        </w:tabs>
        <w:spacing w:line="282" w:lineRule="auto"/>
        <w:ind w:left="7" w:right="120" w:hanging="7"/>
        <w:jc w:val="both"/>
        <w:rPr>
          <w:rFonts w:hint="eastAsia" w:eastAsia="宋体"/>
          <w:color w:val="auto"/>
          <w:sz w:val="20"/>
          <w:szCs w:val="20"/>
          <w:lang w:val="en-US" w:eastAsia="zh-CN"/>
        </w:rPr>
        <w:sectPr>
          <w:footerReference r:id="rId7" w:type="default"/>
          <w:pgSz w:w="11900" w:h="16838"/>
          <w:pgMar w:top="1420" w:right="1134" w:bottom="1134" w:left="1417" w:header="1417" w:footer="1417" w:gutter="0"/>
          <w:cols w:equalWidth="0" w:num="1">
            <w:col w:w="9467"/>
          </w:cols>
        </w:sectPr>
      </w:pPr>
    </w:p>
    <w:p w14:paraId="18C06D4A">
      <w:pPr>
        <w:spacing w:line="200" w:lineRule="exact"/>
        <w:rPr>
          <w:color w:val="auto"/>
          <w:sz w:val="20"/>
          <w:szCs w:val="20"/>
        </w:rPr>
      </w:pPr>
    </w:p>
    <w:p w14:paraId="202DF416">
      <w:pPr>
        <w:spacing w:line="200" w:lineRule="exact"/>
        <w:rPr>
          <w:color w:val="auto"/>
          <w:sz w:val="20"/>
          <w:szCs w:val="20"/>
        </w:rPr>
      </w:pPr>
    </w:p>
    <w:p w14:paraId="6FB8ADBE">
      <w:pPr>
        <w:spacing w:line="200" w:lineRule="exact"/>
        <w:rPr>
          <w:color w:val="auto"/>
          <w:sz w:val="20"/>
          <w:szCs w:val="20"/>
        </w:rPr>
      </w:pPr>
    </w:p>
    <w:p w14:paraId="31B39EDD">
      <w:pPr>
        <w:spacing w:line="200" w:lineRule="exact"/>
        <w:rPr>
          <w:color w:val="auto"/>
          <w:sz w:val="20"/>
          <w:szCs w:val="20"/>
        </w:rPr>
      </w:pPr>
    </w:p>
    <w:p w14:paraId="44324346">
      <w:pPr>
        <w:spacing w:line="200" w:lineRule="exact"/>
        <w:rPr>
          <w:color w:val="auto"/>
          <w:sz w:val="20"/>
          <w:szCs w:val="20"/>
        </w:rPr>
      </w:pPr>
    </w:p>
    <w:p w14:paraId="6A492614">
      <w:pPr>
        <w:spacing w:line="200" w:lineRule="exact"/>
        <w:rPr>
          <w:color w:val="auto"/>
          <w:sz w:val="20"/>
          <w:szCs w:val="20"/>
        </w:rPr>
      </w:pPr>
    </w:p>
    <w:p w14:paraId="18C97CF5">
      <w:pPr>
        <w:spacing w:line="200" w:lineRule="exact"/>
        <w:rPr>
          <w:color w:val="auto"/>
          <w:sz w:val="20"/>
          <w:szCs w:val="20"/>
        </w:rPr>
      </w:pPr>
    </w:p>
    <w:p w14:paraId="60FD2876">
      <w:pPr>
        <w:spacing w:line="200" w:lineRule="exact"/>
        <w:rPr>
          <w:color w:val="auto"/>
          <w:sz w:val="20"/>
          <w:szCs w:val="20"/>
        </w:rPr>
      </w:pPr>
    </w:p>
    <w:p w14:paraId="7B13EB48">
      <w:pPr>
        <w:spacing w:line="200" w:lineRule="exact"/>
        <w:rPr>
          <w:color w:val="auto"/>
          <w:sz w:val="20"/>
          <w:szCs w:val="20"/>
        </w:rPr>
      </w:pPr>
    </w:p>
    <w:sectPr>
      <w:type w:val="continuous"/>
      <w:pgSz w:w="11900" w:h="16838"/>
      <w:pgMar w:top="1420" w:right="1320" w:bottom="884" w:left="10480" w:header="0" w:footer="0" w:gutter="0"/>
      <w:cols w:equalWidth="0" w:num="1">
        <w:col w:w="1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3A1E9">
    <w:pPr>
      <w:pStyle w:val="4"/>
    </w:pPr>
    <w:r>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path/>
          <v:fill on="f" focussize="0,0"/>
          <v:stroke on="f" weight="0.5pt" joinstyle="miter"/>
          <v:imagedata o:title=""/>
          <o:lock v:ext="edit"/>
          <v:textbox inset="0mm,0mm,0mm,0mm" style="mso-fit-shape-to-text:t;">
            <w:txbxContent>
              <w:p w14:paraId="56635CD5">
                <w:pPr>
                  <w:pStyle w:val="4"/>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D69CF">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989BD">
    <w:pPr>
      <w:pStyle w:val="4"/>
      <w:ind w:firstLine="9360" w:firstLineChars="5200"/>
    </w:pPr>
    <w:r>
      <w:rPr>
        <w:rFonts w:hint="eastAsia"/>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CB868">
    <w:pPr>
      <w:pStyle w:val="4"/>
    </w:pPr>
    <w:r>
      <w:pict>
        <v:shape id="_x0000_s1027" o:spid="_x0000_s1027"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14:paraId="2206FD1F">
                <w:pPr>
                  <w:pStyle w:val="4"/>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3B2B9">
    <w:pPr>
      <w:spacing w:line="239" w:lineRule="auto"/>
      <w:jc w:val="right"/>
      <w:rPr>
        <w:rFonts w:hint="eastAsia" w:eastAsia="黑体"/>
        <w:lang w:eastAsia="zh-CN"/>
      </w:rPr>
    </w:pPr>
    <w:r>
      <w:rPr>
        <w:rFonts w:hint="eastAsia" w:ascii="黑体" w:hAnsi="黑体" w:eastAsia="黑体" w:cs="黑体"/>
        <w:sz w:val="21"/>
        <w:szCs w:val="21"/>
      </w:rPr>
      <w:t>DB**</w:t>
    </w:r>
    <w:r>
      <w:rPr>
        <w:rFonts w:hint="eastAsia" w:ascii="黑体" w:hAnsi="黑体" w:eastAsia="黑体" w:cs="黑体"/>
        <w:sz w:val="21"/>
        <w:szCs w:val="21"/>
        <w:lang w:val="en-US" w:eastAsia="zh-CN"/>
      </w:rPr>
      <w:t>-</w:t>
    </w:r>
    <w:r>
      <w:rPr>
        <w:rFonts w:hint="eastAsia" w:ascii="黑体" w:hAnsi="黑体" w:eastAsia="黑体" w:cs="黑体"/>
        <w:sz w:val="21"/>
        <w:szCs w:val="21"/>
      </w:rPr>
      <w:t>202</w:t>
    </w:r>
    <w:r>
      <w:rPr>
        <w:rFonts w:hint="eastAsia" w:ascii="黑体" w:hAnsi="黑体" w:eastAsia="黑体" w:cs="黑体"/>
        <w:sz w:val="21"/>
        <w:szCs w:val="21"/>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CA511"/>
    <w:multiLevelType w:val="multilevel"/>
    <w:tmpl w:val="BDECA511"/>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FA7C3483"/>
    <w:multiLevelType w:val="multilevel"/>
    <w:tmpl w:val="FA7C3483"/>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491C"/>
    <w:multiLevelType w:val="multilevel"/>
    <w:tmpl w:val="0000491C"/>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4DB7"/>
    <w:multiLevelType w:val="singleLevel"/>
    <w:tmpl w:val="00004DB7"/>
    <w:lvl w:ilvl="0" w:tentative="0">
      <w:start w:val="1"/>
      <w:numFmt w:val="decimal"/>
      <w:lvlText w:val="6.%1"/>
      <w:lvlJc w:val="left"/>
    </w:lvl>
  </w:abstractNum>
  <w:abstractNum w:abstractNumId="4">
    <w:nsid w:val="1046FE77"/>
    <w:multiLevelType w:val="multilevel"/>
    <w:tmpl w:val="1046FE77"/>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1D532D0F"/>
    <w:multiLevelType w:val="multilevel"/>
    <w:tmpl w:val="1D532D0F"/>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4799724"/>
    <w:multiLevelType w:val="multilevel"/>
    <w:tmpl w:val="24799724"/>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63EC86AC"/>
    <w:multiLevelType w:val="multilevel"/>
    <w:tmpl w:val="63EC86AC"/>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6827027D"/>
    <w:multiLevelType w:val="multilevel"/>
    <w:tmpl w:val="6827027D"/>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7F36B104"/>
    <w:multiLevelType w:val="multilevel"/>
    <w:tmpl w:val="7F36B104"/>
    <w:lvl w:ilvl="0" w:tentative="0">
      <w:start w:val="1"/>
      <w:numFmt w:val="decimal"/>
      <w:lvlText w:val="4.%1"/>
      <w:lvlJc w:val="left"/>
    </w:lvl>
    <w:lvl w:ilvl="1" w:tentative="0">
      <w:start w:val="1"/>
      <w:numFmt w:val="lowerLetter"/>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3"/>
  </w:num>
  <w:num w:numId="3">
    <w:abstractNumId w:val="7"/>
  </w:num>
  <w:num w:numId="4">
    <w:abstractNumId w:val="4"/>
  </w:num>
  <w:num w:numId="5">
    <w:abstractNumId w:val="0"/>
  </w:num>
  <w:num w:numId="6">
    <w:abstractNumId w:val="1"/>
  </w:num>
  <w:num w:numId="7">
    <w:abstractNumId w:val="8"/>
  </w:num>
  <w:num w:numId="8">
    <w:abstractNumId w:val="9"/>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1"/>
    </o:shapelayout>
  </w:hdrShapeDefaults>
  <w:compat>
    <w:doNotExpandShiftReturn/>
    <w:doNotWrapTextWithPunct/>
    <w:doNotUseEastAsianBreakRules/>
    <w:useFELayout/>
    <w:doNotUseIndentAsNumberingTabStop/>
    <w:compatSetting w:name="compatibilityMode" w:uri="http://schemas.microsoft.com/office/word" w:val="12"/>
  </w:compat>
  <w:docVars>
    <w:docVar w:name="commondata" w:val="eyJoZGlkIjoiNGRlYjYwN2M2MWNjYzFiYjY2NDU2YTg5MWM5ZGZiMmEifQ=="/>
  </w:docVars>
  <w:rsids>
    <w:rsidRoot w:val="009D48BA"/>
    <w:rsid w:val="002C7070"/>
    <w:rsid w:val="00385902"/>
    <w:rsid w:val="004057F4"/>
    <w:rsid w:val="006B7594"/>
    <w:rsid w:val="00880D80"/>
    <w:rsid w:val="00913A59"/>
    <w:rsid w:val="009D48BA"/>
    <w:rsid w:val="00BE3647"/>
    <w:rsid w:val="00F4585C"/>
    <w:rsid w:val="01A66653"/>
    <w:rsid w:val="02445A7A"/>
    <w:rsid w:val="029D33DC"/>
    <w:rsid w:val="03527A12"/>
    <w:rsid w:val="03A43768"/>
    <w:rsid w:val="03E017D2"/>
    <w:rsid w:val="043525B3"/>
    <w:rsid w:val="05C13301"/>
    <w:rsid w:val="062571EB"/>
    <w:rsid w:val="06291CE8"/>
    <w:rsid w:val="0659523F"/>
    <w:rsid w:val="06C4081B"/>
    <w:rsid w:val="08042E1A"/>
    <w:rsid w:val="081075BF"/>
    <w:rsid w:val="096C5132"/>
    <w:rsid w:val="0A8F0EA5"/>
    <w:rsid w:val="0AD03D1D"/>
    <w:rsid w:val="0AD167D8"/>
    <w:rsid w:val="0B9C09CA"/>
    <w:rsid w:val="0C545B8D"/>
    <w:rsid w:val="0E121122"/>
    <w:rsid w:val="0EBC4BEA"/>
    <w:rsid w:val="0ECB7F34"/>
    <w:rsid w:val="0F0F375B"/>
    <w:rsid w:val="10D94572"/>
    <w:rsid w:val="12175371"/>
    <w:rsid w:val="13B20028"/>
    <w:rsid w:val="151501EB"/>
    <w:rsid w:val="1522410A"/>
    <w:rsid w:val="15A308B2"/>
    <w:rsid w:val="172E171F"/>
    <w:rsid w:val="179037B1"/>
    <w:rsid w:val="18375D2F"/>
    <w:rsid w:val="18AB7A97"/>
    <w:rsid w:val="18EA3379"/>
    <w:rsid w:val="196E4D69"/>
    <w:rsid w:val="1A607D62"/>
    <w:rsid w:val="1C0C77CB"/>
    <w:rsid w:val="1C67088B"/>
    <w:rsid w:val="1C994D2B"/>
    <w:rsid w:val="1CE67A02"/>
    <w:rsid w:val="1DCC07B2"/>
    <w:rsid w:val="1F900840"/>
    <w:rsid w:val="1F9015D5"/>
    <w:rsid w:val="1F9730C2"/>
    <w:rsid w:val="204213F3"/>
    <w:rsid w:val="20544123"/>
    <w:rsid w:val="21F20677"/>
    <w:rsid w:val="230C1FE1"/>
    <w:rsid w:val="232211DA"/>
    <w:rsid w:val="23EC59C7"/>
    <w:rsid w:val="254A09B6"/>
    <w:rsid w:val="255B2F57"/>
    <w:rsid w:val="278414A5"/>
    <w:rsid w:val="29283150"/>
    <w:rsid w:val="29510D97"/>
    <w:rsid w:val="296B50A3"/>
    <w:rsid w:val="29E17F69"/>
    <w:rsid w:val="2A273351"/>
    <w:rsid w:val="2AFC578E"/>
    <w:rsid w:val="2B1D7D37"/>
    <w:rsid w:val="2B6E1C9E"/>
    <w:rsid w:val="2B9B54F8"/>
    <w:rsid w:val="2BE71B60"/>
    <w:rsid w:val="2BEC2168"/>
    <w:rsid w:val="2C271DE5"/>
    <w:rsid w:val="2C370995"/>
    <w:rsid w:val="2C3A34E8"/>
    <w:rsid w:val="2EBA6264"/>
    <w:rsid w:val="2F114EFA"/>
    <w:rsid w:val="2FDB2CCA"/>
    <w:rsid w:val="31C25FA3"/>
    <w:rsid w:val="32095D7D"/>
    <w:rsid w:val="322E5C7B"/>
    <w:rsid w:val="323532A9"/>
    <w:rsid w:val="33AF25F5"/>
    <w:rsid w:val="33C34B14"/>
    <w:rsid w:val="36D278DF"/>
    <w:rsid w:val="36D963E1"/>
    <w:rsid w:val="3787198A"/>
    <w:rsid w:val="378B1654"/>
    <w:rsid w:val="38A67C6C"/>
    <w:rsid w:val="38AD363C"/>
    <w:rsid w:val="3A5B3F9E"/>
    <w:rsid w:val="3BA14335"/>
    <w:rsid w:val="3C0969E7"/>
    <w:rsid w:val="3D5C68DA"/>
    <w:rsid w:val="3E32165F"/>
    <w:rsid w:val="3E931CE7"/>
    <w:rsid w:val="400F770A"/>
    <w:rsid w:val="40AC7A40"/>
    <w:rsid w:val="40E60052"/>
    <w:rsid w:val="41434B73"/>
    <w:rsid w:val="416D1BF0"/>
    <w:rsid w:val="42080636"/>
    <w:rsid w:val="426F291E"/>
    <w:rsid w:val="42C870AB"/>
    <w:rsid w:val="436624A0"/>
    <w:rsid w:val="44833758"/>
    <w:rsid w:val="454D7D06"/>
    <w:rsid w:val="457C3D37"/>
    <w:rsid w:val="465869CB"/>
    <w:rsid w:val="46690BD8"/>
    <w:rsid w:val="46706F8D"/>
    <w:rsid w:val="46B71114"/>
    <w:rsid w:val="47B31C86"/>
    <w:rsid w:val="4800477F"/>
    <w:rsid w:val="488C7E08"/>
    <w:rsid w:val="48FA020D"/>
    <w:rsid w:val="49665AB9"/>
    <w:rsid w:val="4A0774FB"/>
    <w:rsid w:val="4B3F563E"/>
    <w:rsid w:val="4B6B53F2"/>
    <w:rsid w:val="4C172E84"/>
    <w:rsid w:val="4C20442F"/>
    <w:rsid w:val="4C5C5745"/>
    <w:rsid w:val="4C73001B"/>
    <w:rsid w:val="4CEF30EC"/>
    <w:rsid w:val="4D2E04B3"/>
    <w:rsid w:val="4D2E3846"/>
    <w:rsid w:val="4D9661AB"/>
    <w:rsid w:val="51477D68"/>
    <w:rsid w:val="53D6349A"/>
    <w:rsid w:val="567F1D52"/>
    <w:rsid w:val="56F42F69"/>
    <w:rsid w:val="56F736B7"/>
    <w:rsid w:val="57B46714"/>
    <w:rsid w:val="57E52089"/>
    <w:rsid w:val="580A121C"/>
    <w:rsid w:val="58327D2C"/>
    <w:rsid w:val="588E68B0"/>
    <w:rsid w:val="5A5063EA"/>
    <w:rsid w:val="5A874C25"/>
    <w:rsid w:val="5B2D18F8"/>
    <w:rsid w:val="5BB26726"/>
    <w:rsid w:val="5BEF797A"/>
    <w:rsid w:val="5C065105"/>
    <w:rsid w:val="5C791674"/>
    <w:rsid w:val="5CD70B8F"/>
    <w:rsid w:val="5D086F45"/>
    <w:rsid w:val="5DD841AD"/>
    <w:rsid w:val="5E892C7E"/>
    <w:rsid w:val="5ECD3E19"/>
    <w:rsid w:val="5F621CC0"/>
    <w:rsid w:val="5F875ED3"/>
    <w:rsid w:val="604945DA"/>
    <w:rsid w:val="60D96503"/>
    <w:rsid w:val="614960FC"/>
    <w:rsid w:val="61852428"/>
    <w:rsid w:val="61BD399A"/>
    <w:rsid w:val="61CC7AD3"/>
    <w:rsid w:val="61E87DFF"/>
    <w:rsid w:val="62CD2EF8"/>
    <w:rsid w:val="630B0AAB"/>
    <w:rsid w:val="633D3C39"/>
    <w:rsid w:val="63600B1B"/>
    <w:rsid w:val="63E20E05"/>
    <w:rsid w:val="64604993"/>
    <w:rsid w:val="64A42346"/>
    <w:rsid w:val="65C37EAD"/>
    <w:rsid w:val="65D702E7"/>
    <w:rsid w:val="66A73ADE"/>
    <w:rsid w:val="673B1FC4"/>
    <w:rsid w:val="688121BD"/>
    <w:rsid w:val="69913E1E"/>
    <w:rsid w:val="69CC4B97"/>
    <w:rsid w:val="69E623BC"/>
    <w:rsid w:val="6BFC7B38"/>
    <w:rsid w:val="6CBF640D"/>
    <w:rsid w:val="6D820FDE"/>
    <w:rsid w:val="6DEC7BEE"/>
    <w:rsid w:val="6E167C36"/>
    <w:rsid w:val="71BC09E9"/>
    <w:rsid w:val="71E82A49"/>
    <w:rsid w:val="72867401"/>
    <w:rsid w:val="72C664D9"/>
    <w:rsid w:val="74051691"/>
    <w:rsid w:val="74675EA7"/>
    <w:rsid w:val="74A33785"/>
    <w:rsid w:val="778F432B"/>
    <w:rsid w:val="78844AED"/>
    <w:rsid w:val="788907B4"/>
    <w:rsid w:val="78CB1B48"/>
    <w:rsid w:val="79A62092"/>
    <w:rsid w:val="79ED400D"/>
    <w:rsid w:val="7A372429"/>
    <w:rsid w:val="7B4A56E6"/>
    <w:rsid w:val="7B9B42AA"/>
    <w:rsid w:val="7CCA59B9"/>
    <w:rsid w:val="7DCF627A"/>
    <w:rsid w:val="7EB87274"/>
    <w:rsid w:val="7EBD74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paragraph" w:styleId="3">
    <w:name w:val="Balloon Text"/>
    <w:basedOn w:val="1"/>
    <w:link w:val="11"/>
    <w:semiHidden/>
    <w:unhideWhenUsed/>
    <w:qFormat/>
    <w:uiPriority w:val="99"/>
    <w:rPr>
      <w:sz w:val="18"/>
      <w:szCs w:val="18"/>
    </w:rPr>
  </w:style>
  <w:style w:type="paragraph" w:styleId="4">
    <w:name w:val="footer"/>
    <w:basedOn w:val="1"/>
    <w:semiHidden/>
    <w:unhideWhenUsed/>
    <w:qFormat/>
    <w:uiPriority w:val="99"/>
    <w:pPr>
      <w:tabs>
        <w:tab w:val="center" w:pos="4153"/>
        <w:tab w:val="right" w:pos="8306"/>
      </w:tabs>
      <w:snapToGrid w:val="0"/>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semiHidden/>
    <w:unhideWhenUsed/>
    <w:qFormat/>
    <w:uiPriority w:val="99"/>
    <w:rPr>
      <w:sz w:val="24"/>
    </w:rPr>
  </w:style>
  <w:style w:type="character" w:styleId="9">
    <w:name w:val="Strong"/>
    <w:basedOn w:val="8"/>
    <w:qFormat/>
    <w:uiPriority w:val="22"/>
    <w:rPr>
      <w:b/>
    </w:rPr>
  </w:style>
  <w:style w:type="character" w:styleId="10">
    <w:name w:val="annotation reference"/>
    <w:basedOn w:val="8"/>
    <w:semiHidden/>
    <w:unhideWhenUsed/>
    <w:qFormat/>
    <w:uiPriority w:val="99"/>
    <w:rPr>
      <w:sz w:val="21"/>
      <w:szCs w:val="21"/>
    </w:rPr>
  </w:style>
  <w:style w:type="character" w:customStyle="1" w:styleId="11">
    <w:name w:val="批注框文本 Char"/>
    <w:basedOn w:val="8"/>
    <w:link w:val="3"/>
    <w:semiHidden/>
    <w:qFormat/>
    <w:uiPriority w:val="99"/>
    <w:rPr>
      <w:rFonts w:asciiTheme="minorHAnsi" w:hAnsiTheme="minorHAnsi" w:eastAsiaTheme="minorEastAsia" w:cstheme="minorBidi"/>
      <w:sz w:val="18"/>
      <w:szCs w:val="18"/>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cs="Times New Roman" w:eastAsiaTheme="minorEastAsia"/>
      <w:sz w:val="21"/>
      <w:lang w:val="en-US" w:eastAsia="zh-CN" w:bidi="ar-SA"/>
    </w:rPr>
  </w:style>
  <w:style w:type="paragraph" w:customStyle="1" w:styleId="13">
    <w:name w:val="其他发布部门"/>
    <w:basedOn w:val="14"/>
    <w:qFormat/>
    <w:uiPriority w:val="0"/>
    <w:pPr>
      <w:framePr w:y="15310"/>
      <w:spacing w:line="240" w:lineRule="atLeast"/>
    </w:pPr>
    <w:rPr>
      <w:rFonts w:ascii="黑体" w:eastAsia="Times New Roman"/>
      <w:b w:val="0"/>
    </w:rPr>
  </w:style>
  <w:style w:type="paragraph" w:customStyle="1" w:styleId="14">
    <w:name w:val="发布部门"/>
    <w:next w:val="12"/>
    <w:qFormat/>
    <w:uiPriority w:val="0"/>
    <w:pPr>
      <w:framePr w:w="7938" w:h="1134" w:hRule="exact" w:hSpace="125" w:vSpace="181" w:wrap="around" w:vAnchor="page" w:hAnchor="page" w:x="2150" w:y="14630" w:anchorLock="1"/>
      <w:jc w:val="center"/>
    </w:pPr>
    <w:rPr>
      <w:rFonts w:ascii="宋体" w:hAnsi="Times New Roman" w:cs="Times New Roman" w:eastAsiaTheme="minorEastAsia"/>
      <w:b/>
      <w:spacing w:val="20"/>
      <w:w w:val="135"/>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7656</Words>
  <Characters>8460</Characters>
  <Lines>63</Lines>
  <Paragraphs>17</Paragraphs>
  <TotalTime>83</TotalTime>
  <ScaleCrop>false</ScaleCrop>
  <LinksUpToDate>false</LinksUpToDate>
  <CharactersWithSpaces>8828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2023-05-09T10:10:00Z</dcterms:created>
  <dc:creator>Windows User</dc:creator>
  <cp:lastModifiedBy>哲增</cp:lastModifiedBy>
  <cp:lastPrinted>2023-04-23T03:02:00Z</cp:lastPrinted>
  <dcterms:modified xsi:type="dcterms:W3CDTF">2024-12-04T09:20:21Z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FC45715417FA43C39CA7D29B4894E03F</vt:lpwstr>
  </property>
</Properties>
</file>