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CCCB">
      <w:pPr>
        <w:widowControl/>
        <w:snapToGrid w:val="0"/>
        <w:spacing w:line="500" w:lineRule="exact"/>
        <w:outlineLvl w:val="3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附件1</w:t>
      </w:r>
    </w:p>
    <w:p w14:paraId="6B46972E">
      <w:pPr>
        <w:widowControl/>
        <w:snapToGrid w:val="0"/>
        <w:spacing w:line="200" w:lineRule="exact"/>
        <w:outlineLvl w:val="3"/>
        <w:rPr>
          <w:rFonts w:ascii="仿宋_GB2312" w:hAnsi="仿宋_GB2312" w:eastAsia="仿宋_GB2312"/>
          <w:sz w:val="32"/>
          <w:szCs w:val="32"/>
        </w:rPr>
      </w:pPr>
    </w:p>
    <w:p w14:paraId="2D97BC0D">
      <w:pPr>
        <w:widowControl/>
        <w:snapToGrid w:val="0"/>
        <w:spacing w:line="600" w:lineRule="exact"/>
        <w:jc w:val="center"/>
        <w:outlineLvl w:val="3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揭阳市202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年省级促进小微工业企业</w:t>
      </w:r>
    </w:p>
    <w:p w14:paraId="1E0D566D">
      <w:pPr>
        <w:widowControl/>
        <w:snapToGrid w:val="0"/>
        <w:spacing w:line="600" w:lineRule="exact"/>
        <w:jc w:val="center"/>
        <w:outlineLvl w:val="3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上规模发展奖补资金安排计划汇总表</w:t>
      </w:r>
    </w:p>
    <w:p w14:paraId="263C3F32">
      <w:pPr>
        <w:spacing w:line="2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66"/>
        <w:gridCol w:w="1420"/>
        <w:gridCol w:w="1276"/>
        <w:gridCol w:w="1277"/>
        <w:gridCol w:w="3827"/>
      </w:tblGrid>
      <w:tr w14:paraId="08BD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74" w:type="dxa"/>
            <w:vAlign w:val="center"/>
          </w:tcPr>
          <w:p w14:paraId="4EAC84F2">
            <w:pPr>
              <w:spacing w:line="340" w:lineRule="exact"/>
              <w:jc w:val="center"/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center"/>
          </w:tcPr>
          <w:p w14:paraId="63B731D9">
            <w:pPr>
              <w:spacing w:line="34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14:paraId="06EBD5E6">
            <w:pPr>
              <w:spacing w:line="34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629ABDD0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安排额度</w:t>
            </w:r>
          </w:p>
          <w:p w14:paraId="71F2C420">
            <w:pPr>
              <w:spacing w:line="34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（万元）</w:t>
            </w:r>
          </w:p>
        </w:tc>
        <w:tc>
          <w:tcPr>
            <w:tcW w:w="1277" w:type="dxa"/>
            <w:vAlign w:val="center"/>
          </w:tcPr>
          <w:p w14:paraId="7482A80E">
            <w:pPr>
              <w:spacing w:line="34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所属县区</w:t>
            </w:r>
          </w:p>
        </w:tc>
        <w:tc>
          <w:tcPr>
            <w:tcW w:w="3827" w:type="dxa"/>
            <w:vAlign w:val="center"/>
          </w:tcPr>
          <w:p w14:paraId="79CBF342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 w14:paraId="5DCA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4" w:type="dxa"/>
            <w:vAlign w:val="center"/>
          </w:tcPr>
          <w:p w14:paraId="0E4D9A60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14:paraId="29EA812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榕城区</w:t>
            </w:r>
          </w:p>
          <w:p w14:paraId="60BF211B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14:paraId="71D9D1D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256B852F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1280</w:t>
            </w:r>
          </w:p>
        </w:tc>
        <w:tc>
          <w:tcPr>
            <w:tcW w:w="1277" w:type="dxa"/>
            <w:vAlign w:val="center"/>
          </w:tcPr>
          <w:p w14:paraId="62089BEC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榕城区</w:t>
            </w:r>
          </w:p>
        </w:tc>
        <w:tc>
          <w:tcPr>
            <w:tcW w:w="3827" w:type="dxa"/>
            <w:vAlign w:val="center"/>
          </w:tcPr>
          <w:p w14:paraId="387131F9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家企业（202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年度新升规工业企业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家、</w:t>
            </w: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年小升规后</w:t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年工业增加值仍保持</w:t>
            </w:r>
            <w:r>
              <w:t>10%</w:t>
            </w:r>
            <w:r>
              <w:rPr>
                <w:rFonts w:hint="eastAsia"/>
              </w:rPr>
              <w:t>以上增长的企业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家）。</w:t>
            </w:r>
          </w:p>
        </w:tc>
      </w:tr>
      <w:tr w14:paraId="0D1A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4" w:type="dxa"/>
            <w:vAlign w:val="center"/>
          </w:tcPr>
          <w:p w14:paraId="4FCBA175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51A54774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揭东区</w:t>
            </w:r>
          </w:p>
          <w:p w14:paraId="08AC8191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14:paraId="6DD87BC1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29382E20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1440</w:t>
            </w:r>
          </w:p>
        </w:tc>
        <w:tc>
          <w:tcPr>
            <w:tcW w:w="1277" w:type="dxa"/>
            <w:vAlign w:val="center"/>
          </w:tcPr>
          <w:p w14:paraId="77DE513E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揭东区</w:t>
            </w:r>
          </w:p>
        </w:tc>
        <w:tc>
          <w:tcPr>
            <w:tcW w:w="3827" w:type="dxa"/>
            <w:vAlign w:val="center"/>
          </w:tcPr>
          <w:p w14:paraId="216FDA53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72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36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36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7BAD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4" w:type="dxa"/>
            <w:vAlign w:val="center"/>
          </w:tcPr>
          <w:p w14:paraId="4DE30B5A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3FB8AAD2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普宁市</w:t>
            </w:r>
          </w:p>
          <w:p w14:paraId="2A648739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14:paraId="7FB52F0B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14DFAD92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2660</w:t>
            </w:r>
          </w:p>
        </w:tc>
        <w:tc>
          <w:tcPr>
            <w:tcW w:w="1277" w:type="dxa"/>
            <w:vAlign w:val="center"/>
          </w:tcPr>
          <w:p w14:paraId="744B1B8D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普宁市</w:t>
            </w:r>
          </w:p>
        </w:tc>
        <w:tc>
          <w:tcPr>
            <w:tcW w:w="3827" w:type="dxa"/>
            <w:vAlign w:val="center"/>
          </w:tcPr>
          <w:p w14:paraId="59BCEB91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133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90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43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2B94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74" w:type="dxa"/>
            <w:vAlign w:val="center"/>
          </w:tcPr>
          <w:p w14:paraId="33358C2F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14:paraId="7BAA8213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揭西县</w:t>
            </w:r>
          </w:p>
          <w:p w14:paraId="0F46E7F9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14:paraId="24725573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1EAE21B8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77" w:type="dxa"/>
            <w:vAlign w:val="center"/>
          </w:tcPr>
          <w:p w14:paraId="00CC6C3A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揭西县</w:t>
            </w:r>
          </w:p>
        </w:tc>
        <w:tc>
          <w:tcPr>
            <w:tcW w:w="3827" w:type="dxa"/>
            <w:vAlign w:val="center"/>
          </w:tcPr>
          <w:p w14:paraId="6CD2EDDD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14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0B7A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4" w:type="dxa"/>
            <w:vAlign w:val="center"/>
          </w:tcPr>
          <w:p w14:paraId="4116717C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4A55E8EC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auto"/>
                <w:sz w:val="24"/>
                <w:szCs w:val="24"/>
              </w:rPr>
              <w:t>惠来县</w:t>
            </w:r>
          </w:p>
          <w:p w14:paraId="04845231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14:paraId="65B315B8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38AAB6CD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7" w:type="dxa"/>
            <w:vAlign w:val="center"/>
          </w:tcPr>
          <w:p w14:paraId="236D6521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惠来县</w:t>
            </w:r>
          </w:p>
        </w:tc>
        <w:tc>
          <w:tcPr>
            <w:tcW w:w="3827" w:type="dxa"/>
            <w:vAlign w:val="center"/>
          </w:tcPr>
          <w:p w14:paraId="1956D23F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4937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74" w:type="dxa"/>
            <w:vAlign w:val="center"/>
          </w:tcPr>
          <w:p w14:paraId="37C491D3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14:paraId="64A219D7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auto"/>
                <w:sz w:val="24"/>
                <w:szCs w:val="24"/>
              </w:rPr>
              <w:t>揭阳产业园管委会</w:t>
            </w:r>
          </w:p>
        </w:tc>
        <w:tc>
          <w:tcPr>
            <w:tcW w:w="1420" w:type="dxa"/>
            <w:vAlign w:val="center"/>
          </w:tcPr>
          <w:p w14:paraId="136B317E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067793C6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277" w:type="dxa"/>
            <w:vAlign w:val="center"/>
          </w:tcPr>
          <w:p w14:paraId="2614EED8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产业园</w:t>
            </w:r>
          </w:p>
        </w:tc>
        <w:tc>
          <w:tcPr>
            <w:tcW w:w="3827" w:type="dxa"/>
            <w:vAlign w:val="center"/>
          </w:tcPr>
          <w:p w14:paraId="020EC564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0E67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74" w:type="dxa"/>
            <w:vAlign w:val="center"/>
          </w:tcPr>
          <w:p w14:paraId="015F636E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14:paraId="2B614560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高新区</w:t>
            </w:r>
          </w:p>
          <w:p w14:paraId="09746A8B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管委会</w:t>
            </w:r>
          </w:p>
        </w:tc>
        <w:tc>
          <w:tcPr>
            <w:tcW w:w="1420" w:type="dxa"/>
            <w:vAlign w:val="center"/>
          </w:tcPr>
          <w:p w14:paraId="77D97784">
            <w:pPr>
              <w:spacing w:line="340" w:lineRule="exact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14:paraId="2C24CFE6"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77" w:type="dxa"/>
            <w:vAlign w:val="center"/>
          </w:tcPr>
          <w:p w14:paraId="07C28F99">
            <w:pPr>
              <w:autoSpaceDN w:val="0"/>
              <w:spacing w:line="34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高新区</w:t>
            </w:r>
          </w:p>
        </w:tc>
        <w:tc>
          <w:tcPr>
            <w:tcW w:w="3827" w:type="dxa"/>
            <w:vAlign w:val="center"/>
          </w:tcPr>
          <w:p w14:paraId="139650FF">
            <w:pPr>
              <w:autoSpaceDN w:val="0"/>
              <w:spacing w:line="34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家企业（202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年度新升规工业企业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家、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年小升规后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年工业增加值仍保持</w:t>
            </w:r>
            <w:r>
              <w:rPr>
                <w:color w:val="auto"/>
              </w:rPr>
              <w:t>10%</w:t>
            </w:r>
            <w:r>
              <w:rPr>
                <w:rFonts w:hint="eastAsia"/>
                <w:color w:val="auto"/>
              </w:rPr>
              <w:t>以上增长的企业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家）。</w:t>
            </w:r>
          </w:p>
        </w:tc>
      </w:tr>
      <w:tr w14:paraId="2A3B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460" w:type="dxa"/>
            <w:gridSpan w:val="3"/>
            <w:vAlign w:val="center"/>
          </w:tcPr>
          <w:p w14:paraId="456D8BC5">
            <w:pPr>
              <w:spacing w:line="34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39CF64DC">
            <w:pPr>
              <w:spacing w:line="340" w:lineRule="exact"/>
              <w:jc w:val="center"/>
              <w:rPr>
                <w:rFonts w:hint="default" w:ascii="黑体" w:hAnsi="黑体" w:eastAsia="黑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  <w:lang w:val="en-US" w:eastAsia="zh-CN"/>
              </w:rPr>
              <w:t>6400</w:t>
            </w:r>
          </w:p>
        </w:tc>
        <w:tc>
          <w:tcPr>
            <w:tcW w:w="1277" w:type="dxa"/>
            <w:vAlign w:val="center"/>
          </w:tcPr>
          <w:p w14:paraId="24C4161F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94E0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家企业（202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年度新升规工业企业</w:t>
            </w:r>
            <w:r>
              <w:rPr>
                <w:rFonts w:hint="eastAsia"/>
                <w:lang w:val="en-US" w:eastAsia="zh-CN"/>
              </w:rPr>
              <w:t>188</w:t>
            </w:r>
            <w:r>
              <w:rPr>
                <w:rFonts w:hint="eastAsia"/>
              </w:rPr>
              <w:t>家、</w:t>
            </w: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年小升规后</w:t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年工业增加值仍保持</w:t>
            </w:r>
            <w:r>
              <w:t>10%</w:t>
            </w:r>
            <w:r>
              <w:rPr>
                <w:rFonts w:hint="eastAsia"/>
              </w:rPr>
              <w:t>以上增长的企业</w:t>
            </w:r>
            <w:r>
              <w:rPr>
                <w:rFonts w:hint="eastAsia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家）。</w:t>
            </w:r>
          </w:p>
        </w:tc>
      </w:tr>
    </w:tbl>
    <w:p w14:paraId="1AAB4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MGZlYWE1YmZmYTljMDI5MjVmMWNjZWE2ZTA5MjkifQ=="/>
  </w:docVars>
  <w:rsids>
    <w:rsidRoot w:val="00DB4385"/>
    <w:rsid w:val="00093DBA"/>
    <w:rsid w:val="00150CC5"/>
    <w:rsid w:val="001A23E6"/>
    <w:rsid w:val="00560E73"/>
    <w:rsid w:val="00610C60"/>
    <w:rsid w:val="0065797A"/>
    <w:rsid w:val="006E6ACA"/>
    <w:rsid w:val="00716677"/>
    <w:rsid w:val="007858AC"/>
    <w:rsid w:val="00820D75"/>
    <w:rsid w:val="009C2E07"/>
    <w:rsid w:val="00A03541"/>
    <w:rsid w:val="00C2588C"/>
    <w:rsid w:val="00DB4385"/>
    <w:rsid w:val="00DF2312"/>
    <w:rsid w:val="00E971D1"/>
    <w:rsid w:val="04E04218"/>
    <w:rsid w:val="0C4A5554"/>
    <w:rsid w:val="1406304D"/>
    <w:rsid w:val="19547518"/>
    <w:rsid w:val="1C096381"/>
    <w:rsid w:val="24FB6014"/>
    <w:rsid w:val="272B7390"/>
    <w:rsid w:val="2A9D68B2"/>
    <w:rsid w:val="2BA22AC7"/>
    <w:rsid w:val="486B4A87"/>
    <w:rsid w:val="557A1E5A"/>
    <w:rsid w:val="626F653F"/>
    <w:rsid w:val="63A931D0"/>
    <w:rsid w:val="65005332"/>
    <w:rsid w:val="6DE27FA2"/>
    <w:rsid w:val="6E606C6A"/>
    <w:rsid w:val="726068FC"/>
    <w:rsid w:val="7ACF53AC"/>
    <w:rsid w:val="7AF91D13"/>
    <w:rsid w:val="7E9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612</Words>
  <Characters>746</Characters>
  <Lines>6</Lines>
  <Paragraphs>1</Paragraphs>
  <TotalTime>3</TotalTime>
  <ScaleCrop>false</ScaleCrop>
  <LinksUpToDate>false</LinksUpToDate>
  <CharactersWithSpaces>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2022-12-29T02:16:00Z</dcterms:created>
  <dc:creator>User</dc:creator>
  <cp:lastModifiedBy>xj</cp:lastModifiedBy>
  <cp:lastPrinted>2022-12-29T08:22:00Z</cp:lastPrinted>
  <dcterms:modified xsi:type="dcterms:W3CDTF">2024-10-18T06:52:32Z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07E004E670EC48A9BD9CFC6A3EA5AE38_13</vt:lpwstr>
  </property>
</Properties>
</file>