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2A88E">
      <w:pPr>
        <w:spacing w:line="480" w:lineRule="auto"/>
        <w:jc w:val="center"/>
        <w:textAlignment w:val="baseline"/>
        <w:rPr>
          <w:rStyle w:val="13"/>
          <w:rFonts w:ascii="Calibri" w:hAnsi="Calibri"/>
          <w:kern w:val="2"/>
          <w:sz w:val="32"/>
          <w:szCs w:val="32"/>
          <w:lang w:val="en-US" w:eastAsia="zh-CN" w:bidi="ar-SA"/>
        </w:rPr>
      </w:pPr>
    </w:p>
    <w:p w14:paraId="59A044A0">
      <w:pPr>
        <w:spacing w:line="480" w:lineRule="auto"/>
        <w:jc w:val="center"/>
        <w:textAlignment w:val="baseline"/>
        <w:rPr>
          <w:rStyle w:val="13"/>
          <w:rFonts w:ascii="Calibri" w:hAnsi="Calibri"/>
          <w:kern w:val="2"/>
          <w:sz w:val="32"/>
          <w:szCs w:val="32"/>
          <w:lang w:val="en-US" w:eastAsia="zh-CN" w:bidi="ar-SA"/>
        </w:rPr>
      </w:pPr>
    </w:p>
    <w:p w14:paraId="6DAE84F8">
      <w:pPr>
        <w:spacing w:line="480" w:lineRule="auto"/>
        <w:jc w:val="center"/>
        <w:textAlignment w:val="baseline"/>
        <w:rPr>
          <w:rStyle w:val="13"/>
          <w:rFonts w:ascii="Calibri" w:hAnsi="Calibri"/>
          <w:kern w:val="2"/>
          <w:sz w:val="32"/>
          <w:szCs w:val="32"/>
          <w:lang w:val="en-US" w:eastAsia="zh-CN" w:bidi="ar-SA"/>
        </w:rPr>
      </w:pPr>
    </w:p>
    <w:p w14:paraId="3E045C3C">
      <w:pPr>
        <w:spacing w:line="480" w:lineRule="auto"/>
        <w:jc w:val="center"/>
        <w:textAlignment w:val="baseline"/>
        <w:rPr>
          <w:rStyle w:val="13"/>
          <w:rFonts w:ascii="Calibri" w:hAnsi="Calibri"/>
          <w:kern w:val="2"/>
          <w:sz w:val="32"/>
          <w:szCs w:val="32"/>
          <w:lang w:val="en-US" w:eastAsia="zh-CN" w:bidi="ar-SA"/>
        </w:rPr>
      </w:pPr>
    </w:p>
    <w:p w14:paraId="18354D34">
      <w:pPr>
        <w:spacing w:line="480" w:lineRule="auto"/>
        <w:jc w:val="center"/>
        <w:textAlignment w:val="baseline"/>
        <w:rPr>
          <w:rStyle w:val="13"/>
          <w:rFonts w:ascii="Calibri" w:hAnsi="Calibri"/>
          <w:kern w:val="2"/>
          <w:sz w:val="32"/>
          <w:szCs w:val="32"/>
          <w:lang w:val="en-US" w:eastAsia="zh-CN" w:bidi="ar-SA"/>
        </w:rPr>
      </w:pPr>
    </w:p>
    <w:p w14:paraId="1404CBA3">
      <w:pPr>
        <w:spacing w:line="480" w:lineRule="auto"/>
        <w:jc w:val="both"/>
        <w:textAlignment w:val="baseline"/>
        <w:rPr>
          <w:rStyle w:val="13"/>
          <w:rFonts w:ascii="Calibri" w:hAnsi="Calibri"/>
          <w:kern w:val="2"/>
          <w:sz w:val="32"/>
          <w:szCs w:val="32"/>
          <w:lang w:val="en-US" w:eastAsia="zh-CN" w:bidi="ar-SA"/>
        </w:rPr>
      </w:pPr>
    </w:p>
    <w:p w14:paraId="202ED955">
      <w:pPr>
        <w:spacing w:line="480" w:lineRule="auto"/>
        <w:jc w:val="center"/>
        <w:textAlignment w:val="baseline"/>
        <w:rPr>
          <w:rStyle w:val="13"/>
          <w:rFonts w:ascii="Calibri" w:hAnsi="Calibri"/>
          <w:kern w:val="2"/>
          <w:sz w:val="32"/>
          <w:szCs w:val="32"/>
          <w:lang w:val="en-US" w:eastAsia="zh-CN" w:bidi="ar-SA"/>
        </w:rPr>
      </w:pPr>
    </w:p>
    <w:p w14:paraId="4DD4C846">
      <w:pPr>
        <w:kinsoku/>
        <w:wordWrap/>
        <w:overflowPunct/>
        <w:autoSpaceDE/>
        <w:autoSpaceDN/>
        <w:bidi w:val="0"/>
        <w:spacing w:before="156" w:line="600" w:lineRule="exact"/>
        <w:jc w:val="center"/>
        <w:textAlignment w:val="auto"/>
        <w:rPr>
          <w:rStyle w:val="13"/>
          <w:rFonts w:hint="eastAsia" w:ascii="华文中宋" w:hAnsi="华文中宋" w:eastAsia="华文中宋" w:cs="华文中宋"/>
          <w:kern w:val="2"/>
          <w:sz w:val="44"/>
          <w:szCs w:val="44"/>
          <w:lang w:val="en-US" w:eastAsia="zh-CN" w:bidi="ar-SA"/>
        </w:rPr>
      </w:pPr>
    </w:p>
    <w:p w14:paraId="5186812F">
      <w:pPr>
        <w:keepNext w:val="0"/>
        <w:keepLines w:val="0"/>
        <w:pageBreakBefore w:val="0"/>
        <w:widowControl/>
        <w:kinsoku/>
        <w:wordWrap/>
        <w:overflowPunct/>
        <w:topLinePunct w:val="0"/>
        <w:autoSpaceDE/>
        <w:autoSpaceDN/>
        <w:bidi w:val="0"/>
        <w:adjustRightInd/>
        <w:snapToGrid/>
        <w:spacing w:before="313" w:beforeLines="100" w:line="660" w:lineRule="exact"/>
        <w:jc w:val="center"/>
        <w:textAlignment w:val="baseline"/>
        <w:rPr>
          <w:rStyle w:val="13"/>
          <w:rFonts w:hint="eastAsia" w:ascii="方正小标宋简体" w:hAnsi="方正小标宋简体" w:eastAsia="方正小标宋简体" w:cs="方正小标宋简体"/>
          <w:spacing w:val="-6"/>
          <w:kern w:val="2"/>
          <w:sz w:val="44"/>
          <w:szCs w:val="44"/>
          <w:lang w:val="en-US" w:eastAsia="zh-CN" w:bidi="ar-SA"/>
        </w:rPr>
      </w:pPr>
      <w:r>
        <w:rPr>
          <w:rStyle w:val="13"/>
          <w:rFonts w:hint="eastAsia" w:ascii="方正小标宋简体" w:hAnsi="方正小标宋简体" w:eastAsia="方正小标宋简体" w:cs="方正小标宋简体"/>
          <w:spacing w:val="-6"/>
          <w:kern w:val="2"/>
          <w:sz w:val="44"/>
          <w:szCs w:val="44"/>
          <w:lang w:val="en-US" w:eastAsia="zh-CN" w:bidi="ar-SA"/>
        </w:rPr>
        <w:t>关于在揭阳市政府投资项目建设工程实行</w:t>
      </w:r>
    </w:p>
    <w:p w14:paraId="107CBC8E">
      <w:pPr>
        <w:spacing w:line="660" w:lineRule="exact"/>
        <w:jc w:val="center"/>
        <w:rPr>
          <w:rStyle w:val="13"/>
          <w:rFonts w:hint="eastAsia" w:ascii="方正小标宋简体" w:hAnsi="方正小标宋简体" w:eastAsia="方正小标宋简体" w:cs="方正小标宋简体"/>
          <w:spacing w:val="-6"/>
          <w:kern w:val="2"/>
          <w:sz w:val="44"/>
          <w:szCs w:val="44"/>
          <w:lang w:val="en-US" w:eastAsia="zh-CN" w:bidi="ar-SA"/>
        </w:rPr>
      </w:pPr>
      <w:r>
        <w:rPr>
          <w:rStyle w:val="13"/>
          <w:rFonts w:hint="eastAsia" w:ascii="方正小标宋简体" w:hAnsi="方正小标宋简体" w:eastAsia="方正小标宋简体" w:cs="方正小标宋简体"/>
          <w:spacing w:val="-6"/>
          <w:kern w:val="2"/>
          <w:sz w:val="44"/>
          <w:szCs w:val="44"/>
          <w:lang w:val="en-US" w:eastAsia="zh-CN" w:bidi="ar-SA"/>
        </w:rPr>
        <w:t>五方责任主体评价和结果应用</w:t>
      </w:r>
    </w:p>
    <w:p w14:paraId="212D2FD0">
      <w:pPr>
        <w:spacing w:line="660" w:lineRule="exact"/>
        <w:jc w:val="center"/>
        <w:rPr>
          <w:rStyle w:val="13"/>
          <w:rFonts w:hint="eastAsia" w:ascii="方正小标宋简体" w:hAnsi="方正小标宋简体" w:eastAsia="方正小标宋简体" w:cs="方正小标宋简体"/>
          <w:spacing w:val="-6"/>
          <w:kern w:val="2"/>
          <w:sz w:val="44"/>
          <w:szCs w:val="44"/>
          <w:lang w:val="en-US" w:eastAsia="zh-CN" w:bidi="ar-SA"/>
        </w:rPr>
      </w:pPr>
      <w:r>
        <w:rPr>
          <w:rStyle w:val="13"/>
          <w:rFonts w:hint="eastAsia" w:ascii="方正小标宋简体" w:hAnsi="方正小标宋简体" w:eastAsia="方正小标宋简体" w:cs="方正小标宋简体"/>
          <w:spacing w:val="-6"/>
          <w:kern w:val="2"/>
          <w:sz w:val="44"/>
          <w:szCs w:val="44"/>
          <w:lang w:val="en-US" w:eastAsia="zh-CN" w:bidi="ar-SA"/>
        </w:rPr>
        <w:t>制度的通知(征求意见稿)</w:t>
      </w:r>
    </w:p>
    <w:p w14:paraId="1F6431AD">
      <w:pPr>
        <w:rPr>
          <w:rStyle w:val="13"/>
          <w:rFonts w:hint="eastAsia" w:ascii="仿宋_GB2312" w:hAnsi="等线" w:eastAsia="仿宋_GB2312" w:cstheme="minorBidi"/>
          <w:kern w:val="2"/>
          <w:sz w:val="32"/>
          <w:szCs w:val="32"/>
          <w:lang w:val="en-US" w:eastAsia="zh-CN" w:bidi="ar-SA"/>
        </w:rPr>
      </w:pPr>
    </w:p>
    <w:p w14:paraId="2D3A479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各县（市、区）住建局：</w:t>
      </w:r>
    </w:p>
    <w:p w14:paraId="5E60FF1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为维护</w:t>
      </w:r>
      <w:r>
        <w:rPr>
          <w:rFonts w:hint="eastAsia" w:ascii="仿宋_GB2312" w:eastAsia="仿宋_GB2312"/>
          <w:sz w:val="32"/>
          <w:szCs w:val="32"/>
          <w:lang w:eastAsia="zh-CN"/>
        </w:rPr>
        <w:t>本市</w:t>
      </w:r>
      <w:r>
        <w:rPr>
          <w:rFonts w:hint="eastAsia" w:ascii="仿宋_GB2312" w:eastAsia="仿宋_GB2312"/>
          <w:sz w:val="32"/>
          <w:szCs w:val="32"/>
        </w:rPr>
        <w:t>建筑市场秩序，保证工程质量和施工安全，促进建筑业健康发展，</w:t>
      </w:r>
      <w:r>
        <w:rPr>
          <w:rFonts w:hint="eastAsia" w:ascii="仿宋_GB2312" w:eastAsia="仿宋_GB2312"/>
          <w:sz w:val="32"/>
          <w:szCs w:val="32"/>
          <w:lang w:eastAsia="zh-CN"/>
        </w:rPr>
        <w:t>决定在揭阳市政府投资项目建设工程实行五方责任主体评价和结果应用制度，通过工程建设各方责任主体自评，建设单位评价，</w:t>
      </w:r>
      <w:r>
        <w:rPr>
          <w:rFonts w:hint="eastAsia" w:ascii="仿宋_GB2312" w:hAnsi="Times New Roman" w:eastAsia="仿宋_GB2312" w:cs="Times New Roman"/>
          <w:sz w:val="32"/>
          <w:szCs w:val="32"/>
          <w:lang w:eastAsia="zh-CN"/>
        </w:rPr>
        <w:t>住房和城乡建设行政</w:t>
      </w:r>
      <w:r>
        <w:rPr>
          <w:rFonts w:hint="eastAsia" w:ascii="仿宋_GB2312" w:eastAsia="仿宋_GB2312"/>
          <w:sz w:val="32"/>
          <w:szCs w:val="32"/>
          <w:lang w:eastAsia="zh-CN"/>
        </w:rPr>
        <w:t>主管部门</w:t>
      </w:r>
      <w:r>
        <w:rPr>
          <w:rFonts w:hint="eastAsia" w:ascii="仿宋_GB2312" w:eastAsia="仿宋_GB2312"/>
          <w:sz w:val="32"/>
          <w:szCs w:val="32"/>
          <w:lang w:val="en-US" w:eastAsia="zh-CN"/>
        </w:rPr>
        <w:t>(以下简称行政主管部门)</w:t>
      </w:r>
      <w:r>
        <w:rPr>
          <w:rFonts w:hint="eastAsia" w:ascii="仿宋_GB2312" w:eastAsia="仿宋_GB2312"/>
          <w:sz w:val="32"/>
          <w:szCs w:val="32"/>
          <w:lang w:eastAsia="zh-CN"/>
        </w:rPr>
        <w:t>监督评价，逐步实现对工程项目施工质量、各方责任主体的市场行为进行评价，并与诚信体系、市场监管体系挂钩，推动各方责任主体提高质量意识，提升工程质量安全管理水平</w:t>
      </w:r>
      <w:r>
        <w:rPr>
          <w:rFonts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黑体" w:hAnsi="黑体" w:eastAsia="黑体" w:cs="黑体"/>
          <w:b w:val="0"/>
          <w:bCs w:val="0"/>
          <w:sz w:val="32"/>
          <w:szCs w:val="32"/>
          <w:lang w:eastAsia="zh-CN"/>
        </w:rPr>
        <w:t>一、评价的对象。</w:t>
      </w:r>
      <w:r>
        <w:rPr>
          <w:rFonts w:hint="eastAsia" w:ascii="仿宋_GB2312" w:eastAsia="仿宋_GB2312"/>
          <w:sz w:val="32"/>
          <w:szCs w:val="32"/>
          <w:lang w:eastAsia="zh-CN"/>
        </w:rPr>
        <w:t>对象为揭阳市政府投资项目的房屋建筑和市政基础设施工程项目的勘察单位、设计单位、施工单位、监理单位、检测单位五方责任主体。</w:t>
      </w:r>
    </w:p>
    <w:p w14:paraId="6B87D7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val="0"/>
          <w:kern w:val="0"/>
          <w:sz w:val="32"/>
          <w:szCs w:val="32"/>
          <w:lang w:val="en-US" w:eastAsia="zh-CN" w:bidi="ar"/>
        </w:rPr>
        <w:t>二、</w:t>
      </w:r>
      <w:r>
        <w:rPr>
          <w:rFonts w:hint="eastAsia" w:ascii="黑体" w:hAnsi="黑体" w:eastAsia="黑体" w:cs="黑体"/>
          <w:b w:val="0"/>
          <w:bCs w:val="0"/>
          <w:sz w:val="32"/>
          <w:szCs w:val="32"/>
          <w:lang w:eastAsia="zh-CN"/>
        </w:rPr>
        <w:t>评价的时间节点。</w:t>
      </w:r>
      <w:r>
        <w:rPr>
          <w:rFonts w:hint="eastAsia" w:ascii="仿宋_GB2312" w:eastAsia="仿宋_GB2312"/>
          <w:sz w:val="32"/>
          <w:szCs w:val="32"/>
          <w:lang w:eastAsia="zh-CN"/>
        </w:rPr>
        <w:t>每个项目评价的时间节点为工程进度达到</w:t>
      </w:r>
      <w:r>
        <w:rPr>
          <w:rFonts w:hint="eastAsia" w:ascii="仿宋_GB2312" w:eastAsia="仿宋_GB2312"/>
          <w:sz w:val="32"/>
          <w:szCs w:val="32"/>
          <w:lang w:val="en-US" w:eastAsia="zh-CN"/>
        </w:rPr>
        <w:t>30%、70%和项目竣工</w:t>
      </w:r>
      <w:r>
        <w:rPr>
          <w:rFonts w:hint="eastAsia" w:ascii="仿宋_GB2312" w:eastAsia="仿宋_GB2312"/>
          <w:sz w:val="32"/>
          <w:szCs w:val="32"/>
          <w:lang w:eastAsia="zh-CN"/>
        </w:rPr>
        <w:t>验收后</w:t>
      </w:r>
      <w:r>
        <w:rPr>
          <w:rFonts w:hint="default" w:ascii="Times New Roman" w:hAnsi="Times New Roman" w:eastAsia="仿宋_GB2312" w:cs="Times New Roman"/>
          <w:sz w:val="32"/>
          <w:szCs w:val="32"/>
          <w:lang w:val="en-US" w:eastAsia="zh-CN"/>
        </w:rPr>
        <w:t>10</w:t>
      </w:r>
      <w:r>
        <w:rPr>
          <w:rFonts w:hint="eastAsia" w:ascii="仿宋_GB2312" w:eastAsia="仿宋_GB2312"/>
          <w:sz w:val="32"/>
          <w:szCs w:val="32"/>
          <w:lang w:val="en-US" w:eastAsia="zh-CN"/>
        </w:rPr>
        <w:t>天内完成</w:t>
      </w:r>
      <w:r>
        <w:rPr>
          <w:rFonts w:hint="eastAsia" w:ascii="仿宋_GB2312" w:eastAsia="仿宋_GB2312"/>
          <w:sz w:val="32"/>
          <w:szCs w:val="32"/>
          <w:lang w:eastAsia="zh-CN"/>
        </w:rPr>
        <w:t>；</w:t>
      </w:r>
    </w:p>
    <w:p w14:paraId="40298F2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val="0"/>
          <w:kern w:val="0"/>
          <w:sz w:val="32"/>
          <w:szCs w:val="32"/>
          <w:lang w:val="en-US" w:eastAsia="zh-CN" w:bidi="ar"/>
        </w:rPr>
        <w:t>三、</w:t>
      </w:r>
      <w:r>
        <w:rPr>
          <w:rFonts w:hint="eastAsia" w:ascii="黑体" w:hAnsi="黑体" w:eastAsia="黑体" w:cs="黑体"/>
          <w:b w:val="0"/>
          <w:bCs w:val="0"/>
          <w:sz w:val="32"/>
          <w:szCs w:val="32"/>
          <w:lang w:eastAsia="zh-CN"/>
        </w:rPr>
        <w:t>评价的程序。</w:t>
      </w:r>
      <w:r>
        <w:rPr>
          <w:rFonts w:hint="eastAsia" w:ascii="仿宋_GB2312" w:eastAsia="仿宋_GB2312"/>
          <w:b w:val="0"/>
          <w:bCs w:val="0"/>
          <w:sz w:val="32"/>
          <w:szCs w:val="32"/>
          <w:lang w:eastAsia="zh-CN"/>
        </w:rPr>
        <w:t>按照分级管理原则进行评价：</w:t>
      </w:r>
      <w:r>
        <w:rPr>
          <w:rFonts w:hint="eastAsia" w:ascii="仿宋_GB2312" w:eastAsia="仿宋_GB2312"/>
          <w:sz w:val="32"/>
          <w:szCs w:val="32"/>
          <w:lang w:val="en-US" w:eastAsia="zh-CN"/>
        </w:rPr>
        <w:t>1、各方</w:t>
      </w:r>
      <w:r>
        <w:rPr>
          <w:rFonts w:hint="eastAsia" w:ascii="仿宋_GB2312" w:eastAsia="仿宋_GB2312"/>
          <w:sz w:val="32"/>
          <w:szCs w:val="32"/>
          <w:lang w:eastAsia="zh-CN"/>
        </w:rPr>
        <w:t>责任主体自评（包括勘察单位、设计单位、施工单位、监理单位、检测单位）；</w:t>
      </w:r>
      <w:r>
        <w:rPr>
          <w:rFonts w:hint="eastAsia" w:ascii="仿宋_GB2312" w:eastAsia="仿宋_GB2312"/>
          <w:sz w:val="32"/>
          <w:szCs w:val="32"/>
          <w:lang w:val="en-US" w:eastAsia="zh-CN"/>
        </w:rPr>
        <w:t>2、</w:t>
      </w:r>
      <w:r>
        <w:rPr>
          <w:rFonts w:hint="eastAsia" w:ascii="仿宋_GB2312" w:eastAsia="仿宋_GB2312"/>
          <w:sz w:val="32"/>
          <w:szCs w:val="32"/>
          <w:lang w:eastAsia="zh-CN"/>
        </w:rPr>
        <w:t>建设单位（业主单位，包括代建单位）对以上五方责任主体的评价；</w:t>
      </w:r>
      <w:r>
        <w:rPr>
          <w:rFonts w:hint="eastAsia" w:ascii="仿宋_GB2312" w:eastAsia="仿宋_GB2312"/>
          <w:sz w:val="32"/>
          <w:szCs w:val="32"/>
          <w:lang w:val="en-US" w:eastAsia="zh-CN"/>
        </w:rPr>
        <w:t>3、</w:t>
      </w:r>
      <w:r>
        <w:rPr>
          <w:rFonts w:hint="eastAsia" w:ascii="仿宋_GB2312" w:eastAsia="仿宋_GB2312"/>
          <w:sz w:val="32"/>
          <w:szCs w:val="32"/>
          <w:lang w:eastAsia="zh-CN"/>
        </w:rPr>
        <w:t>行政主管部门的评价。</w:t>
      </w:r>
      <w:r>
        <w:rPr>
          <w:rFonts w:hint="eastAsia" w:ascii="仿宋_GB2312" w:eastAsia="仿宋_GB2312"/>
          <w:sz w:val="32"/>
          <w:szCs w:val="32"/>
          <w:lang w:val="en-US" w:eastAsia="zh-CN"/>
        </w:rPr>
        <w:t>4、</w:t>
      </w:r>
      <w:r>
        <w:rPr>
          <w:rFonts w:hint="eastAsia" w:ascii="仿宋_GB2312" w:eastAsia="仿宋_GB2312"/>
          <w:sz w:val="32"/>
          <w:szCs w:val="32"/>
          <w:lang w:eastAsia="zh-CN"/>
        </w:rPr>
        <w:t>分数占比分别为</w:t>
      </w:r>
      <w:r>
        <w:rPr>
          <w:rFonts w:hint="default" w:ascii="Times New Roman" w:hAnsi="Times New Roman" w:eastAsia="仿宋_GB2312" w:cs="Times New Roman"/>
          <w:sz w:val="32"/>
          <w:szCs w:val="32"/>
          <w:lang w:val="en-US" w:eastAsia="zh-CN"/>
        </w:rPr>
        <w:t>20%、30%</w:t>
      </w:r>
      <w:r>
        <w:rPr>
          <w:rFonts w:hint="eastAsia" w:ascii="仿宋_GB2312" w:eastAsia="仿宋_GB2312"/>
          <w:sz w:val="32"/>
          <w:szCs w:val="32"/>
          <w:lang w:val="en-US" w:eastAsia="zh-CN"/>
        </w:rPr>
        <w:t>和</w:t>
      </w:r>
      <w:r>
        <w:rPr>
          <w:rFonts w:hint="default" w:ascii="Times New Roman" w:hAnsi="Times New Roman" w:eastAsia="仿宋_GB2312" w:cs="Times New Roman"/>
          <w:sz w:val="32"/>
          <w:szCs w:val="32"/>
          <w:lang w:val="en-US" w:eastAsia="zh-CN"/>
        </w:rPr>
        <w:t>50%</w:t>
      </w:r>
      <w:r>
        <w:rPr>
          <w:rFonts w:hint="eastAsia" w:ascii="仿宋_GB2312" w:eastAsia="仿宋_GB2312"/>
          <w:sz w:val="32"/>
          <w:szCs w:val="32"/>
          <w:lang w:val="en-US" w:eastAsia="zh-CN"/>
        </w:rPr>
        <w:t>，市直项目由市级行政主管部门进行评价，各县（市、区）政府投资项目参照执行，由</w:t>
      </w:r>
      <w:r>
        <w:rPr>
          <w:rFonts w:hint="eastAsia" w:ascii="仿宋_GB2312" w:eastAsia="仿宋_GB2312"/>
          <w:b w:val="0"/>
          <w:bCs w:val="0"/>
          <w:sz w:val="32"/>
          <w:szCs w:val="32"/>
          <w:lang w:val="en-US" w:eastAsia="zh-CN"/>
        </w:rPr>
        <w:t>各县（市、区）行政主管部门进行项目评价并将评价情况报送市级行政主管部门。</w:t>
      </w:r>
    </w:p>
    <w:p w14:paraId="14088D8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val="0"/>
          <w:kern w:val="0"/>
          <w:sz w:val="32"/>
          <w:szCs w:val="32"/>
          <w:lang w:val="en-US" w:eastAsia="zh-CN" w:bidi="ar"/>
        </w:rPr>
        <w:t>四、</w:t>
      </w:r>
      <w:r>
        <w:rPr>
          <w:rFonts w:hint="eastAsia" w:ascii="黑体" w:hAnsi="黑体" w:eastAsia="黑体" w:cs="黑体"/>
          <w:b w:val="0"/>
          <w:bCs w:val="0"/>
          <w:sz w:val="32"/>
          <w:szCs w:val="32"/>
          <w:lang w:val="en-US" w:eastAsia="zh-CN"/>
        </w:rPr>
        <w:t>评价结果应用。</w:t>
      </w:r>
      <w:r>
        <w:rPr>
          <w:rFonts w:hint="eastAsia" w:ascii="仿宋_GB2312" w:eastAsia="仿宋_GB2312"/>
          <w:b/>
          <w:bCs/>
          <w:sz w:val="32"/>
          <w:szCs w:val="32"/>
          <w:lang w:val="en-US" w:eastAsia="zh-CN"/>
        </w:rPr>
        <w:br w:type="textWrapping"/>
      </w: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每季度市级行政主管部门应将评价结果在官方媒体上进行公布。</w:t>
      </w:r>
      <w:r>
        <w:rPr>
          <w:rFonts w:hint="eastAsia" w:ascii="仿宋_GB2312" w:eastAsia="仿宋_GB2312"/>
          <w:b/>
          <w:bCs/>
          <w:sz w:val="32"/>
          <w:szCs w:val="32"/>
          <w:lang w:val="en-US" w:eastAsia="zh-CN"/>
        </w:rPr>
        <w:br w:type="textWrapping"/>
      </w:r>
      <w:r>
        <w:rPr>
          <w:rFonts w:hint="eastAsia" w:ascii="仿宋_GB2312" w:eastAsia="仿宋_GB2312"/>
          <w:sz w:val="32"/>
          <w:szCs w:val="32"/>
          <w:lang w:val="en-US" w:eastAsia="zh-CN"/>
        </w:rPr>
        <w:t xml:space="preserve">  （一）对于得分高于</w:t>
      </w:r>
      <w:r>
        <w:rPr>
          <w:rFonts w:hint="default" w:ascii="Times New Roman" w:hAnsi="Times New Roman" w:eastAsia="仿宋_GB2312" w:cs="Times New Roman"/>
          <w:sz w:val="32"/>
          <w:szCs w:val="32"/>
          <w:u w:val="none"/>
          <w:lang w:val="en-US" w:eastAsia="zh-CN"/>
        </w:rPr>
        <w:t>90</w:t>
      </w:r>
      <w:r>
        <w:rPr>
          <w:rFonts w:hint="eastAsia" w:ascii="仿宋_GB2312" w:eastAsia="仿宋_GB2312"/>
          <w:sz w:val="32"/>
          <w:szCs w:val="32"/>
          <w:lang w:val="en-US" w:eastAsia="zh-CN"/>
        </w:rPr>
        <w:t>分的单位将给予相应的激励措施：</w:t>
      </w:r>
    </w:p>
    <w:p w14:paraId="70BF947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kern w:val="0"/>
          <w:sz w:val="32"/>
          <w:szCs w:val="32"/>
          <w:lang w:val="en-US" w:eastAsia="zh-CN" w:bidi="ar"/>
        </w:rPr>
        <w:t>1、</w:t>
      </w:r>
      <w:r>
        <w:rPr>
          <w:rFonts w:hint="eastAsia" w:ascii="仿宋_GB2312" w:eastAsia="仿宋_GB2312"/>
          <w:sz w:val="32"/>
          <w:szCs w:val="32"/>
          <w:lang w:eastAsia="zh-CN"/>
        </w:rPr>
        <w:t>在行政许可等工作中，予以容缺受理、优先办理等便利措施；</w:t>
      </w:r>
    </w:p>
    <w:p w14:paraId="4FA7041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kern w:val="0"/>
          <w:sz w:val="32"/>
          <w:szCs w:val="32"/>
          <w:lang w:val="en-US" w:eastAsia="zh-CN" w:bidi="ar"/>
        </w:rPr>
        <w:t>2、</w:t>
      </w:r>
      <w:r>
        <w:rPr>
          <w:rFonts w:hint="eastAsia" w:ascii="仿宋_GB2312" w:eastAsia="仿宋_GB2312"/>
          <w:sz w:val="32"/>
          <w:szCs w:val="32"/>
          <w:lang w:eastAsia="zh-CN"/>
        </w:rPr>
        <w:t>在行政检查中，优化检查方式、检查频次；</w:t>
      </w:r>
    </w:p>
    <w:p w14:paraId="200AF90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kern w:val="0"/>
          <w:sz w:val="32"/>
          <w:szCs w:val="32"/>
          <w:lang w:val="en-US" w:eastAsia="zh-CN" w:bidi="ar"/>
        </w:rPr>
        <w:t>3、</w:t>
      </w:r>
      <w:r>
        <w:rPr>
          <w:rFonts w:hint="eastAsia" w:ascii="仿宋_GB2312" w:eastAsia="仿宋_GB2312"/>
          <w:sz w:val="32"/>
          <w:szCs w:val="32"/>
          <w:lang w:eastAsia="zh-CN"/>
        </w:rPr>
        <w:t>在政府优惠政策实施中，同等条件下列为优先选择对象或者予以重点支持；</w:t>
      </w:r>
    </w:p>
    <w:p w14:paraId="63321EE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kern w:val="0"/>
          <w:sz w:val="32"/>
          <w:szCs w:val="32"/>
          <w:lang w:val="en-US" w:eastAsia="zh-CN" w:bidi="ar"/>
        </w:rPr>
        <w:t>4、</w:t>
      </w:r>
      <w:r>
        <w:rPr>
          <w:rFonts w:hint="eastAsia" w:ascii="仿宋_GB2312" w:eastAsia="仿宋_GB2312"/>
          <w:sz w:val="32"/>
          <w:szCs w:val="32"/>
          <w:lang w:eastAsia="zh-CN"/>
        </w:rPr>
        <w:t>在信用门户网站或者相关媒体上进行宣传推介；在公共资源交易中</w:t>
      </w:r>
      <w:bookmarkStart w:id="0" w:name="_GoBack"/>
      <w:bookmarkEnd w:id="0"/>
      <w:r>
        <w:rPr>
          <w:rFonts w:hint="eastAsia" w:ascii="仿宋_GB2312" w:eastAsia="仿宋_GB2312"/>
          <w:sz w:val="32"/>
          <w:szCs w:val="32"/>
          <w:lang w:eastAsia="zh-CN"/>
        </w:rPr>
        <w:t>，予以信用加分、提升信用等次；</w:t>
      </w:r>
    </w:p>
    <w:p w14:paraId="0C6F6F9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kern w:val="0"/>
          <w:sz w:val="32"/>
          <w:szCs w:val="32"/>
          <w:lang w:val="en-US" w:eastAsia="zh-CN" w:bidi="ar"/>
        </w:rPr>
        <w:t>5、</w:t>
      </w:r>
      <w:r>
        <w:rPr>
          <w:rFonts w:hint="eastAsia" w:ascii="仿宋_GB2312" w:eastAsia="仿宋_GB2312"/>
          <w:sz w:val="32"/>
          <w:szCs w:val="32"/>
          <w:lang w:eastAsia="zh-CN"/>
        </w:rPr>
        <w:t>参与政府投资或者政府与社会资本合作的建设项目，予以减免保证金；</w:t>
      </w:r>
    </w:p>
    <w:p w14:paraId="057DCBE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kern w:val="0"/>
          <w:sz w:val="32"/>
          <w:szCs w:val="32"/>
          <w:lang w:val="en-US" w:eastAsia="zh-CN" w:bidi="ar"/>
        </w:rPr>
        <w:t>6、</w:t>
      </w:r>
      <w:r>
        <w:rPr>
          <w:rFonts w:hint="eastAsia" w:ascii="仿宋_GB2312" w:eastAsia="仿宋_GB2312"/>
          <w:sz w:val="32"/>
          <w:szCs w:val="32"/>
          <w:lang w:val="en-US" w:eastAsia="zh-CN"/>
        </w:rPr>
        <w:t>法律、法规和国家规定的其他激励措施 。</w:t>
      </w:r>
    </w:p>
    <w:p w14:paraId="20C336B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（二）对于得分低于</w:t>
      </w:r>
      <w:r>
        <w:rPr>
          <w:rFonts w:hint="default" w:ascii="Times New Roman" w:hAnsi="Times New Roman" w:eastAsia="仿宋_GB2312" w:cs="Times New Roman"/>
          <w:sz w:val="32"/>
          <w:szCs w:val="32"/>
          <w:u w:val="none"/>
          <w:lang w:val="en-US" w:eastAsia="zh-CN"/>
        </w:rPr>
        <w:t>70</w:t>
      </w:r>
      <w:r>
        <w:rPr>
          <w:rFonts w:hint="eastAsia" w:ascii="仿宋_GB2312" w:eastAsia="仿宋_GB2312"/>
          <w:sz w:val="32"/>
          <w:szCs w:val="32"/>
          <w:lang w:val="en-US" w:eastAsia="zh-CN"/>
        </w:rPr>
        <w:t>分的单位，在后续的日常监督管理中</w:t>
      </w:r>
      <w:r>
        <w:rPr>
          <w:rFonts w:hint="eastAsia" w:ascii="仿宋_GB2312" w:eastAsia="仿宋_GB2312"/>
          <w:sz w:val="32"/>
          <w:szCs w:val="32"/>
          <w:lang w:eastAsia="zh-CN"/>
        </w:rPr>
        <w:t>将采取相应的惩戒措施：</w:t>
      </w:r>
    </w:p>
    <w:p w14:paraId="1A5EA4C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1、</w:t>
      </w:r>
      <w:r>
        <w:rPr>
          <w:rFonts w:hint="eastAsia" w:ascii="仿宋_GB2312" w:eastAsia="仿宋_GB2312"/>
          <w:sz w:val="32"/>
          <w:szCs w:val="32"/>
          <w:lang w:val="en-US" w:eastAsia="zh-CN"/>
        </w:rPr>
        <w:t>约谈；</w:t>
      </w:r>
    </w:p>
    <w:p w14:paraId="616FE7D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2、</w:t>
      </w:r>
      <w:r>
        <w:rPr>
          <w:rFonts w:hint="eastAsia" w:ascii="仿宋_GB2312" w:eastAsia="仿宋_GB2312"/>
          <w:sz w:val="32"/>
          <w:szCs w:val="32"/>
          <w:lang w:val="en-US" w:eastAsia="zh-CN"/>
        </w:rPr>
        <w:t>在行政许可、审核、审批等工作中，不适用信用承诺制等便利措施；</w:t>
      </w:r>
    </w:p>
    <w:p w14:paraId="07A2B5E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3、</w:t>
      </w:r>
      <w:r>
        <w:rPr>
          <w:rFonts w:hint="eastAsia" w:ascii="仿宋_GB2312" w:eastAsia="仿宋_GB2312"/>
          <w:sz w:val="32"/>
          <w:szCs w:val="32"/>
          <w:lang w:val="en-US" w:eastAsia="zh-CN"/>
        </w:rPr>
        <w:t>在日常监督管理中，列为重点监管对象；</w:t>
      </w:r>
    </w:p>
    <w:p w14:paraId="4B0F1BC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4、</w:t>
      </w:r>
      <w:r>
        <w:rPr>
          <w:rFonts w:hint="eastAsia" w:ascii="仿宋_GB2312" w:eastAsia="仿宋_GB2312"/>
          <w:sz w:val="32"/>
          <w:szCs w:val="32"/>
          <w:lang w:val="en-US" w:eastAsia="zh-CN"/>
        </w:rPr>
        <w:t>在公共资源交易中，予以信用减分、降低信用等次；</w:t>
      </w:r>
    </w:p>
    <w:p w14:paraId="4C4F548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5、</w:t>
      </w:r>
      <w:r>
        <w:rPr>
          <w:rFonts w:hint="eastAsia" w:ascii="仿宋_GB2312" w:eastAsia="仿宋_GB2312"/>
          <w:sz w:val="32"/>
          <w:szCs w:val="32"/>
          <w:lang w:val="en-US" w:eastAsia="zh-CN"/>
        </w:rPr>
        <w:t>参与政府投资或者政府与社会资本合作的建设项目，予以提高相应保证金征纳比例；</w:t>
      </w:r>
    </w:p>
    <w:p w14:paraId="12F4E59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6、</w:t>
      </w:r>
      <w:r>
        <w:rPr>
          <w:rFonts w:hint="eastAsia" w:ascii="仿宋_GB2312" w:eastAsia="仿宋_GB2312"/>
          <w:sz w:val="32"/>
          <w:szCs w:val="32"/>
          <w:lang w:val="en-US" w:eastAsia="zh-CN"/>
        </w:rPr>
        <w:t>限制享受政府优惠政策支持，限制承接财政性资金项目相关业务；</w:t>
      </w:r>
    </w:p>
    <w:p w14:paraId="1F951CC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7、</w:t>
      </w:r>
      <w:r>
        <w:rPr>
          <w:rFonts w:hint="eastAsia" w:ascii="仿宋_GB2312" w:eastAsia="仿宋_GB2312"/>
          <w:sz w:val="32"/>
          <w:szCs w:val="32"/>
          <w:lang w:val="en-US" w:eastAsia="zh-CN"/>
        </w:rPr>
        <w:t>限制参与表彰奖励，取消参加评先评优资格，撤销相关荣誉；</w:t>
      </w:r>
    </w:p>
    <w:p w14:paraId="1D70867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8、</w:t>
      </w:r>
      <w:r>
        <w:rPr>
          <w:rFonts w:hint="eastAsia" w:ascii="仿宋_GB2312" w:eastAsia="仿宋_GB2312"/>
          <w:sz w:val="32"/>
          <w:szCs w:val="32"/>
          <w:lang w:val="en-US" w:eastAsia="zh-CN"/>
        </w:rPr>
        <w:t>对于得分较低、拒不整改或整改后重犯、情节严重、的可参照合同相关条款进行扣款或相关法律法规进行处罚；</w:t>
      </w:r>
    </w:p>
    <w:p w14:paraId="6B58372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60" w:lineRule="exact"/>
        <w:ind w:left="319" w:leftChars="152" w:right="0" w:rightChars="0" w:firstLine="320" w:firstLineChars="100"/>
        <w:jc w:val="left"/>
        <w:textAlignment w:val="auto"/>
        <w:rPr>
          <w:rFonts w:hint="eastAsia" w:ascii="仿宋_GB2312" w:eastAsia="仿宋_GB2312"/>
          <w:sz w:val="32"/>
          <w:szCs w:val="32"/>
          <w:lang w:val="en-US" w:eastAsia="zh-CN"/>
        </w:rPr>
      </w:pPr>
      <w:r>
        <w:rPr>
          <w:rFonts w:hint="eastAsia" w:ascii="仿宋_GB2312" w:eastAsia="仿宋_GB2312"/>
          <w:kern w:val="0"/>
          <w:sz w:val="32"/>
          <w:szCs w:val="32"/>
          <w:lang w:val="en-US" w:eastAsia="zh-CN" w:bidi="ar"/>
        </w:rPr>
        <w:t>9、</w:t>
      </w:r>
      <w:r>
        <w:rPr>
          <w:rFonts w:hint="eastAsia" w:ascii="仿宋_GB2312" w:eastAsia="仿宋_GB2312"/>
          <w:sz w:val="32"/>
          <w:szCs w:val="32"/>
          <w:lang w:val="en-US" w:eastAsia="zh-CN"/>
        </w:rPr>
        <w:t>法律、法规和国家规定的其他惩戒措施。</w:t>
      </w:r>
    </w:p>
    <w:p w14:paraId="4A362A3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60" w:lineRule="exact"/>
        <w:ind w:left="0" w:leftChars="0" w:right="0" w:rightChars="0" w:firstLine="320" w:firstLineChars="1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（三）对出现违法分包、转包以及较大质量安全事故以上等情况的应录入监管系统（如广东省三库一平台管理信息服务系统），后续将影响该单位参加其他项目投标。</w:t>
      </w:r>
    </w:p>
    <w:p w14:paraId="1B6AFC1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p>
    <w:p w14:paraId="2109C70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p>
    <w:p w14:paraId="23F2443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附件1：建设工程五方责任主体评价表(勘察单位)</w:t>
      </w:r>
    </w:p>
    <w:p w14:paraId="0EC0AC3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附件2：建设工程五方责任主体评价表(设计单位)</w:t>
      </w:r>
    </w:p>
    <w:p w14:paraId="7C98D0C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附件3：建设工程五方责任主体评价表(施工单位)</w:t>
      </w:r>
    </w:p>
    <w:p w14:paraId="261594D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附件4：建设工程五方责任主体评价表(检测单位)</w:t>
      </w:r>
    </w:p>
    <w:p w14:paraId="7BB0BE1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附件5：建设工程五方责任主体评价表(监理单位)</w:t>
      </w:r>
    </w:p>
    <w:p w14:paraId="43CC11C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14:paraId="27BA5BA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14:paraId="400C820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p>
    <w:p w14:paraId="5601E68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p>
    <w:p w14:paraId="73756B9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30162ABC">
      <w:pPr>
        <w:keepNext w:val="0"/>
        <w:keepLines w:val="0"/>
        <w:pageBreakBefore w:val="0"/>
        <w:kinsoku/>
        <w:wordWrap/>
        <w:overflowPunct/>
        <w:topLinePunct w:val="0"/>
        <w:autoSpaceDE/>
        <w:autoSpaceDN/>
        <w:bidi w:val="0"/>
        <w:adjustRightInd/>
        <w:snapToGrid/>
        <w:spacing w:line="560" w:lineRule="exact"/>
        <w:ind w:firstLine="2560" w:firstLineChars="8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年  月  日</w:t>
      </w:r>
    </w:p>
    <w:p w14:paraId="743AEF6F">
      <w:pPr>
        <w:keepNext w:val="0"/>
        <w:keepLines w:val="0"/>
        <w:pageBreakBefore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eastAsia="仿宋_GB2312"/>
          <w:sz w:val="32"/>
          <w:szCs w:val="32"/>
          <w:lang w:val="en-US" w:eastAsia="zh-CN"/>
        </w:rPr>
      </w:pPr>
    </w:p>
    <w:p w14:paraId="3FCE0797">
      <w:pPr>
        <w:rPr>
          <w:rFonts w:hint="eastAsia" w:ascii="仿宋_GB2312" w:hAnsi="仿宋_GB2312" w:eastAsia="仿宋_GB2312" w:cs="仿宋_GB2312"/>
          <w:spacing w:val="0"/>
          <w:kern w:val="2"/>
          <w:sz w:val="32"/>
          <w:szCs w:val="32"/>
          <w:lang w:val="en-US" w:eastAsia="zh-CN" w:bidi="ar-SA"/>
        </w:rPr>
      </w:pPr>
      <w:r>
        <w:rPr>
          <w:rFonts w:hint="eastAsia" w:ascii="仿宋_GB2312" w:eastAsia="仿宋_GB2312"/>
          <w:sz w:val="32"/>
          <w:szCs w:val="32"/>
          <w:lang w:val="en-US" w:eastAsia="zh-CN"/>
        </w:rPr>
        <w:t>（联系人：市住建局   卢泽楠   电话/传真：</w:t>
      </w:r>
      <w:r>
        <w:rPr>
          <w:rFonts w:hint="default" w:ascii="Times New Roman" w:hAnsi="Times New Roman" w:eastAsia="仿宋_GB2312" w:cs="Times New Roman"/>
          <w:sz w:val="32"/>
          <w:szCs w:val="32"/>
          <w:lang w:val="en-US" w:eastAsia="zh-CN"/>
        </w:rPr>
        <w:t>8291670</w:t>
      </w:r>
      <w:r>
        <w:rPr>
          <w:rFonts w:hint="eastAsia" w:ascii="仿宋_GB2312" w:eastAsia="仿宋_GB2312"/>
          <w:sz w:val="32"/>
          <w:szCs w:val="32"/>
          <w:lang w:val="en-US" w:eastAsia="zh-CN"/>
        </w:rPr>
        <w:t>）</w:t>
      </w:r>
    </w:p>
    <w:sectPr>
      <w:footerReference r:id="rId3" w:type="default"/>
      <w:pgSz w:w="11906" w:h="16838"/>
      <w:pgMar w:top="1240" w:right="1474" w:bottom="1518" w:left="1587" w:header="851" w:footer="992" w:gutter="0"/>
      <w:pgBorders>
        <w:top w:val="none" w:sz="0" w:space="0"/>
        <w:left w:val="none" w:sz="0" w:space="0"/>
        <w:bottom w:val="none" w:sz="0" w:space="0"/>
        <w:right w:val="none" w:sz="0" w:space="0"/>
      </w:pgBorders>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F28D">
    <w:pPr>
      <w:pStyle w:val="4"/>
      <w:widowControl/>
      <w:snapToGrid w:val="0"/>
      <w:jc w:val="left"/>
      <w:textAlignment w:val="baseline"/>
      <w:rPr>
        <w:rStyle w:val="13"/>
        <w:rFonts w:ascii="Calibri" w:hAnsi="Calibri"/>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DD48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4DD48C">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309D7">
                          <w:pPr>
                            <w:pStyle w:val="4"/>
                            <w:widowControl/>
                            <w:snapToGrid w:val="0"/>
                            <w:jc w:val="left"/>
                            <w:textAlignment w:val="baseline"/>
                            <w:rPr>
                              <w:rStyle w:val="13"/>
                              <w:rFonts w:ascii="Calibri" w:hAnsi="Calibri" w:eastAsia="宋体"/>
                              <w:kern w:val="2"/>
                              <w:sz w:val="18"/>
                              <w:szCs w:val="24"/>
                              <w:lang w:val="en-US" w:eastAsia="zh-CN" w:bidi="ar-SA"/>
                            </w:rPr>
                          </w:pPr>
                        </w:p>
                        <w:p w14:paraId="172D1177">
                          <w:pPr>
                            <w:jc w:val="both"/>
                            <w:textAlignment w:val="baseline"/>
                            <w:rPr>
                              <w:rStyle w:val="13"/>
                              <w:rFonts w:ascii="Calibri" w:hAnsi="Calibri"/>
                              <w:kern w:val="2"/>
                              <w:sz w:val="21"/>
                              <w:szCs w:val="24"/>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fill on="f" focussize="0,0"/>
              <v:stroke on="f"/>
              <v:imagedata o:title=""/>
              <o:lock v:ext="edit" aspectratio="f"/>
              <v:textbox inset="0mm,0mm,0mm,0mm">
                <w:txbxContent>
                  <w:p w14:paraId="321309D7">
                    <w:pPr>
                      <w:pStyle w:val="4"/>
                      <w:widowControl/>
                      <w:snapToGrid w:val="0"/>
                      <w:jc w:val="left"/>
                      <w:textAlignment w:val="baseline"/>
                      <w:rPr>
                        <w:rStyle w:val="13"/>
                        <w:rFonts w:ascii="Calibri" w:hAnsi="Calibri" w:eastAsia="宋体"/>
                        <w:kern w:val="2"/>
                        <w:sz w:val="18"/>
                        <w:szCs w:val="24"/>
                        <w:lang w:val="en-US" w:eastAsia="zh-CN" w:bidi="ar-SA"/>
                      </w:rPr>
                    </w:pPr>
                  </w:p>
                  <w:p w14:paraId="172D1177">
                    <w:pPr>
                      <w:jc w:val="both"/>
                      <w:textAlignment w:val="baseline"/>
                      <w:rPr>
                        <w:rStyle w:val="13"/>
                        <w:rFonts w:ascii="Calibri" w:hAnsi="Calibri"/>
                        <w:kern w:val="2"/>
                        <w:sz w:val="21"/>
                        <w:szCs w:val="24"/>
                        <w:lang w:val="en-US" w:eastAsia="zh-CN" w:bidi="ar-SA"/>
                      </w:rPr>
                    </w:pP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C313FB">
                          <w:pPr>
                            <w:pStyle w:val="4"/>
                            <w:widowControl/>
                            <w:snapToGrid w:val="0"/>
                            <w:jc w:val="left"/>
                            <w:textAlignment w:val="baseline"/>
                            <w:rPr>
                              <w:rStyle w:val="13"/>
                              <w:rFonts w:ascii="Calibri" w:hAnsi="Calibri"/>
                              <w:kern w:val="2"/>
                              <w:sz w:val="18"/>
                              <w:szCs w:val="24"/>
                              <w:lang w:val="en-US" w:eastAsia="zh-CN" w:bidi="ar-SA"/>
                            </w:rPr>
                          </w:pPr>
                        </w:p>
                        <w:p w14:paraId="21A5E6D2">
                          <w:pPr>
                            <w:jc w:val="both"/>
                            <w:textAlignment w:val="baseline"/>
                            <w:rPr>
                              <w:rStyle w:val="13"/>
                              <w:rFonts w:ascii="Calibri" w:hAnsi="Calibri"/>
                              <w:kern w:val="2"/>
                              <w:sz w:val="21"/>
                              <w:szCs w:val="24"/>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c4HFQtwEAAHYDAAAOAAAAAAAAAAEAIAAAACEBAABkcnMvZTJvRG9jLnhtbFBLBQYAAAAABgAG&#10;AFkBAABKBQAAAAA=&#10;">
              <v:fill on="f" focussize="0,0"/>
              <v:stroke on="f"/>
              <v:imagedata o:title=""/>
              <o:lock v:ext="edit" aspectratio="f"/>
              <v:textbox inset="0mm,0mm,0mm,0mm">
                <w:txbxContent>
                  <w:p w14:paraId="4DC313FB">
                    <w:pPr>
                      <w:pStyle w:val="4"/>
                      <w:widowControl/>
                      <w:snapToGrid w:val="0"/>
                      <w:jc w:val="left"/>
                      <w:textAlignment w:val="baseline"/>
                      <w:rPr>
                        <w:rStyle w:val="13"/>
                        <w:rFonts w:ascii="Calibri" w:hAnsi="Calibri"/>
                        <w:kern w:val="2"/>
                        <w:sz w:val="18"/>
                        <w:szCs w:val="24"/>
                        <w:lang w:val="en-US" w:eastAsia="zh-CN" w:bidi="ar-SA"/>
                      </w:rPr>
                    </w:pPr>
                  </w:p>
                  <w:p w14:paraId="21A5E6D2">
                    <w:pPr>
                      <w:jc w:val="both"/>
                      <w:textAlignment w:val="baseline"/>
                      <w:rPr>
                        <w:rStyle w:val="13"/>
                        <w:rFonts w:ascii="Calibri" w:hAnsi="Calibri"/>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M2RlODM3NzhkYTllZWVlM2FjYmExY2MyZWUxNWIifQ=="/>
    <w:docVar w:name="KSO_WPS_MARK_KEY" w:val="5d66f3b8-7439-4640-b3e6-0fc6f4ee89ef"/>
  </w:docVars>
  <w:rsids>
    <w:rsidRoot w:val="00000000"/>
    <w:rsid w:val="01DC4637"/>
    <w:rsid w:val="02F57BCE"/>
    <w:rsid w:val="094A5DA5"/>
    <w:rsid w:val="108C157B"/>
    <w:rsid w:val="116F775F"/>
    <w:rsid w:val="12824EF4"/>
    <w:rsid w:val="13DD0487"/>
    <w:rsid w:val="13EF14CD"/>
    <w:rsid w:val="1580540F"/>
    <w:rsid w:val="15A83395"/>
    <w:rsid w:val="15D5223C"/>
    <w:rsid w:val="165C0B59"/>
    <w:rsid w:val="17474745"/>
    <w:rsid w:val="17FC223C"/>
    <w:rsid w:val="19D012D0"/>
    <w:rsid w:val="1A5470D5"/>
    <w:rsid w:val="1B484159"/>
    <w:rsid w:val="1D80118D"/>
    <w:rsid w:val="200A5E75"/>
    <w:rsid w:val="23FF18B2"/>
    <w:rsid w:val="24892E31"/>
    <w:rsid w:val="24C6060B"/>
    <w:rsid w:val="2A536E6D"/>
    <w:rsid w:val="2B9B4C5D"/>
    <w:rsid w:val="2F775CD4"/>
    <w:rsid w:val="312C0466"/>
    <w:rsid w:val="371028D0"/>
    <w:rsid w:val="373B56AE"/>
    <w:rsid w:val="376911DC"/>
    <w:rsid w:val="38574D92"/>
    <w:rsid w:val="388F0057"/>
    <w:rsid w:val="3BA32914"/>
    <w:rsid w:val="3BC00033"/>
    <w:rsid w:val="3CF06241"/>
    <w:rsid w:val="3CFE3AC5"/>
    <w:rsid w:val="3DA96E3E"/>
    <w:rsid w:val="3E516901"/>
    <w:rsid w:val="3FAB0E0A"/>
    <w:rsid w:val="424D4573"/>
    <w:rsid w:val="42E5610C"/>
    <w:rsid w:val="46281706"/>
    <w:rsid w:val="46A1162A"/>
    <w:rsid w:val="4BD803D3"/>
    <w:rsid w:val="4CDB1729"/>
    <w:rsid w:val="4E4A40D3"/>
    <w:rsid w:val="5006752A"/>
    <w:rsid w:val="50732E9F"/>
    <w:rsid w:val="5569449F"/>
    <w:rsid w:val="55FB4A7B"/>
    <w:rsid w:val="595D3936"/>
    <w:rsid w:val="5A2C4410"/>
    <w:rsid w:val="65482076"/>
    <w:rsid w:val="691D2092"/>
    <w:rsid w:val="6CCF68B9"/>
    <w:rsid w:val="6CE650B7"/>
    <w:rsid w:val="6F015998"/>
    <w:rsid w:val="70316C23"/>
    <w:rsid w:val="70593E59"/>
    <w:rsid w:val="71096F8B"/>
    <w:rsid w:val="73DA38E6"/>
    <w:rsid w:val="73DD2378"/>
    <w:rsid w:val="752900F9"/>
    <w:rsid w:val="7A686B99"/>
    <w:rsid w:val="7C2126CC"/>
    <w:rsid w:val="7DC52E31"/>
    <w:rsid w:val="7EDC5400"/>
    <w:rsid w:val="7EDC6972"/>
    <w:rsid w:val="7FF55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1"/>
    <w:next w:val="1"/>
    <w:qFormat/>
    <w:uiPriority w:val="0"/>
    <w:pPr>
      <w:keepNext/>
      <w:keepLines/>
      <w:widowControl w:val="0"/>
      <w:jc w:val="both"/>
      <w:outlineLvl w:val="0"/>
    </w:pPr>
    <w:rPr>
      <w:rFonts w:ascii="Calibri" w:hAnsi="Calibri" w:eastAsia="黑体" w:cs="Times New Roman"/>
      <w:bCs/>
      <w:kern w:val="44"/>
      <w:sz w:val="21"/>
      <w:szCs w:val="4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textAlignment w:val="baseline"/>
    </w:pPr>
    <w:rPr>
      <w:rFonts w:ascii="Calibri" w:hAnsi="Calibri"/>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kern w:val="2"/>
      <w:sz w:val="18"/>
      <w:szCs w:val="24"/>
      <w:lang w:val="en-US" w:eastAsia="zh-CN" w:bidi="ar-SA"/>
    </w:rPr>
  </w:style>
  <w:style w:type="paragraph" w:styleId="6">
    <w:name w:val="index heading"/>
    <w:basedOn w:val="1"/>
    <w:next w:val="7"/>
    <w:qFormat/>
    <w:uiPriority w:val="0"/>
    <w:rPr>
      <w:rFonts w:ascii="Arial" w:hAnsi="Arial"/>
      <w:b/>
    </w:rPr>
  </w:style>
  <w:style w:type="paragraph" w:styleId="7">
    <w:name w:val="index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3"/>
    <w:link w:val="1"/>
    <w:qFormat/>
    <w:uiPriority w:val="0"/>
    <w:rPr>
      <w:color w:val="000000"/>
      <w:sz w:val="18"/>
      <w:szCs w:val="18"/>
    </w:rPr>
  </w:style>
  <w:style w:type="character" w:customStyle="1" w:styleId="13">
    <w:name w:val="NormalCharacter"/>
    <w:link w:val="1"/>
    <w:semiHidden/>
    <w:qFormat/>
    <w:uiPriority w:val="0"/>
  </w:style>
  <w:style w:type="character" w:styleId="14">
    <w:name w:val="Hyperlink"/>
    <w:basedOn w:val="13"/>
    <w:link w:val="1"/>
    <w:qFormat/>
    <w:uiPriority w:val="0"/>
    <w:rPr>
      <w:color w:val="000000"/>
      <w:sz w:val="18"/>
      <w:szCs w:val="18"/>
    </w:rPr>
  </w:style>
  <w:style w:type="table" w:customStyle="1" w:styleId="15">
    <w:name w:val="TableNormal"/>
    <w:semiHidden/>
    <w:qFormat/>
    <w:uiPriority w:val="0"/>
  </w:style>
  <w:style w:type="character" w:customStyle="1" w:styleId="16">
    <w:name w:val="UserStyle_0"/>
    <w:link w:val="17"/>
    <w:qFormat/>
    <w:uiPriority w:val="0"/>
    <w:rPr>
      <w:rFonts w:ascii="Calibri" w:hAnsi="Calibri"/>
      <w:kern w:val="2"/>
      <w:sz w:val="18"/>
      <w:szCs w:val="18"/>
    </w:rPr>
  </w:style>
  <w:style w:type="paragraph" w:customStyle="1" w:styleId="17">
    <w:name w:val="Acetate"/>
    <w:basedOn w:val="1"/>
    <w:link w:val="16"/>
    <w:qFormat/>
    <w:uiPriority w:val="0"/>
    <w:pPr>
      <w:jc w:val="both"/>
      <w:textAlignment w:val="baseline"/>
    </w:pPr>
    <w:rPr>
      <w:rFonts w:ascii="Calibri" w:hAnsi="Calibri"/>
      <w:kern w:val="2"/>
      <w:sz w:val="18"/>
      <w:szCs w:val="18"/>
      <w:lang w:val="en-US" w:eastAsia="zh-CN" w:bidi="ar-SA"/>
    </w:rPr>
  </w:style>
  <w:style w:type="paragraph" w:customStyle="1" w:styleId="18">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1299</Words>
  <Characters>1318</Characters>
  <TotalTime>19</TotalTime>
  <ScaleCrop>false</ScaleCrop>
  <LinksUpToDate>false</LinksUpToDate>
  <CharactersWithSpaces>1351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2020-04-27T12:37:00Z</dcterms:created>
  <dc:creator>lenovo</dc:creator>
  <cp:lastModifiedBy>7号</cp:lastModifiedBy>
  <cp:lastPrinted>2024-09-02T07:25:00Z</cp:lastPrinted>
  <dcterms:modified xsi:type="dcterms:W3CDTF">2024-09-20T09:24:55Z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14D59502F0BE49BF9AAA1D61B93EEED2_13</vt:lpwstr>
  </property>
</Properties>
</file>