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揭阳大南海石化工业区工业项目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准入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评估及投产后监管评估实施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试行办法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64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（征求意见稿）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为进一步贯彻落实《揭阳市人民政府关于落实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三贡献一高一强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推动重点产业园区高质量发展的意见》（揭府函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〔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2021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91号），规范揭阳大南海石化工业区（以下简称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工业区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）石化及配套项目准入评估及投产后管理，促进资源优化配置和土地集约利用，参考国内成熟先进化工园区项目准入后监管有关做法，结合工业区实际，制定科学量化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工业项目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准入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评估及投产后监管评估实施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试行办法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（以下简称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试行办法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一、评估实施试行办法适用范围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需政府以土地招标拍卖挂牌方式出让的工业项目。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经准入评估入区的工业项目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建成达产1年后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，连续评估项目5年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5年后根据企业运行情况重新约定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val="en-US" w:eastAsia="zh-CN"/>
        </w:rPr>
        <w:t>（三）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区党工委、区管委会认为需要评估的其他项目。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二、成立评估领导小组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成立揭阳大南海石化工业区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三贡献一高一强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工业项目评估领导小组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以下简称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评估小组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”）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由区分管招商引资副主任任组长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区经济发展局、区产业投资促进局、区建设管理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局、区安全生产应急管理局、市自然资源局大南海分局、市生态环境局大南海分局、惠来县税务局大南海分局、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揭阳滨海新区消防救援大队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等部门主要负责同志任成员。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同时根据项目评估实际需要可另行确定其他参会单位，邀请第三方评审专家参与评估工作。评估小组下设办公室（简称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评估办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），设在区产业局，评估办主任由局主要负责人担任。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三、评估实施试行办法基本原则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亩产论英雄、效益论英雄、能耗论英雄、环境论英雄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为目标，以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三贡献一高一强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为主要衡量的标准，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精准引进优质工业区项目，确保科学高效有序的开展项目评估。同时，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突出事前承诺，加强准入后监管评估，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树立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履约便利，违约惩戒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的鲜明导向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  <w:t>督促项目投资主体诚信履约，依法经营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  <w:t>保障工业区有序发展。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lef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四、评估实施试行办法指标及具体要求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为确保评估引进项目的科学合理性，加强项目准入投产后的监管评估，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在本《试行办法》的基础上，进一步细化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制订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《揭阳大南海石化工业区工业项目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准入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评估实施细则》、《揭阳大南海石化工业区工业项目投产后监管评估实施细则》（以下简称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“准入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评估细则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投产后监管评估细则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（具体实施内容详见附件）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。评估小组各成员单位根据项目的有关资料，依据部门职能，参照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本办法和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上述细则的要求对项目进行评估监管。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其中，《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准入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评估细则》将评估标准分为六大类，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none"/>
          <w:lang w:val="en-US" w:eastAsia="zh-CN"/>
        </w:rPr>
        <w:t>十一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项具体指标，分别从项目单位土地产值贡献和财税贡献、单位能耗产值贡献和财税贡献、单位环保容量财税贡献、科技含量、产业带动能力、安全生产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项目消防安全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等方面对引进项目进行评估。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《投产后监管评估细则》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将评估标准分为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七大类，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u w:val="none"/>
          <w:lang w:val="en-US" w:eastAsia="zh-CN"/>
        </w:rPr>
        <w:t>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项具体指标，分别从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项目建设进度、项目单位土地产值贡献和财税贡献、单位能耗产值贡献和财税贡献、单位环保容量财税贡献、科技含量、产业带动能力、安全生产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u w:val="none"/>
          <w:lang w:val="en-US" w:eastAsia="zh-CN"/>
        </w:rPr>
        <w:t>项目消防安全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等方面对项目投产后进行评估监管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五、项目评估流程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（一）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由评估办（区产业局）组织受评单位（项目业主），根据项目规划和建设运营情况，进行测算分析各项指标数值，得出相应分数，填写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《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揭阳大南海石化工业区工业项目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准入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评估表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（以下简称“准入评估表”）或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《揭阳大南海石化工业区工业项目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投产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后监管评估表》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（以下简称“投产后评估表”）并附相关佐证材料，报送至区评估办；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（二）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由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区评估办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将项目资料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、项目各项指标所得分数征求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各成员单位，各成员单位根据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对应的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准入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评估细则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有关要求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，结合自身职能进行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核实校对，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并在5个工作日之内将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相对应《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准入评估表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反馈至评估办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（三）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由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评估办将《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准入评估表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》呈报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评估小组组长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审定。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其中，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准入评估表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将作为召开入区产业项目可研联评联审的支撑性材料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；《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投产后评估表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将作为工业区对项目在下一个监管评估周期的管理、服务或退出的支撑性材料。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六、解释机关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本实施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试行办法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由揭阳大南海石化工业区产业投资促进局负责解释。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leftChars="0" w:firstLine="640" w:firstLineChars="200"/>
        <w:textAlignment w:val="auto"/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七</w:t>
      </w:r>
      <w:r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  <w:t>、实施日期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本实施试行办法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自印发之日起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实施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。如因上级政策调整，制度与相关法律法规规定不符的，以相关法律法规规定为准。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leftChars="0" w:firstLine="640" w:firstLineChars="200"/>
        <w:textAlignment w:val="auto"/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八</w:t>
      </w:r>
      <w:r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  <w:t>、附件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揭阳大南海石化工业区工业项目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准入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评估实施细则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揭阳大南海石化工业区工业项目投产后监管评估实施细则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3.准入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联评联审专家及参会单位邀请规则</w:t>
      </w:r>
    </w:p>
    <w:sectPr>
      <w:footerReference r:id="rId3" w:type="default"/>
      <w:pgSz w:w="11906" w:h="16838"/>
      <w:pgMar w:top="2098" w:right="1587" w:bottom="2098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yNmE1NDhjNGY4MmFhZmIzNzgwNzQ3Mjg5MWZlYjEifQ=="/>
  </w:docVars>
  <w:rsids>
    <w:rsidRoot w:val="0A150878"/>
    <w:rsid w:val="000A11EE"/>
    <w:rsid w:val="00AB2134"/>
    <w:rsid w:val="0A150878"/>
    <w:rsid w:val="0B705BB2"/>
    <w:rsid w:val="0F371BD3"/>
    <w:rsid w:val="0FBB67F0"/>
    <w:rsid w:val="106D1C53"/>
    <w:rsid w:val="20215E9F"/>
    <w:rsid w:val="3B3F6EA1"/>
    <w:rsid w:val="4057686C"/>
    <w:rsid w:val="425967A5"/>
    <w:rsid w:val="44931927"/>
    <w:rsid w:val="44CD0B46"/>
    <w:rsid w:val="48933596"/>
    <w:rsid w:val="53C26120"/>
    <w:rsid w:val="54135988"/>
    <w:rsid w:val="58590F74"/>
    <w:rsid w:val="5FAE3581"/>
    <w:rsid w:val="730E631F"/>
    <w:rsid w:val="768B20EA"/>
    <w:rsid w:val="7ABE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揭阳市大南海石化工业区</Company>
  <Pages>4</Pages>
  <Words>1704</Words>
  <Characters>1711</Characters>
  <Lines>0</Lines>
  <Paragraphs>0</Paragraphs>
  <TotalTime>6</TotalTime>
  <ScaleCrop>false</ScaleCrop>
  <LinksUpToDate>false</LinksUpToDate>
  <CharactersWithSpaces>1711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2022-11-15T01:36:00Z</dcterms:created>
  <dc:creator>郑志煜</dc:creator>
  <cp:lastModifiedBy>Mine.(ﾞ ｀-´)/</cp:lastModifiedBy>
  <cp:lastPrinted>2024-05-13T04:48:00Z</cp:lastPrinted>
  <dcterms:modified xsi:type="dcterms:W3CDTF">2024-05-29T03:25:37Z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2398AF5E0AE9458EA47236815735A936_12</vt:lpwstr>
  </property>
</Properties>
</file>