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2015" w:tblpY="706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697"/>
        <w:gridCol w:w="1338"/>
        <w:gridCol w:w="2417"/>
        <w:gridCol w:w="1314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lang w:val="en-US" w:eastAsia="zh-CN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lang w:val="en-US" w:eastAsia="zh-CN"/>
              </w:rPr>
              <w:t>序号</w:t>
            </w:r>
          </w:p>
        </w:tc>
        <w:tc>
          <w:tcPr>
            <w:tcW w:w="169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lang w:val="en-US" w:eastAsia="zh-CN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lang w:val="en-US" w:eastAsia="zh-CN"/>
              </w:rPr>
              <w:t>监理单位</w:t>
            </w:r>
          </w:p>
        </w:tc>
        <w:tc>
          <w:tcPr>
            <w:tcW w:w="133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lang w:val="en-US" w:eastAsia="zh-CN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lang w:val="en-US" w:eastAsia="zh-CN"/>
              </w:rPr>
              <w:t>项目总监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lang w:val="en-US" w:eastAsia="zh-CN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lang w:val="en-US" w:eastAsia="zh-CN"/>
              </w:rPr>
              <w:t>项目名称</w:t>
            </w:r>
          </w:p>
        </w:tc>
        <w:tc>
          <w:tcPr>
            <w:tcW w:w="131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lang w:val="en-US" w:eastAsia="zh-CN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lang w:val="en-US" w:eastAsia="zh-CN"/>
              </w:rPr>
              <w:t>所属地区</w:t>
            </w:r>
          </w:p>
        </w:tc>
        <w:tc>
          <w:tcPr>
            <w:tcW w:w="119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lang w:val="en-US" w:eastAsia="zh-CN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深圳市竣迪建设监理有限公司</w:t>
            </w:r>
          </w:p>
        </w:tc>
        <w:tc>
          <w:tcPr>
            <w:tcW w:w="13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</w:t>
            </w:r>
          </w:p>
        </w:tc>
        <w:tc>
          <w:tcPr>
            <w:tcW w:w="2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玉湖冷链(揭阳)国际食品交易中心南区—主体工程</w:t>
            </w:r>
          </w:p>
        </w:tc>
        <w:tc>
          <w:tcPr>
            <w:tcW w:w="13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揭东区</w:t>
            </w:r>
          </w:p>
        </w:tc>
        <w:tc>
          <w:tcPr>
            <w:tcW w:w="119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8"/>
                <w:rFonts w:hint="eastAsia" w:ascii="仿宋_GB2312" w:hAnsi="等线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考勤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率  为0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广东省建筑工程监理有限公司</w:t>
            </w:r>
          </w:p>
        </w:tc>
        <w:tc>
          <w:tcPr>
            <w:tcW w:w="13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林洁彬</w:t>
            </w:r>
          </w:p>
        </w:tc>
        <w:tc>
          <w:tcPr>
            <w:tcW w:w="2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广东百朋食品有限公司定点屠宰厂建设项目</w:t>
            </w:r>
          </w:p>
        </w:tc>
        <w:tc>
          <w:tcPr>
            <w:tcW w:w="13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榕城区</w:t>
            </w:r>
          </w:p>
        </w:tc>
        <w:tc>
          <w:tcPr>
            <w:tcW w:w="119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考勤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率  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揭阳市工程建设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监理有限公司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林典科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揭阳市裕寅科技发展有限公司年产1.8万吨不锈钢制品及年产0.3万吨塑料制品生产线新建项目</w:t>
            </w:r>
          </w:p>
        </w:tc>
        <w:tc>
          <w:tcPr>
            <w:tcW w:w="13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揭东区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9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 w:firstLineChars="100"/>
              <w:jc w:val="both"/>
              <w:textAlignment w:val="baseline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考勤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率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亚太勤业工程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咨询有限公司</w:t>
            </w:r>
          </w:p>
        </w:tc>
        <w:tc>
          <w:tcPr>
            <w:tcW w:w="13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程运林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揭阳市揭东区锡场镇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义西初级中学综合楼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改建工程项目</w:t>
            </w:r>
          </w:p>
        </w:tc>
        <w:tc>
          <w:tcPr>
            <w:tcW w:w="13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揭东区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8"/>
                <w:rFonts w:hint="default" w:ascii="仿宋_GB2312" w:hAnsi="等线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考勤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率  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厦门住总建设工程监理有限公司</w:t>
            </w:r>
          </w:p>
        </w:tc>
        <w:tc>
          <w:tcPr>
            <w:tcW w:w="13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陈剑</w:t>
            </w:r>
          </w:p>
        </w:tc>
        <w:tc>
          <w:tcPr>
            <w:tcW w:w="2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半岛明珠一期（B区）</w:t>
            </w:r>
          </w:p>
        </w:tc>
        <w:tc>
          <w:tcPr>
            <w:tcW w:w="13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榕城区</w:t>
            </w:r>
          </w:p>
        </w:tc>
        <w:tc>
          <w:tcPr>
            <w:tcW w:w="119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00" w:hanging="200" w:hangingChars="100"/>
              <w:jc w:val="center"/>
              <w:textAlignment w:val="baseline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考勤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00" w:hanging="200" w:hangingChars="10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广东财贸建设工程顾问有限公司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刘石屹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佳兆业·未来城一期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一二标段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绿地国际空港城地块四7、8、13、14及地下室A区</w:t>
            </w:r>
          </w:p>
        </w:tc>
        <w:tc>
          <w:tcPr>
            <w:tcW w:w="13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①揭东区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高新技术产业开发区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8"/>
                <w:rFonts w:hint="eastAsia" w:ascii="仿宋_GB2312" w:hAnsi="等线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考勤率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  为10.71%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厦门住总建设工程监理有限公司</w:t>
            </w:r>
          </w:p>
        </w:tc>
        <w:tc>
          <w:tcPr>
            <w:tcW w:w="13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李毅</w:t>
            </w:r>
          </w:p>
        </w:tc>
        <w:tc>
          <w:tcPr>
            <w:tcW w:w="2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普宁中骏·云景府</w:t>
            </w:r>
          </w:p>
        </w:tc>
        <w:tc>
          <w:tcPr>
            <w:tcW w:w="13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普宁市</w:t>
            </w:r>
          </w:p>
        </w:tc>
        <w:tc>
          <w:tcPr>
            <w:tcW w:w="11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考勤率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揭阳市工程建设监理有限公司</w:t>
            </w:r>
          </w:p>
        </w:tc>
        <w:tc>
          <w:tcPr>
            <w:tcW w:w="13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许仰波</w:t>
            </w:r>
          </w:p>
        </w:tc>
        <w:tc>
          <w:tcPr>
            <w:tcW w:w="2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揭阳技师学院仙桥教育实训基地配套工程项目</w:t>
            </w:r>
          </w:p>
        </w:tc>
        <w:tc>
          <w:tcPr>
            <w:tcW w:w="13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市辖区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Style w:val="8"/>
                <w:rFonts w:hint="eastAsia" w:ascii="仿宋_GB2312" w:hAnsi="等线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考勤率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浙江华瓯建设项目管理有限公司</w:t>
            </w:r>
          </w:p>
        </w:tc>
        <w:tc>
          <w:tcPr>
            <w:tcW w:w="13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王文韬</w:t>
            </w:r>
          </w:p>
        </w:tc>
        <w:tc>
          <w:tcPr>
            <w:tcW w:w="2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普宁万洋众创城项目（一期）10-12#，16-18#工程</w:t>
            </w:r>
          </w:p>
        </w:tc>
        <w:tc>
          <w:tcPr>
            <w:tcW w:w="13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考勤率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bottom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9" w:beforeLines="50" w:beforeAutospacing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揭阳市工程建设监理有限公司</w:t>
            </w:r>
          </w:p>
        </w:tc>
        <w:tc>
          <w:tcPr>
            <w:tcW w:w="13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蔡景涛</w:t>
            </w:r>
          </w:p>
        </w:tc>
        <w:tc>
          <w:tcPr>
            <w:tcW w:w="2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（高新区）万洋科技众创城1-1#，7#，13#工程</w:t>
            </w:r>
          </w:p>
        </w:tc>
        <w:tc>
          <w:tcPr>
            <w:tcW w:w="13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高新技术产业开发区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考勤率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bottom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9" w:beforeLines="50" w:beforeAutospacing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揭阳市工程建设监理有限公司</w:t>
            </w:r>
          </w:p>
        </w:tc>
        <w:tc>
          <w:tcPr>
            <w:tcW w:w="13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黄伟真</w:t>
            </w:r>
          </w:p>
        </w:tc>
        <w:tc>
          <w:tcPr>
            <w:tcW w:w="2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泰岐·泰时代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②玉德和园</w:t>
            </w:r>
          </w:p>
        </w:tc>
        <w:tc>
          <w:tcPr>
            <w:tcW w:w="13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市辖区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②榕城区 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考勤率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均  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bottom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9" w:beforeLines="50" w:beforeAutospacing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揭阳市工程建设监理有限公司</w:t>
            </w:r>
          </w:p>
        </w:tc>
        <w:tc>
          <w:tcPr>
            <w:tcW w:w="13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林创荣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隆江新城·天禧花园（13、15、17、18、19、20栋及幼儿园）</w:t>
            </w:r>
          </w:p>
        </w:tc>
        <w:tc>
          <w:tcPr>
            <w:tcW w:w="13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惠来县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考勤率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bottom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9" w:beforeLines="50" w:beforeAutospacing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广东省建筑工程监理有限公司</w:t>
            </w:r>
          </w:p>
        </w:tc>
        <w:tc>
          <w:tcPr>
            <w:tcW w:w="13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罗浅华</w:t>
            </w:r>
          </w:p>
        </w:tc>
        <w:tc>
          <w:tcPr>
            <w:tcW w:w="2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揭阳市区垃圾处理与资源利用厂（二期）</w:t>
            </w:r>
          </w:p>
        </w:tc>
        <w:tc>
          <w:tcPr>
            <w:tcW w:w="13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市辖区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考勤率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bottom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9" w:beforeLines="50" w:beforeAutospacing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陆丰市金鸿工程咨询有限公司</w:t>
            </w:r>
          </w:p>
        </w:tc>
        <w:tc>
          <w:tcPr>
            <w:tcW w:w="13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青洲花园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考勤率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bottom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纵横互建项目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管理有限公司</w:t>
            </w:r>
          </w:p>
        </w:tc>
        <w:tc>
          <w:tcPr>
            <w:tcW w:w="13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</w:t>
            </w:r>
          </w:p>
        </w:tc>
        <w:tc>
          <w:tcPr>
            <w:tcW w:w="2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葵潭镇敬老院改建工程</w:t>
            </w:r>
          </w:p>
        </w:tc>
        <w:tc>
          <w:tcPr>
            <w:tcW w:w="13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惠来县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考勤率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baseline"/>
      </w:pPr>
      <w:bookmarkStart w:id="0" w:name="_GoBack"/>
      <w:r>
        <w:rPr>
          <w:rStyle w:val="8"/>
          <w:rFonts w:hint="eastAsia" w:ascii="仿宋_GB2312" w:hAnsi="等线" w:eastAsia="仿宋_GB2312"/>
          <w:kern w:val="2"/>
          <w:sz w:val="32"/>
          <w:szCs w:val="32"/>
          <w:lang w:val="en-US" w:eastAsia="zh-CN" w:bidi="ar-SA"/>
        </w:rPr>
        <w:t>附件2：总监理工程师4月出勤率严重偏低的通报</w:t>
      </w:r>
    </w:p>
    <w:bookmarkEnd w:id="0"/>
    <w:sectPr>
      <w:footerReference r:id="rId3" w:type="default"/>
      <w:pgSz w:w="11906" w:h="16838"/>
      <w:pgMar w:top="1240" w:right="1800" w:bottom="151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fmt="numberInDash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8"/>
        <w:rFonts w:ascii="Calibri" w:hAnsi="Calibri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ascii="Calibri" w:hAnsi="Calibri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8"/>
                              <w:rFonts w:ascii="Calibri" w:hAnsi="Calibri" w:eastAsia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8"/>
                              <w:rFonts w:ascii="Calibri" w:hAnsi="Calibri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z-index:251660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WaT2&#10;QNIAAAAFAQAADwAAAAAAAAABACAAAAAiAAAAZHJzL2Rvd25yZXYueG1sUEsBAhQAFAAAAAgAh07i&#10;QNb2tGm2AQAAdgMAAA4AAAAAAAAAAQAgAAAAI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8"/>
                        <w:rFonts w:ascii="Calibri" w:hAnsi="Calibri" w:eastAsia="宋体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8"/>
                        <w:rFonts w:ascii="Calibri" w:hAnsi="Calibri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8"/>
        <w:rFonts w:ascii="Calibri" w:hAnsi="Calibri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8"/>
                              <w:rFonts w:ascii="Calibri" w:hAnsi="Calibri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8"/>
                              <w:rFonts w:ascii="Calibri" w:hAnsi="Calibri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mk&#10;9kDSAAAABQEAAA8AAAAAAAAAAQAgAAAAIgAAAGRycy9kb3ducmV2LnhtbFBLAQIUABQAAAAIAIdO&#10;4kCc4HFQtwEAAHYDAAAOAAAAAAAAAAEAIAAAACE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8"/>
                        <w:rFonts w:ascii="Calibri" w:hAnsi="Calibri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8"/>
                        <w:rFonts w:ascii="Calibri" w:hAnsi="Calibri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MDYxODM2MWFmNGI3MGNhYzUwMzc1ZjhhZjhmNzIifQ=="/>
  </w:docVars>
  <w:rsids>
    <w:rsidRoot w:val="63A2362A"/>
    <w:rsid w:val="63A2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揭阳市住房城乡建设局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2024-04-30T07:14:00Z</dcterms:created>
  <dc:creator>7号</dc:creator>
  <cp:lastModifiedBy>7号</cp:lastModifiedBy>
  <dcterms:modified xsi:type="dcterms:W3CDTF">2024-04-30T07:17:07Z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05F0848213284FD5A461DCFEDF2D2C08_11</vt:lpwstr>
  </property>
</Properties>
</file>