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119" w:line="172" w:lineRule="auto"/>
        <w:ind w:left="1793" w:right="1791" w:firstLine="0"/>
        <w:jc w:val="center"/>
        <w:outlineLvl w:val="9"/>
        <w:rPr>
          <w:rFonts w:hint="eastAsia" w:ascii="方正小标宋简体" w:eastAsia="方正小标宋简体"/>
          <w:w w:val="95"/>
        </w:rPr>
      </w:pPr>
    </w:p>
    <w:p>
      <w:pPr>
        <w:spacing w:before="119" w:line="172" w:lineRule="auto"/>
        <w:ind w:left="1793" w:right="1791" w:firstLine="0"/>
        <w:jc w:val="center"/>
        <w:outlineLvl w:val="9"/>
        <w:rPr>
          <w:rFonts w:hint="eastAsia" w:ascii="方正小标宋简体" w:eastAsia="方正小标宋简体"/>
          <w:w w:val="95"/>
        </w:rPr>
      </w:pPr>
    </w:p>
    <w:p>
      <w:pPr>
        <w:spacing w:before="119" w:line="172" w:lineRule="auto"/>
        <w:ind w:left="1793" w:right="1791" w:firstLine="0"/>
        <w:jc w:val="center"/>
        <w:outlineLvl w:val="9"/>
        <w:rPr>
          <w:rFonts w:hint="eastAsia" w:ascii="楷体_GB2312" w:eastAsia="楷体_GB2312"/>
        </w:rPr>
      </w:pPr>
      <w:bookmarkStart w:id="0" w:name="_Toc25699"/>
      <w:bookmarkStart w:id="1" w:name="_Toc4806"/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揭阳市</w:t>
      </w:r>
      <w:r>
        <w:rPr>
          <w:rFonts w:hint="eastAsia" w:ascii="方正小标宋简体" w:eastAsia="方正小标宋简体"/>
          <w:w w:val="95"/>
          <w:sz w:val="44"/>
          <w:szCs w:val="44"/>
        </w:rPr>
        <w:t>生态环境分区管控动态更新</w:t>
      </w:r>
      <w:bookmarkEnd w:id="0"/>
      <w:bookmarkEnd w:id="1"/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成</w:t>
      </w:r>
      <w:r>
        <w:rPr>
          <w:rFonts w:hint="eastAsia" w:ascii="方正小标宋简体" w:eastAsia="方正小标宋简体"/>
          <w:w w:val="95"/>
          <w:sz w:val="44"/>
          <w:szCs w:val="44"/>
        </w:rPr>
        <w:t>果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2023年）</w:t>
      </w: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rPr>
          <w:rFonts w:ascii="楷体_GB2312"/>
        </w:rPr>
      </w:pPr>
    </w:p>
    <w:p>
      <w:pPr>
        <w:pStyle w:val="7"/>
        <w:spacing w:before="8"/>
        <w:rPr>
          <w:rFonts w:ascii="楷体_GB2312"/>
          <w:sz w:val="47"/>
        </w:rPr>
      </w:pPr>
    </w:p>
    <w:p>
      <w:pPr>
        <w:pStyle w:val="7"/>
        <w:spacing w:before="8"/>
        <w:rPr>
          <w:rFonts w:ascii="楷体_GB2312"/>
          <w:sz w:val="47"/>
        </w:rPr>
      </w:pPr>
    </w:p>
    <w:p>
      <w:pPr>
        <w:rPr>
          <w:rFonts w:ascii="楷体_GB2312"/>
          <w:sz w:val="47"/>
        </w:rPr>
      </w:pPr>
    </w:p>
    <w:p>
      <w:pPr>
        <w:rPr>
          <w:rFonts w:ascii="楷体_GB2312"/>
          <w:sz w:val="47"/>
        </w:rPr>
      </w:pPr>
    </w:p>
    <w:p>
      <w:pPr>
        <w:pStyle w:val="2"/>
        <w:rPr>
          <w:rFonts w:ascii="楷体_GB2312"/>
          <w:sz w:val="47"/>
        </w:rPr>
      </w:pPr>
    </w:p>
    <w:p>
      <w:pPr>
        <w:pStyle w:val="2"/>
        <w:rPr>
          <w:rFonts w:ascii="楷体_GB2312"/>
          <w:sz w:val="47"/>
        </w:rPr>
      </w:pPr>
    </w:p>
    <w:p>
      <w:pPr>
        <w:pStyle w:val="2"/>
        <w:spacing w:line="560" w:lineRule="exact"/>
        <w:ind w:firstLine="63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Toc17386"/>
      <w:bookmarkStart w:id="3" w:name="_Toc28887"/>
      <w:bookmarkStart w:id="4" w:name="_Toc11377"/>
      <w:bookmarkStart w:id="5" w:name="_Toc9886"/>
      <w:bookmarkStart w:id="6" w:name="_Toc4266"/>
      <w:bookmarkStart w:id="7" w:name="_Toc11900"/>
      <w:bookmarkStart w:id="8" w:name="_Toc19131"/>
      <w:bookmarkStart w:id="9" w:name="_Toc17891"/>
      <w:bookmarkStart w:id="10" w:name="_Toc2179"/>
      <w:bookmarkStart w:id="11" w:name="_Toc26159"/>
      <w:r>
        <w:rPr>
          <w:rFonts w:hint="eastAsia" w:ascii="仿宋_GB2312" w:hAnsi="仿宋_GB2312" w:eastAsia="仿宋_GB2312" w:cs="仿宋_GB2312"/>
          <w:b w:val="0"/>
          <w:bCs/>
          <w:color w:val="393939"/>
          <w:kern w:val="0"/>
          <w:sz w:val="32"/>
          <w:szCs w:val="32"/>
          <w:lang w:val="en-US" w:eastAsia="zh-CN" w:bidi="ar-SA"/>
        </w:rPr>
        <w:t>按照省生态环境厅《关于印发&lt;广东省2023年生态环境分区管控成果动态更新实施方案&gt;的通知》(粤环办〔2023〕12 号)的要求，我市对 《揭阳市人民政府办公室关于印发揭阳市“三线一单”生态环境分区管控方案的通知》（揭府办〔2021〕25号）开展更新调整，经省生态环境厅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同意，调整更新成果如下：</w:t>
      </w: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表1 2025年主要目标更新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20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11"/>
        <w:gridCol w:w="346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序号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类别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更新前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更新后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生态保护红线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全市陆域生态保护红线面积892.75平方公里，占陆域国土面积的16.95%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。一般生态空间面积391.48平方公里，占陆域国土面积的7.43%。全市海洋生态保护红线面积278.90平方公里。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全市陆域生态保护红线面积844.85平方公里，占陆域国土面积的16.04%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。一般生态空间面积439.38平方公里，占陆域国土面积的8.34%。全市海洋生态保护红线面积278.89平方公里。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环境质量底线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1.地表水国考、省考断面达到国家和省下达的水质目标要求；</w:t>
            </w:r>
          </w:p>
          <w:p>
            <w:pPr>
              <w:pStyle w:val="13"/>
              <w:ind w:left="0" w:leftChars="0" w:firstLine="0" w:firstLineChars="0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2.土壤质量稳中向好，土壤环境风险得到有效管控。受污染耕地安全利用率、污染地块安全利用率达到省下达的目标要求。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.近岸海域优良（一、二类）水质面积比例达到省的考核要求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1.地表水优良（达到或优于Ⅲ）比例国考断面不低于60%、省考断面不低于81.8%；</w:t>
            </w:r>
          </w:p>
          <w:p>
            <w:pPr>
              <w:pStyle w:val="1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2.土壤质量稳中向好，土壤环境风险得到有效管控。受污染耕地安全利用率、重点建设用地安全利用达到省下达的目标要求。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.近岸海域优良（一、二类）水质面积比例达到95%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资源利用上线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强化节约集约利用，持续提升资源能源利用效率，水资源、土地资源、能源消耗、岸线资源等达到或优于国家和省下达的总量和强度控制目标。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强化节约集约利用，持续提升资源能源利用效率，用水总量不大于13.76亿立方米，土地资源、能源消耗、岸线资源等达到或优于国家和省下达的总量和强度控制目标。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jc w:val="both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2" w:name="_Toc21951"/>
      <w:bookmarkStart w:id="13" w:name="_Toc6062"/>
      <w:bookmarkStart w:id="14" w:name="_Toc811"/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 生态保护红线和一般生态空间动态更新</w:t>
      </w:r>
      <w:bookmarkEnd w:id="12"/>
      <w:bookmarkEnd w:id="13"/>
      <w:bookmarkEnd w:id="14"/>
    </w:p>
    <w:tbl>
      <w:tblPr>
        <w:tblStyle w:val="20"/>
        <w:tblW w:w="14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33"/>
        <w:gridCol w:w="1067"/>
        <w:gridCol w:w="1234"/>
        <w:gridCol w:w="1067"/>
        <w:gridCol w:w="1298"/>
        <w:gridCol w:w="2325"/>
        <w:gridCol w:w="1781"/>
        <w:gridCol w:w="919"/>
        <w:gridCol w:w="1013"/>
        <w:gridCol w:w="831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272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生态空间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更新前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更新后面积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生态空间变动情况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调整类别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生态保护红线调出面积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生态保护红线调入面积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面积（km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比例（%）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面积（km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比例（%）</w:t>
            </w: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生态保护红线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892.75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16.95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844.85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16.04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生态保护红线减少面积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生态保护红线更新后减少（新生态保护红线-原生态保护红线）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47.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47.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一般生态空间减少面积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一般生态空间划为生态保护红线减少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城镇开发边界衔接减少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0.012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采矿权衔接减少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5.304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产业发展、重点项目衔接减少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三调行政区划衔接减少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其他原因导致一般生态空间减少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53.22</w:t>
            </w:r>
          </w:p>
        </w:tc>
        <w:tc>
          <w:tcPr>
            <w:tcW w:w="193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2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一般生态空间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391.48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7.43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439.38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8.34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一般生态空间增加面积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原生态保护红线调入一般生态空间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47.7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纳入一般生态空间的面积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未纳入一般生态空间的面积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从原一般生态空间调入面积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从原一般生态空间外调入面积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生态公益林调入一般生态空间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47.73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生态控制区调入一般生态空间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饮用水源保护区调入一般生态空间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其他原因调入一般生态空间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1284.23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24.38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1284.23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24.38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53.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>
      <w:pPr>
        <w:pStyle w:val="13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bookmarkStart w:id="15" w:name="_Toc12177"/>
      <w:bookmarkStart w:id="16" w:name="_Toc17254"/>
      <w:bookmarkStart w:id="17" w:name="_Toc30836"/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 一般生态空间调出</w:t>
      </w:r>
      <w:bookmarkEnd w:id="15"/>
      <w:bookmarkEnd w:id="16"/>
      <w:bookmarkEnd w:id="17"/>
    </w:p>
    <w:tbl>
      <w:tblPr>
        <w:tblStyle w:val="20"/>
        <w:tblW w:w="10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66"/>
        <w:gridCol w:w="2491"/>
        <w:gridCol w:w="1329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调出类项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名称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调出面积（km</w:t>
            </w:r>
            <w:r>
              <w:rPr>
                <w:rFonts w:hint="default" w:ascii="Times New Roman" w:hAnsi="Times New Roman" w:cs="Times New Roman"/>
                <w:b/>
                <w:bCs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调出原因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生态保护红线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生态保护红线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47.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衔接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生态保护红线</w:t>
            </w:r>
            <w:r>
              <w:rPr>
                <w:rFonts w:hint="default" w:ascii="Times New Roman" w:hAnsi="Times New Roman" w:cs="Times New Roman"/>
              </w:rPr>
              <w:t>对一般生态空间边界进行优化调整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城镇开发边界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城镇开发边界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0.012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衔接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城镇开发边界</w:t>
            </w:r>
            <w:r>
              <w:rPr>
                <w:rFonts w:hint="default" w:ascii="Times New Roman" w:hAnsi="Times New Roman" w:cs="Times New Roman"/>
              </w:rPr>
              <w:t>对一般生态空间边界进行优化调整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采矿权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揭西县五云镇赤告岭矿区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0.3178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因规划采矿权与一般生态空间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揭西县坪上镇矿区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1.8883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因规划采矿权与一般生态空间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揭西县五云镇寨子角矿区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0.4043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揭西县上砂镇径心村合石矿区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0.1587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拟设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揭西县坪上镇尖田村黄惊石矿区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0.2321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拟设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揭西县五云镇石碑村矿区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0.1682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拟设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揭西县大洋云景湖饮用天然矿泉水矿区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0.032992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拟设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普宁市下架山出玉石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0.7751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拟设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普宁市里湖镇田蟹笼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  <w:t>1.3253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拟设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采矿权与一般生态空间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冲突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，拟调出一般生态空间。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矿区边界调整（普宁市里湖镇田蟹笼矿区、揭西县五云镇大水坑瓷土矿区、揭西县坪上镇矿区、惠来县惠城镇林樟村矿区）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0.001025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矿区边界调整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行政底图更新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行政底图更新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ind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衔接三调底图更新一般生态空间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53.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bookmarkStart w:id="18" w:name="_Toc9911"/>
      <w:bookmarkStart w:id="19" w:name="_Toc19919"/>
      <w:bookmarkStart w:id="20" w:name="_Toc4461"/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>表</w:t>
      </w:r>
      <w:r>
        <w:rPr>
          <w:rFonts w:hint="eastAsia" w:eastAsia="黑体" w:cs="Times New Roman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t xml:space="preserve"> 一般生态空间调入</w:t>
      </w:r>
      <w:bookmarkEnd w:id="18"/>
      <w:bookmarkEnd w:id="19"/>
      <w:bookmarkEnd w:id="20"/>
    </w:p>
    <w:tbl>
      <w:tblPr>
        <w:tblStyle w:val="20"/>
        <w:tblW w:w="10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72"/>
        <w:gridCol w:w="1836"/>
        <w:gridCol w:w="1763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序号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调入类项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名称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调入面积（km</w:t>
            </w:r>
            <w:r>
              <w:rPr>
                <w:rFonts w:hint="default"/>
                <w:b/>
                <w:bCs/>
                <w:vertAlign w:val="superscript"/>
              </w:rPr>
              <w:t>2</w:t>
            </w:r>
            <w:r>
              <w:rPr>
                <w:rFonts w:hint="default"/>
                <w:b/>
                <w:bCs/>
              </w:rPr>
              <w:t>）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调入原因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原生态保护红线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原生态保护红线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47.73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根据技术要求优先将原红线调出区域纳入一般生态空间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生态公益林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生态公益林地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调入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49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因一般生态空间面积“占补平衡”，调入一般生态空间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53.22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7"/>
              <w:bidi w:val="0"/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21" w:name="_Toc9075"/>
      <w:bookmarkStart w:id="22" w:name="_Toc17014"/>
      <w:bookmarkStart w:id="23" w:name="_Toc23565"/>
      <w:bookmarkStart w:id="24" w:name="_Toc16697"/>
      <w:bookmarkStart w:id="25" w:name="_Toc17141"/>
      <w:bookmarkStart w:id="26" w:name="_Toc26258"/>
      <w:bookmarkStart w:id="27" w:name="_Toc8673"/>
      <w:bookmarkStart w:id="28" w:name="_Toc15246"/>
      <w:bookmarkStart w:id="29" w:name="_Toc11974"/>
      <w:bookmarkStart w:id="30" w:name="_Toc8267"/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表5 水环境管控分区水质目标动态更新情况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Style w:val="2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219"/>
        <w:gridCol w:w="3246"/>
        <w:gridCol w:w="548"/>
        <w:gridCol w:w="581"/>
        <w:gridCol w:w="1024"/>
        <w:gridCol w:w="822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水环境管控分区编码</w:t>
            </w:r>
          </w:p>
        </w:tc>
        <w:tc>
          <w:tcPr>
            <w:tcW w:w="3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水环境管控分区名称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水质目标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断面经度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tblHeader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更新前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更新后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YS4452032220033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榕江南梅云街道-西马街道-仙桥街道-中山街道控制单元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东湖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116.35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YS4452032220030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榕江南河霖磐镇-磐东街道-月城镇控制单元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东湖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116.35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YS4452022220005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榕江南河地都镇-砲台镇控制单元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116.53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23.44 </w:t>
            </w:r>
          </w:p>
        </w:tc>
      </w:tr>
    </w:tbl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jc w:val="center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31" w:name="_Toc7901"/>
      <w:bookmarkStart w:id="32" w:name="_Toc17082"/>
      <w:bookmarkStart w:id="33" w:name="_Toc14800"/>
      <w:bookmarkStart w:id="34" w:name="_Toc4168"/>
      <w:bookmarkStart w:id="35" w:name="_Toc18007"/>
      <w:bookmarkStart w:id="36" w:name="_Toc776"/>
      <w:bookmarkStart w:id="37" w:name="_Toc6820"/>
      <w:bookmarkStart w:id="38" w:name="_Toc1571"/>
      <w:bookmarkStart w:id="39" w:name="_Toc4101"/>
      <w:bookmarkStart w:id="40" w:name="_Toc13314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表6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Start w:id="41" w:name="_Toc16432"/>
      <w:bookmarkStart w:id="42" w:name="_Toc15123"/>
      <w:bookmarkStart w:id="43" w:name="_Toc21689"/>
      <w:bookmarkStart w:id="44" w:name="_Toc31881"/>
      <w:bookmarkStart w:id="45" w:name="_Toc29690"/>
      <w:bookmarkStart w:id="46" w:name="_Toc26279"/>
      <w:bookmarkStart w:id="47" w:name="_Toc11236"/>
      <w:bookmarkStart w:id="48" w:name="_Toc17747"/>
      <w:bookmarkStart w:id="49" w:name="_Toc784"/>
      <w:bookmarkStart w:id="50" w:name="_Toc9221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近岸海域环境管控分区动态更新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51" w:name="_Toc2510"/>
      <w:bookmarkStart w:id="52" w:name="_Toc26665"/>
      <w:bookmarkStart w:id="53" w:name="_Toc31571"/>
      <w:bookmarkStart w:id="54" w:name="_Toc18613"/>
      <w:bookmarkStart w:id="55" w:name="_Toc26655"/>
      <w:bookmarkStart w:id="56" w:name="_Toc30071"/>
      <w:bookmarkStart w:id="57" w:name="_Toc25037"/>
      <w:bookmarkStart w:id="58" w:name="_Toc17501"/>
      <w:bookmarkStart w:id="59" w:name="_Toc11689"/>
    </w:p>
    <w:tbl>
      <w:tblPr>
        <w:tblStyle w:val="20"/>
        <w:tblW w:w="77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6"/>
        <w:gridCol w:w="226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更新前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个数（个）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近岸海域优先保护区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近岸海域重点管控区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近岸海域一般管控区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07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br w:type="page"/>
      </w: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环境管控单元动态更新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Style w:val="20"/>
        <w:tblW w:w="89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95"/>
        <w:gridCol w:w="855"/>
        <w:gridCol w:w="1410"/>
        <w:gridCol w:w="810"/>
        <w:gridCol w:w="975"/>
        <w:gridCol w:w="1215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更新前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更新后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更新原因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一般管控单元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ZH44528130006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普宁市北部一般管控单元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一般管控单元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ZH44528130006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普宁市北部一般管控单元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省“三线一单”平台中，我市普宁市大池农场范围被划入【揭西县中部一般管控单元】中，与行政边界不符。本次更新将普宁市大池农场范围调整到【普宁市北部一般单元】内，不改变原有单元其他属性。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一般管控单元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ZH44522230004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揭西县中部一般管控单元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一般管控单元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ZH4452230004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揭西县中部一般管控单元</w:t>
            </w:r>
          </w:p>
        </w:tc>
        <w:tc>
          <w:tcPr>
            <w:tcW w:w="2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优先保护单元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ZH44520210004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空港区桑浦山省级自然保护区优先保护单元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优先保护单元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ZH44520210004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榕城区桑浦山省级自然保护区优先保护单元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行政区域调整。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ZH4452022000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广东揭阳高新技术产业开发区重点管控单元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ZH4452022000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揭阳高新区渔湖片区重点管控单元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行政区划调整，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行政边界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。以组团方式扩大揭阳高新区（空港经济区）核心区范围，以纳入《中国开发区审核公告目录》的广东揭阳高新技术产业开发区6.98平方公里为基础，扩展至相邻地块5.88平方公里，组建揭阳高新区渔湖片区，面积12.86平方公里。依托揭阳潮汕机场组建揭阳高新区临空片区，面积15.63平方公里。依托榕江港口组建揭阳高新区临港片区，面积21.54平方公里，三大片区合计50.03平方公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ZH4452022000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揭阳临空产业园区重点管控单元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ZH44520220004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揭阳高新区临空产业园重点管控单元</w:t>
            </w:r>
          </w:p>
        </w:tc>
        <w:tc>
          <w:tcPr>
            <w:tcW w:w="24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ZH44520220005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空港区重点管控单元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ZH44520220005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榕城区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重点管控单元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ind w:left="0" w:leftChars="0" w:right="0" w:rightChars="0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行政区域调整，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行政边界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Lines="0" w:afterLines="0"/>
        <w:rPr>
          <w:rFonts w:hint="default" w:ascii="Times New Roman" w:hAnsi="Times New Roman" w:eastAsia="黑体"/>
          <w:color w:val="000000"/>
          <w:sz w:val="24"/>
        </w:r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60" w:name="_Toc6802"/>
      <w:bookmarkStart w:id="61" w:name="_Toc12600"/>
      <w:bookmarkStart w:id="62" w:name="_Toc23237"/>
      <w:bookmarkStart w:id="63" w:name="_Toc1537"/>
      <w:bookmarkStart w:id="64" w:name="_Toc24731"/>
      <w:bookmarkStart w:id="65" w:name="_Toc29804"/>
      <w:bookmarkStart w:id="66" w:name="_Toc13572"/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adjustRightInd w:val="0"/>
        <w:snapToGrid w:val="0"/>
        <w:spacing w:beforeLines="0" w:afterLines="0" w:line="560" w:lineRule="exact"/>
        <w:jc w:val="center"/>
        <w:outlineLvl w:val="0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67" w:name="_Toc20004"/>
      <w:bookmarkStart w:id="68" w:name="_Toc19804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8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环境管控单元准入清单更新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tbl>
      <w:tblPr>
        <w:tblStyle w:val="21"/>
        <w:tblW w:w="11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02"/>
        <w:gridCol w:w="1614"/>
        <w:gridCol w:w="1205"/>
        <w:gridCol w:w="3814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环境管控单元编码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环境管控单元名称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管控维度</w:t>
            </w:r>
          </w:p>
        </w:tc>
        <w:tc>
          <w:tcPr>
            <w:tcW w:w="7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生态环境准入清单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更新前</w:t>
            </w: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更新后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ZH44528120019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普宁市东部练江流域重点管控单元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区域布局管控</w:t>
            </w: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1.【水/禁止类】除入园项目外，禁止新建、扩建印染、制浆、造纸、电镀、鞣革、线路板、化工、冶炼、发酵酿造和危险废物综合利用和处置等水污染物排放量大、存在较大环境风险的行业。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【水/限制类】在未按省的规定实现相应的水质目标前，暂停审批电氧化和截污管网以外的洗车、餐饮、沐足桑拿、食品加工等耗水性项目，生产过程中含酸洗、磷化、表面处理等工艺的项目。</w:t>
            </w: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【水/禁止类】除入园项目外，禁止新建、扩建印染、制浆、造纸、电镀、鞣革、线路板、化工、冶炼、发酵酿造和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和畜禽养殖等水污染物排放量大、存在较大环境风险的行业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ZH44522220014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揭西县中部重点管控单元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区域布局管控</w:t>
            </w:r>
          </w:p>
        </w:tc>
        <w:tc>
          <w:tcPr>
            <w:tcW w:w="38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1.【水/禁止类】禁止新建和扩建制浆、造纸、印染、电镀、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鞋革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1.【水/禁止类】禁止新建和扩建制浆、造纸、印染、电镀、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eastAsia="zh-CN"/>
              </w:rPr>
              <w:t>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ZH44522230003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揭西县西部一般管控单元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区域布局管控</w:t>
            </w:r>
          </w:p>
        </w:tc>
        <w:tc>
          <w:tcPr>
            <w:tcW w:w="3814" w:type="dxa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2.【水/禁止类】禁止新建和扩建制浆、造纸、印染、电镀、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鞋革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2.【水/禁止类】禁止新建和扩建制浆、造纸、印染、电镀、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>鞣革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ZH44522230004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揭西县中部一般管控单元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区域布局管控</w:t>
            </w:r>
          </w:p>
        </w:tc>
        <w:tc>
          <w:tcPr>
            <w:tcW w:w="3814" w:type="dxa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3.【水/禁止类】禁止新建和扩建制浆、造纸、印染、电镀、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鞋革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3.【水/禁止类】禁止新建和扩建制浆、造纸、印染、电镀、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>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ZH44522230005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揭西县东部一般管控单元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区域布局管控</w:t>
            </w:r>
          </w:p>
        </w:tc>
        <w:tc>
          <w:tcPr>
            <w:tcW w:w="3814" w:type="dxa"/>
            <w:vAlign w:val="center"/>
          </w:tcPr>
          <w:p>
            <w:pPr>
              <w:autoSpaceDE/>
              <w:autoSpaceDN/>
              <w:adjustRightInd/>
              <w:snapToGrid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2.【水/禁止类】禁止新建和扩建制浆、造纸、印染、电镀、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鞋革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autoSpaceDE/>
              <w:autoSpaceDN/>
              <w:adjustRightInd/>
              <w:snapToGrid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2.【水/禁止类】禁止新建和扩建制浆、造纸、印染、电镀、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eastAsia="zh-CN"/>
              </w:rPr>
              <w:t>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线路板、化工、冶炼、发酵酿造、生物制药、危险废物综合利用或处置等重污染项目，禁止新建和扩建排放含汞、砷、镉、铬、铅等重金属和持久性有机污染物项目，以及存在重大环境风险和环境安全隐患的项目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outlineLvl w:val="9"/>
        <w:rPr>
          <w:rFonts w:hint="eastAsia" w:ascii="Times New Roman" w:hAnsi="Times New Roman" w:eastAsia="仿宋_GB2312"/>
          <w:color w:val="000000"/>
          <w:kern w:val="0"/>
          <w:sz w:val="24"/>
          <w:lang w:val="en-US" w:eastAsia="zh-CN"/>
        </w:rPr>
      </w:pPr>
    </w:p>
    <w:p>
      <w:pPr>
        <w:jc w:val="both"/>
        <w:outlineLvl w:val="9"/>
        <w:rPr>
          <w:rFonts w:hint="eastAsia" w:ascii="Times New Roman" w:hAnsi="Times New Roman" w:eastAsia="仿宋_GB2312"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/>
          <w:color w:val="000000"/>
          <w:kern w:val="0"/>
          <w:sz w:val="24"/>
        </w:rPr>
        <w:br w:type="page"/>
      </w:r>
      <w:bookmarkStart w:id="69" w:name="_Toc4873"/>
    </w:p>
    <w:p>
      <w:pPr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</w:t>
      </w:r>
      <w:bookmarkEnd w:id="6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更新</w:t>
      </w:r>
      <w:bookmarkStart w:id="70" w:name="_GoBack"/>
      <w:bookmarkEnd w:id="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对方案中的注解进行调整更新：对方案中生态保护红线及一般生态空间注解1“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生态保护红线暂采用2020年广东省人民政府报送自然资源部、生态环境部的版本；一般生态空间后续与发布的生态保护红线进行衔接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”，更新修改为“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生态保护红线暂采用《揭阳市国土空间总体规划（2021-2035年）》成果中的“三区三线”数据（封库版）；一般生态空间后续与发布的生态保护红线进行衔接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”；对方案中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全市生态环境准入清单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内容中的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污染物排放管控要求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中第三小点“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强化工业园区污染排放管控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”，增加注解6“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后续如有园区规划修编及重新开展规划环境影响评价的，应以最新批复为准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/>
        <w:jc w:val="center"/>
        <w:textAlignment w:val="auto"/>
        <w:outlineLvl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方案注解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更新调整</w:t>
      </w:r>
    </w:p>
    <w:tbl>
      <w:tblPr>
        <w:tblStyle w:val="21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7"/>
        <w:gridCol w:w="296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调整前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主要目标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生态保护红线及一般生态空间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生态保护红线暂采用2020年广东省人民政府报送自然资源部、生态环境部的版本；一般生态空间后续与发布的生态保护红线进行衔接。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生态保护红线及一般生态空间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生态保护红线暂采用《揭阳市国土空间总体规划（2021-2035年）》成果中的“三区三线”数据（封库版）；一般生态空间后续与发布的生态保护红线进行衔接。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污染物排放管控要求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强化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工业园区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污染排放管控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强化工业园区污染排放管控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后续如有园区规划修编及重新开展规划环境影响评价的，应以最新批复为准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outlineLvl w:val="9"/>
        <w:rPr>
          <w:rFonts w:hint="default" w:ascii="Times New Roman" w:hAnsi="Times New Roman" w:eastAsia="仿宋_GB2312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B231161-A5E1-491F-BB90-9617AE21D5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41FDE10-B48F-48F7-BCDE-4961E3B1FE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93DBF5-DB3B-494C-B735-1B094C576AE8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A656D3-FE5B-49A6-AE2D-CB823BAA25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707B262-B944-489F-AECE-C7D20995A4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6F06F48-CB5B-4989-85F6-B3A3C980BB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ZmU2OWI5MDNjODYwYWJiZWFlYTMyODlhZjQ5Y2IifQ=="/>
  </w:docVars>
  <w:rsids>
    <w:rsidRoot w:val="75625D11"/>
    <w:rsid w:val="004761D7"/>
    <w:rsid w:val="004A57AB"/>
    <w:rsid w:val="006D0AE8"/>
    <w:rsid w:val="008D32D4"/>
    <w:rsid w:val="009011B1"/>
    <w:rsid w:val="00F067B1"/>
    <w:rsid w:val="014C710A"/>
    <w:rsid w:val="01767B07"/>
    <w:rsid w:val="018E6998"/>
    <w:rsid w:val="01AC655F"/>
    <w:rsid w:val="01B13822"/>
    <w:rsid w:val="01F540BF"/>
    <w:rsid w:val="020F5EE1"/>
    <w:rsid w:val="02532D66"/>
    <w:rsid w:val="025E2C1C"/>
    <w:rsid w:val="02871D44"/>
    <w:rsid w:val="030A337E"/>
    <w:rsid w:val="030D2AB2"/>
    <w:rsid w:val="04477AA3"/>
    <w:rsid w:val="044A2FC7"/>
    <w:rsid w:val="044F0706"/>
    <w:rsid w:val="047561E4"/>
    <w:rsid w:val="047563BF"/>
    <w:rsid w:val="04A902E8"/>
    <w:rsid w:val="052C7C50"/>
    <w:rsid w:val="0534627A"/>
    <w:rsid w:val="053562EA"/>
    <w:rsid w:val="053D70FA"/>
    <w:rsid w:val="054A0E25"/>
    <w:rsid w:val="05C90C56"/>
    <w:rsid w:val="062478F2"/>
    <w:rsid w:val="066F086A"/>
    <w:rsid w:val="06B10C6D"/>
    <w:rsid w:val="06ED636E"/>
    <w:rsid w:val="070D2AF2"/>
    <w:rsid w:val="07A46E5E"/>
    <w:rsid w:val="07A56B7D"/>
    <w:rsid w:val="07AB3517"/>
    <w:rsid w:val="080E6376"/>
    <w:rsid w:val="081144B5"/>
    <w:rsid w:val="082C018B"/>
    <w:rsid w:val="082E1989"/>
    <w:rsid w:val="08A85B88"/>
    <w:rsid w:val="090655BA"/>
    <w:rsid w:val="09473CE2"/>
    <w:rsid w:val="09642662"/>
    <w:rsid w:val="09652EA6"/>
    <w:rsid w:val="0970295A"/>
    <w:rsid w:val="09B00F80"/>
    <w:rsid w:val="09C31088"/>
    <w:rsid w:val="09C5316B"/>
    <w:rsid w:val="09E63215"/>
    <w:rsid w:val="09FF7E17"/>
    <w:rsid w:val="0A043B6D"/>
    <w:rsid w:val="0A0C4411"/>
    <w:rsid w:val="0A79499C"/>
    <w:rsid w:val="0A907281"/>
    <w:rsid w:val="0B7460A0"/>
    <w:rsid w:val="0C201CB2"/>
    <w:rsid w:val="0C3644F9"/>
    <w:rsid w:val="0C3A46E4"/>
    <w:rsid w:val="0C6E1C06"/>
    <w:rsid w:val="0C8E458B"/>
    <w:rsid w:val="0CE1722F"/>
    <w:rsid w:val="0D461432"/>
    <w:rsid w:val="0DE1094B"/>
    <w:rsid w:val="0DE90CE1"/>
    <w:rsid w:val="0EB168B7"/>
    <w:rsid w:val="0EDF79EC"/>
    <w:rsid w:val="0F275B63"/>
    <w:rsid w:val="0F9A13CF"/>
    <w:rsid w:val="10007BDE"/>
    <w:rsid w:val="100C1E2C"/>
    <w:rsid w:val="100F5427"/>
    <w:rsid w:val="10262E4D"/>
    <w:rsid w:val="103435D2"/>
    <w:rsid w:val="10A20CCB"/>
    <w:rsid w:val="10E61D87"/>
    <w:rsid w:val="113A2F12"/>
    <w:rsid w:val="116C40B3"/>
    <w:rsid w:val="11846429"/>
    <w:rsid w:val="118B171F"/>
    <w:rsid w:val="11F31F18"/>
    <w:rsid w:val="120738E4"/>
    <w:rsid w:val="120B7EC9"/>
    <w:rsid w:val="123B762F"/>
    <w:rsid w:val="12547064"/>
    <w:rsid w:val="12963371"/>
    <w:rsid w:val="13E470BD"/>
    <w:rsid w:val="140A3785"/>
    <w:rsid w:val="14956FC1"/>
    <w:rsid w:val="14F3454F"/>
    <w:rsid w:val="14F85755"/>
    <w:rsid w:val="156649D2"/>
    <w:rsid w:val="158879E3"/>
    <w:rsid w:val="16126419"/>
    <w:rsid w:val="166D7372"/>
    <w:rsid w:val="166F74AF"/>
    <w:rsid w:val="1762002E"/>
    <w:rsid w:val="178E6161"/>
    <w:rsid w:val="17CD5162"/>
    <w:rsid w:val="17DB5D15"/>
    <w:rsid w:val="17EA0A1A"/>
    <w:rsid w:val="17FE26C2"/>
    <w:rsid w:val="18174077"/>
    <w:rsid w:val="18FF391B"/>
    <w:rsid w:val="19137AFC"/>
    <w:rsid w:val="191E0571"/>
    <w:rsid w:val="19A56597"/>
    <w:rsid w:val="19B22502"/>
    <w:rsid w:val="19BD79FA"/>
    <w:rsid w:val="1A32611A"/>
    <w:rsid w:val="1A9E6D1E"/>
    <w:rsid w:val="1AB46F60"/>
    <w:rsid w:val="1B15245C"/>
    <w:rsid w:val="1BC1164B"/>
    <w:rsid w:val="1BDC10F9"/>
    <w:rsid w:val="1C163DC3"/>
    <w:rsid w:val="1CB270E6"/>
    <w:rsid w:val="1D3E60A0"/>
    <w:rsid w:val="1D6F2789"/>
    <w:rsid w:val="1D743279"/>
    <w:rsid w:val="1D755AF3"/>
    <w:rsid w:val="1D94215F"/>
    <w:rsid w:val="1DA075F6"/>
    <w:rsid w:val="1E421400"/>
    <w:rsid w:val="1E54191A"/>
    <w:rsid w:val="1E777800"/>
    <w:rsid w:val="1ED728FA"/>
    <w:rsid w:val="1EE7255D"/>
    <w:rsid w:val="1EF63B7C"/>
    <w:rsid w:val="1F0B3750"/>
    <w:rsid w:val="1F8F3E27"/>
    <w:rsid w:val="1FE2222E"/>
    <w:rsid w:val="2000013C"/>
    <w:rsid w:val="2004569D"/>
    <w:rsid w:val="20092FA5"/>
    <w:rsid w:val="20361358"/>
    <w:rsid w:val="20703BE1"/>
    <w:rsid w:val="207318E2"/>
    <w:rsid w:val="20C0056A"/>
    <w:rsid w:val="21530BE8"/>
    <w:rsid w:val="21DF3DE2"/>
    <w:rsid w:val="21E8049D"/>
    <w:rsid w:val="21E90987"/>
    <w:rsid w:val="22113B90"/>
    <w:rsid w:val="221B6860"/>
    <w:rsid w:val="223E0370"/>
    <w:rsid w:val="22995C7A"/>
    <w:rsid w:val="22D905E5"/>
    <w:rsid w:val="23067048"/>
    <w:rsid w:val="23642759"/>
    <w:rsid w:val="236B1107"/>
    <w:rsid w:val="238759F9"/>
    <w:rsid w:val="23C24CAF"/>
    <w:rsid w:val="240301C3"/>
    <w:rsid w:val="242F260B"/>
    <w:rsid w:val="245C7DE0"/>
    <w:rsid w:val="2464197F"/>
    <w:rsid w:val="24B2553C"/>
    <w:rsid w:val="24C4396C"/>
    <w:rsid w:val="24DD05CA"/>
    <w:rsid w:val="2599037B"/>
    <w:rsid w:val="25A62A88"/>
    <w:rsid w:val="25B33A22"/>
    <w:rsid w:val="25EA0215"/>
    <w:rsid w:val="26005E00"/>
    <w:rsid w:val="263126E0"/>
    <w:rsid w:val="27142BCB"/>
    <w:rsid w:val="272551B5"/>
    <w:rsid w:val="272A6E20"/>
    <w:rsid w:val="275E30C1"/>
    <w:rsid w:val="27680227"/>
    <w:rsid w:val="282C1B06"/>
    <w:rsid w:val="28B210E0"/>
    <w:rsid w:val="290626B4"/>
    <w:rsid w:val="298500F4"/>
    <w:rsid w:val="298A277F"/>
    <w:rsid w:val="29CC53EB"/>
    <w:rsid w:val="2A0074D1"/>
    <w:rsid w:val="2A026458"/>
    <w:rsid w:val="2A6C68B6"/>
    <w:rsid w:val="2A720FDA"/>
    <w:rsid w:val="2A7D1D09"/>
    <w:rsid w:val="2B64716E"/>
    <w:rsid w:val="2B710496"/>
    <w:rsid w:val="2BE271C7"/>
    <w:rsid w:val="2C043A01"/>
    <w:rsid w:val="2C397789"/>
    <w:rsid w:val="2CAE4E9C"/>
    <w:rsid w:val="2CD10F90"/>
    <w:rsid w:val="2D5D2F39"/>
    <w:rsid w:val="2DB142C8"/>
    <w:rsid w:val="2DB36A96"/>
    <w:rsid w:val="2DC4304B"/>
    <w:rsid w:val="2DD16D69"/>
    <w:rsid w:val="2E1321AB"/>
    <w:rsid w:val="2E36630F"/>
    <w:rsid w:val="2E3F5092"/>
    <w:rsid w:val="2E4113AC"/>
    <w:rsid w:val="2E4A744A"/>
    <w:rsid w:val="2E854930"/>
    <w:rsid w:val="2E8D3DC2"/>
    <w:rsid w:val="2F746DDE"/>
    <w:rsid w:val="2F767619"/>
    <w:rsid w:val="2F8202AF"/>
    <w:rsid w:val="2F9335AE"/>
    <w:rsid w:val="30160680"/>
    <w:rsid w:val="30773F74"/>
    <w:rsid w:val="30952D41"/>
    <w:rsid w:val="30E83155"/>
    <w:rsid w:val="314B44AD"/>
    <w:rsid w:val="31662DD4"/>
    <w:rsid w:val="31901C05"/>
    <w:rsid w:val="3242559F"/>
    <w:rsid w:val="324461B0"/>
    <w:rsid w:val="327A0EC0"/>
    <w:rsid w:val="327E6E5D"/>
    <w:rsid w:val="32BF2D77"/>
    <w:rsid w:val="32E16F49"/>
    <w:rsid w:val="3300393D"/>
    <w:rsid w:val="338F39E0"/>
    <w:rsid w:val="33986411"/>
    <w:rsid w:val="33CA082D"/>
    <w:rsid w:val="34474001"/>
    <w:rsid w:val="344A17CA"/>
    <w:rsid w:val="344D10D1"/>
    <w:rsid w:val="349F4C0E"/>
    <w:rsid w:val="34A552BF"/>
    <w:rsid w:val="34BA13AC"/>
    <w:rsid w:val="34F33242"/>
    <w:rsid w:val="35A60DCA"/>
    <w:rsid w:val="35C30A55"/>
    <w:rsid w:val="365F0FEF"/>
    <w:rsid w:val="369D517D"/>
    <w:rsid w:val="369E4592"/>
    <w:rsid w:val="374377C9"/>
    <w:rsid w:val="374F1227"/>
    <w:rsid w:val="375F42EC"/>
    <w:rsid w:val="377C2161"/>
    <w:rsid w:val="378F5088"/>
    <w:rsid w:val="379904CC"/>
    <w:rsid w:val="37A75B30"/>
    <w:rsid w:val="37BE769A"/>
    <w:rsid w:val="383D5E04"/>
    <w:rsid w:val="386F2065"/>
    <w:rsid w:val="387A06CE"/>
    <w:rsid w:val="38B22E28"/>
    <w:rsid w:val="38F5335B"/>
    <w:rsid w:val="390219F8"/>
    <w:rsid w:val="392F6E65"/>
    <w:rsid w:val="395B2D6E"/>
    <w:rsid w:val="39924F7B"/>
    <w:rsid w:val="39C71EBC"/>
    <w:rsid w:val="39F211AE"/>
    <w:rsid w:val="3A093AA0"/>
    <w:rsid w:val="3A1F3054"/>
    <w:rsid w:val="3A561808"/>
    <w:rsid w:val="3A5812EF"/>
    <w:rsid w:val="3A885464"/>
    <w:rsid w:val="3A951E76"/>
    <w:rsid w:val="3AA114FD"/>
    <w:rsid w:val="3ABF5D13"/>
    <w:rsid w:val="3AD4047B"/>
    <w:rsid w:val="3B0C37E2"/>
    <w:rsid w:val="3B420D7B"/>
    <w:rsid w:val="3BE63CCF"/>
    <w:rsid w:val="3C304F98"/>
    <w:rsid w:val="3C344D98"/>
    <w:rsid w:val="3C7219DA"/>
    <w:rsid w:val="3CE36DAC"/>
    <w:rsid w:val="3CF80028"/>
    <w:rsid w:val="3D06577C"/>
    <w:rsid w:val="3D31778D"/>
    <w:rsid w:val="3D521208"/>
    <w:rsid w:val="3D882062"/>
    <w:rsid w:val="3DB744D3"/>
    <w:rsid w:val="3E1B322C"/>
    <w:rsid w:val="3E6B56AB"/>
    <w:rsid w:val="3EEE23D1"/>
    <w:rsid w:val="3F056068"/>
    <w:rsid w:val="3F454B2D"/>
    <w:rsid w:val="3F6A2229"/>
    <w:rsid w:val="3FA54F98"/>
    <w:rsid w:val="3FCF778D"/>
    <w:rsid w:val="40985254"/>
    <w:rsid w:val="40D41B34"/>
    <w:rsid w:val="40DB59AC"/>
    <w:rsid w:val="40F17ABA"/>
    <w:rsid w:val="41441903"/>
    <w:rsid w:val="41502CBC"/>
    <w:rsid w:val="416F7E04"/>
    <w:rsid w:val="41883333"/>
    <w:rsid w:val="41953E7B"/>
    <w:rsid w:val="42313DF3"/>
    <w:rsid w:val="423D525F"/>
    <w:rsid w:val="425954A5"/>
    <w:rsid w:val="42A951F9"/>
    <w:rsid w:val="43016F3A"/>
    <w:rsid w:val="43143B72"/>
    <w:rsid w:val="43305ADF"/>
    <w:rsid w:val="434A043B"/>
    <w:rsid w:val="43577A5F"/>
    <w:rsid w:val="43C6698A"/>
    <w:rsid w:val="43EE5D34"/>
    <w:rsid w:val="44AF36C1"/>
    <w:rsid w:val="44BE1AD2"/>
    <w:rsid w:val="44E02693"/>
    <w:rsid w:val="450833AA"/>
    <w:rsid w:val="453748CA"/>
    <w:rsid w:val="453E73B1"/>
    <w:rsid w:val="45486BFC"/>
    <w:rsid w:val="455079AF"/>
    <w:rsid w:val="457B6BE6"/>
    <w:rsid w:val="45E00AA3"/>
    <w:rsid w:val="45F62922"/>
    <w:rsid w:val="46297AC0"/>
    <w:rsid w:val="462B424B"/>
    <w:rsid w:val="463A38D0"/>
    <w:rsid w:val="464C4F38"/>
    <w:rsid w:val="465F41FD"/>
    <w:rsid w:val="46647A66"/>
    <w:rsid w:val="46A02223"/>
    <w:rsid w:val="46B362F7"/>
    <w:rsid w:val="46BB7CCB"/>
    <w:rsid w:val="46BF2EEE"/>
    <w:rsid w:val="46C23353"/>
    <w:rsid w:val="46FA357B"/>
    <w:rsid w:val="46FF153C"/>
    <w:rsid w:val="47040901"/>
    <w:rsid w:val="472D083E"/>
    <w:rsid w:val="476870E2"/>
    <w:rsid w:val="481C5082"/>
    <w:rsid w:val="48EC5B24"/>
    <w:rsid w:val="48F867A7"/>
    <w:rsid w:val="48FA3D7D"/>
    <w:rsid w:val="49080B7C"/>
    <w:rsid w:val="49553665"/>
    <w:rsid w:val="49C14BE9"/>
    <w:rsid w:val="49E82EE3"/>
    <w:rsid w:val="49EA043A"/>
    <w:rsid w:val="49FF33BC"/>
    <w:rsid w:val="4A207CA3"/>
    <w:rsid w:val="4A6603DD"/>
    <w:rsid w:val="4A6F171E"/>
    <w:rsid w:val="4A735D8E"/>
    <w:rsid w:val="4AB544DA"/>
    <w:rsid w:val="4B006EED"/>
    <w:rsid w:val="4B0D3E58"/>
    <w:rsid w:val="4B1C154F"/>
    <w:rsid w:val="4B3F1F5D"/>
    <w:rsid w:val="4B565BFA"/>
    <w:rsid w:val="4B5C4E02"/>
    <w:rsid w:val="4B5C51AF"/>
    <w:rsid w:val="4B7A3887"/>
    <w:rsid w:val="4B8D5B68"/>
    <w:rsid w:val="4B992976"/>
    <w:rsid w:val="4BD070D3"/>
    <w:rsid w:val="4C291FBE"/>
    <w:rsid w:val="4C560196"/>
    <w:rsid w:val="4C60482B"/>
    <w:rsid w:val="4C6F511D"/>
    <w:rsid w:val="4C74770D"/>
    <w:rsid w:val="4D205E80"/>
    <w:rsid w:val="4D5475C4"/>
    <w:rsid w:val="4D5E6248"/>
    <w:rsid w:val="4D600325"/>
    <w:rsid w:val="4DE44A4E"/>
    <w:rsid w:val="4E361CE8"/>
    <w:rsid w:val="4E8403F0"/>
    <w:rsid w:val="4EC050B3"/>
    <w:rsid w:val="4EF355A3"/>
    <w:rsid w:val="4F504137"/>
    <w:rsid w:val="4F5B22D5"/>
    <w:rsid w:val="4F8F3DF2"/>
    <w:rsid w:val="4FD863CB"/>
    <w:rsid w:val="4FEA11D1"/>
    <w:rsid w:val="502E1EAF"/>
    <w:rsid w:val="506968ED"/>
    <w:rsid w:val="50B61784"/>
    <w:rsid w:val="50C0711C"/>
    <w:rsid w:val="51163E58"/>
    <w:rsid w:val="5129754C"/>
    <w:rsid w:val="51343C2E"/>
    <w:rsid w:val="51405905"/>
    <w:rsid w:val="515C2146"/>
    <w:rsid w:val="515D0F75"/>
    <w:rsid w:val="515F7124"/>
    <w:rsid w:val="51605E19"/>
    <w:rsid w:val="516721B8"/>
    <w:rsid w:val="51CD30DA"/>
    <w:rsid w:val="5204273E"/>
    <w:rsid w:val="52131421"/>
    <w:rsid w:val="525A068C"/>
    <w:rsid w:val="526A25D9"/>
    <w:rsid w:val="5283261A"/>
    <w:rsid w:val="52AF08FC"/>
    <w:rsid w:val="533F56EC"/>
    <w:rsid w:val="534327B1"/>
    <w:rsid w:val="534F1AD9"/>
    <w:rsid w:val="53510B25"/>
    <w:rsid w:val="537E4BC8"/>
    <w:rsid w:val="5396678A"/>
    <w:rsid w:val="53B879CD"/>
    <w:rsid w:val="53EF7E8D"/>
    <w:rsid w:val="544243E9"/>
    <w:rsid w:val="544F5321"/>
    <w:rsid w:val="54A30C55"/>
    <w:rsid w:val="550A3451"/>
    <w:rsid w:val="558E09EC"/>
    <w:rsid w:val="55943139"/>
    <w:rsid w:val="55B23C34"/>
    <w:rsid w:val="55EA6F24"/>
    <w:rsid w:val="564348BF"/>
    <w:rsid w:val="567D2656"/>
    <w:rsid w:val="567D7625"/>
    <w:rsid w:val="569548A8"/>
    <w:rsid w:val="56BA26F3"/>
    <w:rsid w:val="56C97964"/>
    <w:rsid w:val="56D06727"/>
    <w:rsid w:val="56ED6744"/>
    <w:rsid w:val="56F273A9"/>
    <w:rsid w:val="573B1D85"/>
    <w:rsid w:val="573B211D"/>
    <w:rsid w:val="581B0CDA"/>
    <w:rsid w:val="584C56BE"/>
    <w:rsid w:val="58AE1E7B"/>
    <w:rsid w:val="58C422A0"/>
    <w:rsid w:val="599C5705"/>
    <w:rsid w:val="59AD6BD6"/>
    <w:rsid w:val="59FF6FB5"/>
    <w:rsid w:val="5A845B89"/>
    <w:rsid w:val="5A8F31F9"/>
    <w:rsid w:val="5ACC05F5"/>
    <w:rsid w:val="5AFD7C91"/>
    <w:rsid w:val="5B101B12"/>
    <w:rsid w:val="5B2F7834"/>
    <w:rsid w:val="5BB17FF6"/>
    <w:rsid w:val="5C1147E4"/>
    <w:rsid w:val="5C3D634B"/>
    <w:rsid w:val="5C45471C"/>
    <w:rsid w:val="5CB254D3"/>
    <w:rsid w:val="5CC83516"/>
    <w:rsid w:val="5CE2627E"/>
    <w:rsid w:val="5CF01B9C"/>
    <w:rsid w:val="5CFC571C"/>
    <w:rsid w:val="5D2B2C34"/>
    <w:rsid w:val="5D8E1F4D"/>
    <w:rsid w:val="5D9E7C9E"/>
    <w:rsid w:val="5DB85934"/>
    <w:rsid w:val="5DEA4AAA"/>
    <w:rsid w:val="5E4C350A"/>
    <w:rsid w:val="5E5108AA"/>
    <w:rsid w:val="5E7033C5"/>
    <w:rsid w:val="5E8F228D"/>
    <w:rsid w:val="5E9576E7"/>
    <w:rsid w:val="5EDA7D59"/>
    <w:rsid w:val="5F3C2CA4"/>
    <w:rsid w:val="5F8368D4"/>
    <w:rsid w:val="5FDB1739"/>
    <w:rsid w:val="5FF95DCD"/>
    <w:rsid w:val="60165A65"/>
    <w:rsid w:val="602618C4"/>
    <w:rsid w:val="60423F04"/>
    <w:rsid w:val="60BC3C0F"/>
    <w:rsid w:val="60E22367"/>
    <w:rsid w:val="61251142"/>
    <w:rsid w:val="61507BF4"/>
    <w:rsid w:val="61796A76"/>
    <w:rsid w:val="61F50F1C"/>
    <w:rsid w:val="62284B4E"/>
    <w:rsid w:val="6240082A"/>
    <w:rsid w:val="624B7271"/>
    <w:rsid w:val="629B555C"/>
    <w:rsid w:val="631F32EC"/>
    <w:rsid w:val="63495284"/>
    <w:rsid w:val="63792DED"/>
    <w:rsid w:val="637B16A7"/>
    <w:rsid w:val="63AD5D6C"/>
    <w:rsid w:val="63B0038A"/>
    <w:rsid w:val="64D97A49"/>
    <w:rsid w:val="654A7D50"/>
    <w:rsid w:val="65520234"/>
    <w:rsid w:val="6561094F"/>
    <w:rsid w:val="656B2F60"/>
    <w:rsid w:val="65791984"/>
    <w:rsid w:val="657C4CC0"/>
    <w:rsid w:val="65D53D3B"/>
    <w:rsid w:val="662D6DA8"/>
    <w:rsid w:val="6674153C"/>
    <w:rsid w:val="669B45E4"/>
    <w:rsid w:val="66E55C01"/>
    <w:rsid w:val="67043045"/>
    <w:rsid w:val="676D14B1"/>
    <w:rsid w:val="67740767"/>
    <w:rsid w:val="67E04612"/>
    <w:rsid w:val="67E21FCC"/>
    <w:rsid w:val="682A05D2"/>
    <w:rsid w:val="683D327F"/>
    <w:rsid w:val="68585A68"/>
    <w:rsid w:val="68830427"/>
    <w:rsid w:val="68A404D2"/>
    <w:rsid w:val="68D31159"/>
    <w:rsid w:val="694320DB"/>
    <w:rsid w:val="69667DDE"/>
    <w:rsid w:val="69677BEF"/>
    <w:rsid w:val="696D4A39"/>
    <w:rsid w:val="6A2E25AB"/>
    <w:rsid w:val="6A32497F"/>
    <w:rsid w:val="6A8A75CA"/>
    <w:rsid w:val="6AF64B79"/>
    <w:rsid w:val="6B8F0831"/>
    <w:rsid w:val="6C016918"/>
    <w:rsid w:val="6C2051FD"/>
    <w:rsid w:val="6C7110F4"/>
    <w:rsid w:val="6CB52FE5"/>
    <w:rsid w:val="6CE32DC3"/>
    <w:rsid w:val="6D1F1C0E"/>
    <w:rsid w:val="6D3459ED"/>
    <w:rsid w:val="6D6633FF"/>
    <w:rsid w:val="6D6F63FA"/>
    <w:rsid w:val="6D874DDC"/>
    <w:rsid w:val="6DCD5A9A"/>
    <w:rsid w:val="6DFC117B"/>
    <w:rsid w:val="6E0F17B6"/>
    <w:rsid w:val="6E331948"/>
    <w:rsid w:val="6E725AA9"/>
    <w:rsid w:val="6EDF7516"/>
    <w:rsid w:val="6EE92007"/>
    <w:rsid w:val="6EF4368F"/>
    <w:rsid w:val="6EFB141E"/>
    <w:rsid w:val="6F85398B"/>
    <w:rsid w:val="6FD808D0"/>
    <w:rsid w:val="6FF5521B"/>
    <w:rsid w:val="701E2C45"/>
    <w:rsid w:val="705D463B"/>
    <w:rsid w:val="708F4E85"/>
    <w:rsid w:val="70984BB7"/>
    <w:rsid w:val="70A9367D"/>
    <w:rsid w:val="70DD5B9B"/>
    <w:rsid w:val="70E60E46"/>
    <w:rsid w:val="70F377E6"/>
    <w:rsid w:val="71132A7C"/>
    <w:rsid w:val="715D0153"/>
    <w:rsid w:val="7169623E"/>
    <w:rsid w:val="71991402"/>
    <w:rsid w:val="72060502"/>
    <w:rsid w:val="725530B8"/>
    <w:rsid w:val="729658D6"/>
    <w:rsid w:val="72A060FF"/>
    <w:rsid w:val="72DF4012"/>
    <w:rsid w:val="730E68A8"/>
    <w:rsid w:val="732E4F46"/>
    <w:rsid w:val="734F5782"/>
    <w:rsid w:val="737473CC"/>
    <w:rsid w:val="73987BB2"/>
    <w:rsid w:val="740409A1"/>
    <w:rsid w:val="7404145C"/>
    <w:rsid w:val="74C6377C"/>
    <w:rsid w:val="752B3E98"/>
    <w:rsid w:val="755D2155"/>
    <w:rsid w:val="75625D11"/>
    <w:rsid w:val="75646DB7"/>
    <w:rsid w:val="757B3245"/>
    <w:rsid w:val="76331E39"/>
    <w:rsid w:val="76364EC8"/>
    <w:rsid w:val="767432D4"/>
    <w:rsid w:val="768D1111"/>
    <w:rsid w:val="768E5D33"/>
    <w:rsid w:val="76AC0E6D"/>
    <w:rsid w:val="76C010E3"/>
    <w:rsid w:val="76C52039"/>
    <w:rsid w:val="77744BF0"/>
    <w:rsid w:val="77761A82"/>
    <w:rsid w:val="77AD4519"/>
    <w:rsid w:val="77D636AD"/>
    <w:rsid w:val="77E1634B"/>
    <w:rsid w:val="78FB1593"/>
    <w:rsid w:val="79082803"/>
    <w:rsid w:val="79235D22"/>
    <w:rsid w:val="794744F9"/>
    <w:rsid w:val="799314ED"/>
    <w:rsid w:val="79C544DF"/>
    <w:rsid w:val="7A4A1968"/>
    <w:rsid w:val="7A884056"/>
    <w:rsid w:val="7AC62804"/>
    <w:rsid w:val="7B7D628C"/>
    <w:rsid w:val="7B914443"/>
    <w:rsid w:val="7BFE73B1"/>
    <w:rsid w:val="7C056B63"/>
    <w:rsid w:val="7C25538C"/>
    <w:rsid w:val="7C36570A"/>
    <w:rsid w:val="7C7A3634"/>
    <w:rsid w:val="7C7B7F6A"/>
    <w:rsid w:val="7CB20243"/>
    <w:rsid w:val="7CF459E1"/>
    <w:rsid w:val="7D271EE3"/>
    <w:rsid w:val="7D7C1D06"/>
    <w:rsid w:val="7DA27F66"/>
    <w:rsid w:val="7E333AA2"/>
    <w:rsid w:val="7E8D6703"/>
    <w:rsid w:val="7E8E4DB7"/>
    <w:rsid w:val="7E941FD6"/>
    <w:rsid w:val="7E986DEF"/>
    <w:rsid w:val="7EB10D93"/>
    <w:rsid w:val="7EB94A2A"/>
    <w:rsid w:val="7F0E3711"/>
    <w:rsid w:val="7F1C483F"/>
    <w:rsid w:val="7F2731FF"/>
    <w:rsid w:val="7F543A2F"/>
    <w:rsid w:val="7FD85A03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33"/>
      <w:ind w:left="1568" w:hanging="440"/>
      <w:outlineLvl w:val="1"/>
    </w:pPr>
    <w:rPr>
      <w:rFonts w:ascii="黑体" w:hAnsi="黑体" w:eastAsia="黑体" w:cs="黑体"/>
      <w:sz w:val="44"/>
      <w:szCs w:val="44"/>
    </w:rPr>
  </w:style>
  <w:style w:type="paragraph" w:styleId="4">
    <w:name w:val="heading 2"/>
    <w:basedOn w:val="1"/>
    <w:next w:val="1"/>
    <w:qFormat/>
    <w:uiPriority w:val="1"/>
    <w:pPr>
      <w:spacing w:before="214"/>
      <w:ind w:left="2180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type="paragraph" w:styleId="5">
    <w:name w:val="heading 3"/>
    <w:next w:val="1"/>
    <w:qFormat/>
    <w:uiPriority w:val="0"/>
    <w:pPr>
      <w:widowControl w:val="0"/>
      <w:spacing w:beforeAutospacing="0"/>
      <w:ind w:firstLine="720" w:firstLineChars="200"/>
      <w:jc w:val="left"/>
      <w:outlineLvl w:val="2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napToGrid/>
      <w:kern w:val="2"/>
      <w:sz w:val="21"/>
      <w:szCs w:val="21"/>
    </w:rPr>
  </w:style>
  <w:style w:type="paragraph" w:styleId="6">
    <w:name w:val="Body Text First Indent"/>
    <w:basedOn w:val="7"/>
    <w:qFormat/>
    <w:uiPriority w:val="0"/>
    <w:pPr>
      <w:widowControl/>
      <w:adjustRightInd w:val="0"/>
      <w:snapToGrid w:val="0"/>
      <w:spacing w:before="100" w:beforeAutospacing="1"/>
      <w:ind w:firstLine="420" w:firstLineChars="100"/>
    </w:pPr>
    <w:rPr>
      <w:rFonts w:ascii="Tahoma" w:hAnsi="Tahoma" w:cs="Tahoma"/>
      <w:sz w:val="22"/>
    </w:rPr>
  </w:style>
  <w:style w:type="paragraph" w:styleId="7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8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0"/>
    <w:next w:val="6"/>
    <w:qFormat/>
    <w:uiPriority w:val="0"/>
    <w:pPr>
      <w:ind w:firstLine="420" w:firstLineChars="200"/>
      <w:jc w:val="left"/>
    </w:pPr>
    <w:rPr>
      <w:rFonts w:ascii="Calibri" w:hAnsi="Calibri" w:eastAsia="仿宋"/>
      <w:sz w:val="32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character" w:styleId="19">
    <w:name w:val="footnote reference"/>
    <w:basedOn w:val="18"/>
    <w:qFormat/>
    <w:uiPriority w:val="0"/>
    <w:rPr>
      <w:vertAlign w:val="superscript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font3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3">
    <w:name w:val="font4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21"/>
    <w:basedOn w:val="18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25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6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11"/>
    <w:basedOn w:val="18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28">
    <w:name w:val="font8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0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1">
    <w:name w:val="font5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2">
    <w:name w:val="Table Paragraph"/>
    <w:basedOn w:val="1"/>
    <w:qFormat/>
    <w:uiPriority w:val="1"/>
    <w:pPr>
      <w:jc w:val="center"/>
    </w:pPr>
    <w:rPr>
      <w:rFonts w:ascii="Calibri" w:hAnsi="Calibri" w:eastAsia="Calibri" w:cs="Calibri"/>
    </w:rPr>
  </w:style>
  <w:style w:type="character" w:customStyle="1" w:styleId="33">
    <w:name w:val="font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3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表格"/>
    <w:basedOn w:val="1"/>
    <w:qFormat/>
    <w:uiPriority w:val="0"/>
    <w:pPr>
      <w:spacing w:beforeLines="0" w:afterLines="0" w:line="300" w:lineRule="exact"/>
      <w:ind w:firstLine="0" w:firstLineChars="0"/>
      <w:jc w:val="center"/>
    </w:pPr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24309</Words>
  <Characters>30064</Characters>
  <Lines>0</Lines>
  <Paragraphs>0</Paragraphs>
  <TotalTime>6</TotalTime>
  <ScaleCrop>false</ScaleCrop>
  <LinksUpToDate>false</LinksUpToDate>
  <CharactersWithSpaces>35869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2023-05-15T08:45:00Z</dcterms:created>
  <dc:creator>张驰Colin</dc:creator>
  <cp:lastModifiedBy>黄伟杰</cp:lastModifiedBy>
  <dcterms:modified xsi:type="dcterms:W3CDTF">2024-01-30T02:01:53Z</dcterms:modified>
  <dc:title>揭阳市生态环境分区管控成果动态更新情况报告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12F102F4BCE04E1AA9A3ED8C7E690510_13</vt:lpwstr>
  </property>
</Properties>
</file>